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7133F18B70243EE84EFA5E0708E5A72" style="width:450.8pt;height:449.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after="0"/>
        <w:rPr>
          <w:noProof/>
          <w:sz w:val="2"/>
        </w:rPr>
      </w:pPr>
      <w:bookmarkStart w:id="1" w:name="_GoBack"/>
      <w:bookmarkEnd w:id="1"/>
    </w:p>
    <w:tbl>
      <w:tblPr>
        <w:tblW w:w="1018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after="0"/>
              <w:jc w:val="center"/>
              <w:rPr>
                <w:rFonts w:ascii="Tahoma" w:hAnsi="Tahoma" w:cs="Tahoma"/>
                <w:b/>
                <w:noProof/>
              </w:rPr>
            </w:pPr>
            <w:r>
              <w:rPr>
                <w:noProof/>
              </w:rPr>
              <w:br w:type="page"/>
            </w:r>
            <w:r>
              <w:rPr>
                <w:noProof/>
              </w:rPr>
              <w:br w:type="page"/>
            </w:r>
            <w:r>
              <w:rPr>
                <w:noProof/>
              </w:rPr>
              <w:br w:type="page"/>
            </w:r>
            <w:r>
              <w:rPr>
                <w:noProof/>
              </w:rPr>
              <w:br w:type="page"/>
            </w:r>
            <w:r>
              <w:rPr>
                <w:noProof/>
              </w:rPr>
              <w:br w:type="page"/>
            </w:r>
            <w:r>
              <w:rPr>
                <w:noProof/>
              </w:rPr>
              <w:br w:type="page"/>
            </w:r>
            <w:r>
              <w:rPr>
                <w:noProof/>
              </w:rPr>
              <w:br w:type="page"/>
            </w:r>
            <w:r>
              <w:rPr>
                <w:noProof/>
              </w:rPr>
              <w:br w:type="page"/>
            </w:r>
            <w:r>
              <w:rPr>
                <w:noProof/>
              </w:rPr>
              <w:br w:type="page"/>
            </w:r>
            <w:r>
              <w:rPr>
                <w:rFonts w:ascii="Tahoma" w:hAnsi="Tahoma"/>
                <w:b/>
                <w:noProof/>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cPr>
          <w:p>
            <w:pPr>
              <w:spacing w:after="0"/>
              <w:rPr>
                <w:rFonts w:ascii="Tahoma" w:hAnsi="Tahoma" w:cs="Tahoma"/>
                <w:noProof/>
                <w:sz w:val="20"/>
              </w:rPr>
            </w:pPr>
            <w:r>
              <w:rPr>
                <w:rFonts w:ascii="Tahoma" w:hAnsi="Tahoma"/>
                <w:noProof/>
                <w:color w:val="FFFFFF"/>
                <w:sz w:val="20"/>
              </w:rPr>
              <w:t>Analyse d’impact de modifications éventuelles du règlement (UE) nº 648/2012 du Parlement européen et du Conseil du 4 juillet 2012 sur les produits dérivés de gré à gré, les contreparties centrales et les référentiels centraux</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b/>
                <w:noProof/>
              </w:rPr>
              <w:t>A. Nécessité d’une action</w:t>
            </w:r>
          </w:p>
        </w:tc>
      </w:tr>
      <w:tr>
        <w:tc>
          <w:tcPr>
            <w:tcW w:w="10188" w:type="dxa"/>
            <w:tcBorders>
              <w:bottom w:val="single" w:sz="4" w:space="0" w:color="auto"/>
            </w:tcBorders>
            <w:shd w:val="clear" w:color="auto" w:fill="E0E0E0"/>
          </w:tcPr>
          <w:p>
            <w:pPr>
              <w:spacing w:after="0"/>
              <w:rPr>
                <w:rFonts w:ascii="Tahoma" w:hAnsi="Tahoma" w:cs="Tahoma"/>
                <w:noProof/>
                <w:sz w:val="20"/>
              </w:rPr>
            </w:pPr>
            <w:r>
              <w:rPr>
                <w:rFonts w:ascii="Tahoma" w:hAnsi="Tahoma"/>
                <w:b/>
                <w:noProof/>
                <w:sz w:val="20"/>
              </w:rPr>
              <w:t>Pourquoi? Quel est le problème abordé?</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cs="Arial"/>
                <w:noProof/>
                <w:sz w:val="20"/>
              </w:rPr>
              <w:t>Conformément à l’accord du G20 de Pittsburgh de 2009visant à réduire le risque systémique lié au recours intensif aux produits dérivés, l’UE a adopté le règlement sur l’infrastructure du marché européen (EMIR) en 2012. L’un de ses principaux éléments, entré en vigueur en décembre 2015, est l’obligation de faire en sorte que tous les contrats dérivés de gré à gré normalisés soient compensés par une contrepartie centrale. La compensation centrale obligatoire pour certaines catégories d’actifs et l’augmentation du recours volontaire à celle-ci dans un contexte de prise de conscience accrue de ses avantages parmi les acteurs du marché ont conduit à une croissance rapide du volume des activités des contreparties centrales depuis l’adoption du règlement EMIR, à la fois dans l’UE et dans le monde. Dans le contexte de la concentration croissante du risque de crédit dans ces infrastructures, il devrait être possible de renforcer l’efficacité du dispositif de surveillance des contreparties centrales de l’UE et de pays tiers intégré dans le règlement EMIR.</w:t>
            </w:r>
          </w:p>
          <w:p>
            <w:pPr>
              <w:spacing w:after="0"/>
              <w:rPr>
                <w:rFonts w:ascii="Arial" w:hAnsi="Arial" w:cs="Arial"/>
                <w:noProof/>
                <w:sz w:val="20"/>
              </w:rPr>
            </w:pPr>
            <w:r>
              <w:rPr>
                <w:rFonts w:ascii="Arial" w:hAnsi="Arial" w:cs="Arial"/>
                <w:noProof/>
                <w:sz w:val="20"/>
              </w:rPr>
              <w:t>Le régime actuel instauré par le règlement EMIR pour la surveillance des contreparties centrales de l’UE, qui implique des collèges d’autorités de surveillance coordonnés par l’autorité du pays d’origine, soulève un certain nombre de préoccupations: (i) étant donné l’importance d’un nombre limité de contreparties centrales pour le système financier de l’UE dans son ensemble, le fait de s’appuyer principalement sur l’autorité de surveillance du pays d’origine suscite des inquiétudes; (ii) les divergences dans les pratiques de surveillance au sein de l’UE pourraient créer un risque d’arbitrage réglementaire et prudentiel pour les contreparties centrales et, indirectement, leurs membres compensateurs et leurs clients; (iii) le rôle des banques centrales en tant qu’émetteurs de monnaie n’est pas correctement pris en compte dans les collèges des contreparties centrales.</w:t>
            </w:r>
          </w:p>
          <w:p>
            <w:pPr>
              <w:spacing w:after="120"/>
              <w:rPr>
                <w:rFonts w:ascii="Arial" w:hAnsi="Arial" w:cs="Arial"/>
                <w:noProof/>
                <w:sz w:val="20"/>
              </w:rPr>
            </w:pPr>
            <w:r>
              <w:rPr>
                <w:rFonts w:ascii="Arial" w:hAnsi="Arial" w:cs="Arial"/>
                <w:noProof/>
                <w:sz w:val="20"/>
              </w:rPr>
              <w:t>Des préoccupations sont également soulevées en ce qui concerne le dispositif de surveillance des contreparties centrales de pays tiers opérant dans l’UE: (i) la mise en œuvre du règlement EMIR sur la reconnaissance et l’équivalence a montré certaines lacunes, notamment en ce qui concerne la surveillance continue des contreparties centrales de pays tiers reconnues, (ii) il existe un potentiel considérable de divergences entre les objectifs des autorités de surveillance et des banques centrales au sein des collèges dans les cas de contreparties centrales de pays tiers impliquant des autorités hors UE; (iii) les modifications éventuelles des règles régissant les contreparties centrales ou du cadre réglementaire d’un pays tiers sont susceptibles de créer des conditions de concurrence inégales entre les contreparties centrales de l’UE et de pays tiers et la possibilité d’un arbitrage réglementaire ou prudentiel, puisqu’il n’existe actuellement aucun mécanisme permettant à l’UE d’être systématiquement informée de ces modifications. Des volumes considérables de transactions sur dérivés et d’autres opérations soumises à l’obligation de compensation de l’UE libellées en euros sont actuellement compensés par des contreparties centrales du Royaume-Uni, À la suite de la sortie de l’UE du Royaume-Uni, la proportion de ces transactions qui seront compensées par des contreparties centrales situées hors de la juridiction de l’UE va nettement augmenter, ce qui renforce encore les craintes exprimées.</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Quel objectif cette initiative devrait-elle atteindre?</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cs="Arial"/>
                <w:noProof/>
                <w:sz w:val="20"/>
              </w:rPr>
              <w:t>L’initiative est censée renforcer la cohérence du dispositif de surveillance des contreparties centrales établies dans l’UE, y compris la reconnaissance du rôle spécifique joué par la banque centrale d’émission, et améliorer la capacité de l’UE à contrôler, détecter et atténuer les risques des contreparties centrales de pays tiers.</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Quelle est la valeur ajoutée d’une action à l’échelle de l’Union?</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cs="Arial"/>
                <w:noProof/>
                <w:sz w:val="20"/>
              </w:rPr>
              <w:t>Le règlement EMIR régit le cadre de surveillance des contreparties centrales établies dans l’UE et le régime applicable aux contreparties centrales de pays tiers qui fournissent des services de compensation au sein de l’UE. Le renforcement de la cohérence de la surveillance au niveau de l’UE contribuera à remédier: (i) aux risques systémiques posés par des contreparties centrales largement intégrées et interconnectées qui opèrent sur une base transfrontalière et échappent au contrôle des autorités nationales de surveillance; (ii) aux risques résultant des divergences dans les pratiques de surveillance, que les États membres ne peuvent pas résoudre seuls. L’intensification de la surveillance, par l’UE, des contreparties centrales de pays tiers revêtant une importance systémique peut également permettre de mieux répondre aux menaces pesant sur la stabilité financière de l’UE dans son ensemble.</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b/>
                <w:noProof/>
              </w:rPr>
              <w:t>B. Les solutions</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Quelles sont les options législatives et non législatives qui ont été envisagées?</w:t>
            </w:r>
            <w:r>
              <w:rPr>
                <w:rFonts w:ascii="Tahoma" w:hAnsi="Tahoma"/>
                <w:noProof/>
                <w:sz w:val="20"/>
              </w:rPr>
              <w:t xml:space="preserve"> </w:t>
            </w:r>
            <w:r>
              <w:rPr>
                <w:rFonts w:ascii="Tahoma" w:hAnsi="Tahoma"/>
                <w:b/>
                <w:noProof/>
                <w:sz w:val="20"/>
              </w:rPr>
              <w:t>Y a-t-il une option privilégiée? Pourquoi?</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cs="Arial"/>
                <w:noProof/>
                <w:sz w:val="20"/>
              </w:rPr>
              <w:t>En ce qui concerne la cohérence du dispositif de surveillance des contreparties centrales établies dans l’UE, trois options ont été examinées: (1) le maintien du statu quo (pas d’action); (2) la mise en place d’un mécanisme de surveillance au niveau de l’UE; (3) la mise en place d’une autorité de surveillance unique au niveau de l’UE. L’option privilégiée est l’option 2, qui permettrait aux autorités nationales de surveillance de conserver les pouvoirs de surveillance actuels dans une large mesure, vu leurs responsabilités budgétaires, tout en mettant en place un mécanisme de surveillance au niveau de l’UE permettant de traiter des domaines d’intérêt commun sur une base plus centralisée et de renforcer l’apport des banques centrales d’émission dans le processus de surveillance. Cette option est également la plus appropriée pour atteindre l’objectif consistant à renforcer la cohérence du dispositif de surveillance des contreparties centrales de l’UE tout en évitant les lacunes de l’option 3.</w:t>
            </w:r>
          </w:p>
          <w:p>
            <w:pPr>
              <w:spacing w:after="0"/>
              <w:rPr>
                <w:rFonts w:ascii="Arial" w:hAnsi="Arial" w:cs="Arial"/>
                <w:noProof/>
                <w:sz w:val="20"/>
              </w:rPr>
            </w:pPr>
            <w:r>
              <w:rPr>
                <w:rFonts w:ascii="Arial" w:hAnsi="Arial" w:cs="Arial"/>
                <w:noProof/>
                <w:sz w:val="20"/>
              </w:rPr>
              <w:t>En ce qui concerne l’atténuation des risques liés aux contreparties centrales de pays tiers, trois options ont été envisagées. L’option 1 consiste à maintenir le statu quo (pas d’action). Dans le cadre de l’option 2, les contreparties centrales de pays tiers devraient être établies et agréées au sein de l’UE pour fournir des services à des contreparties ou à des plateformes de négociation de l’UE ou pour fournir des services de compensation dans les monnaies de l’UE. Dans le cadre de l’option 3, le degré et l’intensité de la surveillance dans l’UE seraient fonction des risques que posent à l’UE les contreparties centrales de pays tiers. Différents critères ou seuils pourraient être définis: (i) les contreparties centrales de faible impact pourraient faire l’objet d’une mise en œuvre renforcée du régime d’équivalence et de reconnaissance du règlement EMIR; (ii) les contreparties centrales d’impact moyen à élevé pourraient être soumises à une échelle progressive d’exigences prudentielles supplémentaires. L’analyse d’impact conclut que l’option 3 est la plus appropriée pour atteindre l’objectif consistant à renforcer la capacité de l’UE à contrôler, détecter et atténuer les risques liés aux contreparties centrales de pays tiers.</w:t>
            </w:r>
          </w:p>
        </w:tc>
      </w:tr>
      <w:tr>
        <w:tc>
          <w:tcPr>
            <w:tcW w:w="10188" w:type="dxa"/>
            <w:shd w:val="clear" w:color="auto" w:fill="CCCCCC"/>
          </w:tcPr>
          <w:p>
            <w:pPr>
              <w:spacing w:after="0"/>
              <w:rPr>
                <w:rFonts w:ascii="Tahoma" w:hAnsi="Tahoma" w:cs="Tahoma"/>
                <w:noProof/>
                <w:sz w:val="20"/>
              </w:rPr>
            </w:pPr>
            <w:r>
              <w:rPr>
                <w:rFonts w:ascii="Tahoma" w:hAnsi="Tahoma"/>
                <w:b/>
                <w:noProof/>
                <w:sz w:val="20"/>
              </w:rPr>
              <w:t>Qui soutient quelle option?</w:t>
            </w:r>
          </w:p>
        </w:tc>
      </w:tr>
      <w:tr>
        <w:tc>
          <w:tcPr>
            <w:tcW w:w="10188" w:type="dxa"/>
            <w:shd w:val="clear" w:color="auto" w:fill="auto"/>
          </w:tcPr>
          <w:p>
            <w:pPr>
              <w:spacing w:after="0"/>
              <w:rPr>
                <w:rFonts w:ascii="Arial" w:hAnsi="Arial" w:cs="Arial"/>
                <w:noProof/>
                <w:sz w:val="20"/>
                <w:highlight w:val="yellow"/>
              </w:rPr>
            </w:pPr>
            <w:r>
              <w:rPr>
                <w:rFonts w:ascii="Arial" w:hAnsi="Arial" w:cs="Arial"/>
                <w:noProof/>
                <w:sz w:val="20"/>
              </w:rPr>
              <w:t>Les réactions des parties prenantes ont été obtenues par l’intermédiaire de trois consultations publiques de la Commission: la consultation de 2015 sur le réexamen du règlement EMIR, la consultation de 2017 sur l’examen à mi-parcours de l’union des marchés des capitaux (UMC) et la consultation de 2017 sur les opérations des autorités européennes de surveillance. En ce qui concerne la surveillance des contreparties centrales établies dans l’UE, les répondants, parmi lesquels une majorité d’entreprises, ont souligné la nécessité d’améliorer la convergence des activités de surveillance au niveau de l’UE afin de prendre en considération la nature systémique des contreparties centrales, tout en assurant un rôle adéquat pour les autorités nationales et les banques centrales d’émission. S’agissant de la surveillance des contreparties centrales de pays tiers, l’AEMF et les autorités publiques se sont prononcées en faveur d’un renforcement de la procédure de reconnaissance actuelle, tandis qu’un certain nombre de parties prenantes, y compris des représentants du secteur, ont émis des mises en garde contre le risque d’une fragmentation du marché.</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b/>
                <w:noProof/>
              </w:rPr>
              <w:t>C. Incidences de l’option privilégiée</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Quels sont les avantages</w:t>
            </w:r>
            <w:r>
              <w:rPr>
                <w:rFonts w:ascii="Tahoma" w:hAnsi="Tahoma"/>
                <w:noProof/>
                <w:sz w:val="20"/>
              </w:rPr>
              <w:t xml:space="preserve"> </w:t>
            </w:r>
            <w:r>
              <w:rPr>
                <w:rFonts w:ascii="Tahoma" w:hAnsi="Tahoma"/>
                <w:b/>
                <w:noProof/>
                <w:sz w:val="20"/>
              </w:rPr>
              <w:t>de l’option privilégiée (ou, à défaut, des options principales)?</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cs="Arial"/>
                <w:noProof/>
                <w:sz w:val="20"/>
              </w:rPr>
              <w:t>En ce qui concerne la cohérence du dispositif de surveillance des contreparties centrales établies dans l’UE, l’option privilégiée permettrait de la renforcer tout en veillant au maintien de l’harmonisation de domaines spécifiques en matière de surveillance et de responsabilité budgétaire au niveau national. Cette option permettrait également d’assurer une implication adéquate des banques centrales d’émission dans le cadre de leurs responsabilités et de fournir aux contreparties centrales ainsi qu’aux acteurs du marché davantage de clarté et de prévisibilité quant aux modalités de surveillance des contreparties centrales dans l’UE. À travers la rationalisation d’éléments clés de la surveillance des contreparties centrales, l’option privilégiée devrait conduire à une réduction des coûts à la fois pour les autorités de surveillance et pour les contreparties centrales.</w:t>
            </w:r>
          </w:p>
          <w:p>
            <w:pPr>
              <w:spacing w:after="0"/>
              <w:rPr>
                <w:rFonts w:ascii="Arial" w:hAnsi="Arial" w:cs="Arial"/>
                <w:noProof/>
                <w:sz w:val="20"/>
              </w:rPr>
            </w:pPr>
            <w:r>
              <w:rPr>
                <w:rFonts w:ascii="Arial" w:hAnsi="Arial" w:cs="Arial"/>
                <w:noProof/>
                <w:sz w:val="20"/>
              </w:rPr>
              <w:t>En ce qui concerne l’atténuation des risques liés aux contreparties centrales de pays tiers, l’option privilégiée permettrait aux autorités de l’UE d’assurer un meilleur contrôle, de mieux atténuer ces risques et de renforcer la stabilité globale du système financier de l’UE.</w:t>
            </w:r>
          </w:p>
          <w:p>
            <w:pPr>
              <w:spacing w:after="0"/>
              <w:rPr>
                <w:rFonts w:ascii="Arial" w:hAnsi="Arial" w:cs="Arial"/>
                <w:noProof/>
                <w:sz w:val="20"/>
              </w:rPr>
            </w:pPr>
            <w:r>
              <w:rPr>
                <w:rFonts w:ascii="Arial" w:hAnsi="Arial" w:cs="Arial"/>
                <w:noProof/>
                <w:sz w:val="20"/>
              </w:rPr>
              <w:t>Les deux options privilégiées contribueront à réduire le risque, déjà associé à une très faible probabilité (mais dont l’impact serait énorme), d’une défaillance d’une contrepartie centrale grâce au renforcement des capacités des autorités publiques de l’UE concernées à empêcher l’accumulation de risque systémique au sein des contreparties centrales de l’UE et à atténuer la propagation des difficultés financières préjudiciables par l’intermédiaire de contreparties centrales de pays tiers.</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Quels sont les coûts de l’option privilégiée (ou, à défaut, des options principales)?</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cs="Arial"/>
                <w:noProof/>
                <w:sz w:val="20"/>
              </w:rPr>
              <w:t>En ce qui concerne la cohérence du dispositif de surveillance des contreparties centrales établies dans l’UE, l’option privilégiée, qui prévoit la mise en place d’un nouveau mécanisme européen de surveillance, n’aura pas d’incidence sur le budget de l’UE, étant donné que les coûts supplémentaires éventuels seraient couverts par des redevances de surveillance imposées aux contreparties centrales de l’UE. Celles-ci seraient toutefois proportionnelles à leur activité et ne représenteraient qu’une fraction négligeable de leur chiffre d’affaires. Par conséquent, l’option privilégiée ne devrait pas avoir d’impact considérable sur le coût de la compensation, qu’il s’agisse des membres compensateurs ou de leurs clients directs et indirects.</w:t>
            </w:r>
          </w:p>
          <w:p>
            <w:pPr>
              <w:spacing w:after="0"/>
              <w:rPr>
                <w:rFonts w:ascii="Arial" w:hAnsi="Arial" w:cs="Arial"/>
                <w:noProof/>
                <w:sz w:val="20"/>
              </w:rPr>
            </w:pPr>
            <w:r>
              <w:rPr>
                <w:rFonts w:ascii="Arial" w:hAnsi="Arial" w:cs="Arial"/>
                <w:noProof/>
                <w:sz w:val="20"/>
              </w:rPr>
              <w:t xml:space="preserve">De même, les changements envisagés pour atténuer les risques présentés par les contreparties centrales de pays tiers n’auraient pas non plus d’incidence sur le budget de l’UE, car toutes les ressources supplémentaires pour le mécanisme européen seraient également financées par la perception de redevances de surveillance auprès des contreparties centrales de pays tiers. Outre ceux liés à la surveillance, la plupart des coûts auxquels seraient confrontées les contreparties compensatrices (membres compensateurs et leurs clients) se rapporteraient à la mise en place, pour les contreparties centrales de niveau 2, d’une politique de localisation qui s’appliquerait sur la base de critères objectifs. </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Quelle sera l’incidence sur les entreprises, les PME et les microentreprises?</w:t>
            </w:r>
          </w:p>
        </w:tc>
      </w:tr>
      <w:tr>
        <w:tc>
          <w:tcPr>
            <w:tcW w:w="10188" w:type="dxa"/>
            <w:tcBorders>
              <w:bottom w:val="single" w:sz="4" w:space="0" w:color="auto"/>
            </w:tcBorders>
            <w:shd w:val="clear" w:color="auto" w:fill="auto"/>
          </w:tcPr>
          <w:p>
            <w:pPr>
              <w:spacing w:after="0"/>
              <w:rPr>
                <w:rFonts w:ascii="Arial" w:hAnsi="Arial" w:cs="Arial"/>
                <w:i/>
                <w:noProof/>
                <w:sz w:val="20"/>
              </w:rPr>
            </w:pPr>
            <w:r>
              <w:rPr>
                <w:rFonts w:ascii="Arial" w:hAnsi="Arial" w:cs="Arial"/>
                <w:noProof/>
                <w:sz w:val="20"/>
              </w:rPr>
              <w:t>Les coûts liés au renforcement de la surveillance des contreparties centrales de l’UE et des pays tiers pourraient être répercutés sur les clients finaux des contreparties centrales, y compris les entreprises, les PME et les microentreprises. En termes nets, l’éventuelle augmentation des coûts de compensation ne sera probablement pas considérable, en particulier lorsqu’on le compare aux avantages liés à la proposition. Les entreprises, les PME et les microentreprises bénéficieront d’une plus grande stabilité résultant du renforcement de la capacité des autorités de l’UE à empêcher l’accumulation de risque systémique au sein des contreparties centrales de l’UE et à atténuer la propagation des difficultés financières par l’intermédiaire de contreparties centrales de pays tiers. La clarification des modalités de surveillance, tant pour les contreparties centrales de l’UE que pour celles de pays tiers, couplée à la récente initiative REFIT de la Commission sur la réduction des coûts disproportionnés pour les petites contreparties, devraient permettre de promouvoir davantage le recours à la compensation centrale, faciliter les opérations transfrontalières au sein de l’UE et, partant, renforcer la capacité des PME à accéder aux instruments financiers, que ce soit pour couvrir leurs risques ou pour investir.</w:t>
            </w:r>
          </w:p>
        </w:tc>
      </w:tr>
      <w:tr>
        <w:tc>
          <w:tcPr>
            <w:tcW w:w="10188" w:type="dxa"/>
            <w:tcBorders>
              <w:bottom w:val="single" w:sz="4" w:space="0" w:color="auto"/>
            </w:tcBorders>
            <w:shd w:val="clear" w:color="auto" w:fill="E6E6E6"/>
          </w:tcPr>
          <w:p>
            <w:pPr>
              <w:spacing w:after="0"/>
              <w:rPr>
                <w:rFonts w:ascii="Tahoma" w:hAnsi="Tahoma" w:cs="Tahoma"/>
                <w:b/>
                <w:i/>
                <w:noProof/>
                <w:sz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p>
        </w:tc>
      </w:tr>
      <w:tr>
        <w:tc>
          <w:tcPr>
            <w:tcW w:w="10188" w:type="dxa"/>
            <w:shd w:val="clear" w:color="auto" w:fill="auto"/>
          </w:tcPr>
          <w:p>
            <w:pPr>
              <w:spacing w:after="0"/>
              <w:rPr>
                <w:rFonts w:ascii="Arial" w:hAnsi="Arial" w:cs="Arial"/>
                <w:noProof/>
                <w:sz w:val="20"/>
              </w:rPr>
            </w:pPr>
            <w:r>
              <w:rPr>
                <w:rFonts w:ascii="Arial" w:hAnsi="Arial"/>
                <w:noProof/>
                <w:sz w:val="20"/>
              </w:rPr>
              <w:t>Non. Les modifications envisagées ne devraient pas entraîner de coûts notables pour les budgets nationaux et les administrations nationales.</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Y aura-t-il d’autres incidences notables?</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Non.</w:t>
            </w:r>
          </w:p>
        </w:tc>
      </w:tr>
      <w:tr>
        <w:tc>
          <w:tcPr>
            <w:tcW w:w="10188" w:type="dxa"/>
            <w:tcBorders>
              <w:bottom w:val="single" w:sz="4" w:space="0" w:color="auto"/>
            </w:tcBorders>
            <w:shd w:val="clear" w:color="auto" w:fill="C0C0C0"/>
          </w:tcPr>
          <w:p>
            <w:pPr>
              <w:spacing w:after="0"/>
              <w:jc w:val="center"/>
              <w:rPr>
                <w:rFonts w:ascii="Tahoma" w:hAnsi="Tahoma" w:cs="Tahoma"/>
                <w:b/>
                <w:noProof/>
              </w:rPr>
            </w:pPr>
            <w:r>
              <w:rPr>
                <w:rFonts w:ascii="Tahoma" w:hAnsi="Tahoma"/>
                <w:b/>
                <w:noProof/>
              </w:rPr>
              <w:t>D. Suivi</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Quand la législation sera-t-elle réexaminée?</w:t>
            </w:r>
          </w:p>
        </w:tc>
      </w:tr>
      <w:tr>
        <w:tc>
          <w:tcPr>
            <w:tcW w:w="10188" w:type="dxa"/>
            <w:tcBorders>
              <w:bottom w:val="single" w:sz="4" w:space="0" w:color="auto"/>
            </w:tcBorders>
            <w:shd w:val="clear" w:color="auto" w:fill="auto"/>
          </w:tcPr>
          <w:p>
            <w:pPr>
              <w:spacing w:after="0"/>
              <w:rPr>
                <w:rFonts w:ascii="Arial" w:hAnsi="Arial" w:cs="Arial"/>
                <w:b/>
                <w:noProof/>
                <w:sz w:val="20"/>
              </w:rPr>
            </w:pPr>
            <w:r>
              <w:rPr>
                <w:rFonts w:ascii="Arial" w:hAnsi="Arial"/>
                <w:noProof/>
                <w:sz w:val="20"/>
              </w:rPr>
              <w:t xml:space="preserve">Une évaluation du règlement EMIR dans tous ses éléments doit avoir lieu en mettant particulièrement l’accent sur l’efficacité et l’efficience du dispositif de surveillance proposé pour répondre aux objectifs initiaux du règlement EMIR. Cette évaluation devrait avoir lieu au moins 5 ans après l’application de ces modifications. </w:t>
            </w:r>
          </w:p>
        </w:tc>
      </w:tr>
    </w:tbl>
    <w:p>
      <w:pPr>
        <w:rPr>
          <w:noProof/>
        </w:rPr>
      </w:pPr>
      <w:bookmarkStart w:id="2" w:name="_Toc425860951"/>
      <w:bookmarkStart w:id="3" w:name="_Toc425861051"/>
      <w:bookmarkStart w:id="4" w:name="_Toc425861121"/>
      <w:bookmarkStart w:id="5" w:name="_Toc425869896"/>
      <w:bookmarkStart w:id="6" w:name="_Toc425860952"/>
      <w:bookmarkStart w:id="7" w:name="_Toc425861052"/>
      <w:bookmarkStart w:id="8" w:name="_Toc425861122"/>
      <w:bookmarkStart w:id="9" w:name="_Toc425869897"/>
      <w:bookmarkStart w:id="10" w:name="_Toc401848614"/>
      <w:bookmarkStart w:id="11" w:name="_Toc402183499"/>
      <w:bookmarkStart w:id="12" w:name="_Toc411439303"/>
      <w:bookmarkStart w:id="13" w:name="_Toc412736413"/>
      <w:bookmarkStart w:id="14" w:name="_Toc413053046"/>
      <w:bookmarkStart w:id="15" w:name="_Toc413138174"/>
      <w:bookmarkStart w:id="16" w:name="_Toc413139238"/>
      <w:bookmarkStart w:id="17" w:name="_Toc413139459"/>
      <w:bookmarkStart w:id="18" w:name="_Toc413139764"/>
      <w:bookmarkStart w:id="19" w:name="_Toc414268562"/>
      <w:bookmarkStart w:id="20" w:name="_Toc414453413"/>
      <w:bookmarkStart w:id="21" w:name="_Toc414466884"/>
      <w:bookmarkStart w:id="22" w:name="_Toc415131680"/>
      <w:bookmarkStart w:id="23" w:name="_Toc415654190"/>
      <w:bookmarkStart w:id="24" w:name="_Toc416265125"/>
      <w:bookmarkStart w:id="25" w:name="_Toc416265394"/>
      <w:bookmarkStart w:id="26" w:name="_Toc401848620"/>
      <w:bookmarkStart w:id="27" w:name="_Toc402183505"/>
      <w:bookmarkStart w:id="28" w:name="_Toc411439309"/>
      <w:bookmarkStart w:id="29" w:name="_Toc412736419"/>
      <w:bookmarkStart w:id="30" w:name="_Toc413053052"/>
      <w:bookmarkStart w:id="31" w:name="_Toc413138180"/>
      <w:bookmarkStart w:id="32" w:name="_Toc413139244"/>
      <w:bookmarkStart w:id="33" w:name="_Toc413139465"/>
      <w:bookmarkStart w:id="34" w:name="_Toc413139770"/>
      <w:bookmarkStart w:id="35" w:name="_Toc414268568"/>
      <w:bookmarkStart w:id="36" w:name="_Toc414453419"/>
      <w:bookmarkStart w:id="37" w:name="_Toc414466890"/>
      <w:bookmarkStart w:id="38" w:name="_Toc415131686"/>
      <w:bookmarkStart w:id="39" w:name="_Toc415654196"/>
      <w:bookmarkStart w:id="40" w:name="_Toc416265131"/>
      <w:bookmarkStart w:id="41" w:name="_Toc416265400"/>
      <w:bookmarkStart w:id="42" w:name="_Toc425860962"/>
      <w:bookmarkStart w:id="43" w:name="_Toc425861062"/>
      <w:bookmarkStart w:id="44" w:name="_Toc425861132"/>
      <w:bookmarkStart w:id="45" w:name="_Toc425869907"/>
      <w:bookmarkStart w:id="46" w:name="_Toc425860966"/>
      <w:bookmarkStart w:id="47" w:name="_Toc425861066"/>
      <w:bookmarkStart w:id="48" w:name="_Toc425861136"/>
      <w:bookmarkStart w:id="49" w:name="_Toc425869911"/>
      <w:bookmarkStart w:id="50" w:name="_Toc365634732"/>
      <w:bookmarkStart w:id="51" w:name="_Toc365637929"/>
      <w:bookmarkStart w:id="52" w:name="_Toc365638021"/>
      <w:bookmarkStart w:id="53" w:name="_Toc365638124"/>
      <w:bookmarkStart w:id="54" w:name="_Toc365638215"/>
      <w:bookmarkStart w:id="55" w:name="_Toc365638306"/>
      <w:bookmarkStart w:id="56" w:name="_Toc365634733"/>
      <w:bookmarkStart w:id="57" w:name="_Toc365637930"/>
      <w:bookmarkStart w:id="58" w:name="_Toc365638022"/>
      <w:bookmarkStart w:id="59" w:name="_Toc365638125"/>
      <w:bookmarkStart w:id="60" w:name="_Toc365638216"/>
      <w:bookmarkStart w:id="61" w:name="_Toc365638307"/>
      <w:bookmarkStart w:id="62" w:name="_Toc365634734"/>
      <w:bookmarkStart w:id="63" w:name="_Toc365637931"/>
      <w:bookmarkStart w:id="64" w:name="_Toc365638023"/>
      <w:bookmarkStart w:id="65" w:name="_Toc365638126"/>
      <w:bookmarkStart w:id="66" w:name="_Toc365638217"/>
      <w:bookmarkStart w:id="67" w:name="_Toc365638308"/>
      <w:bookmarkStart w:id="68" w:name="_Toc365634738"/>
      <w:bookmarkStart w:id="69" w:name="_Toc365637935"/>
      <w:bookmarkStart w:id="70" w:name="_Toc365638027"/>
      <w:bookmarkStart w:id="71" w:name="_Toc365638130"/>
      <w:bookmarkStart w:id="72" w:name="_Toc365638221"/>
      <w:bookmarkStart w:id="73" w:name="_Toc365638312"/>
      <w:bookmarkStart w:id="74" w:name="_Toc365634740"/>
      <w:bookmarkStart w:id="75" w:name="_Toc365637937"/>
      <w:bookmarkStart w:id="76" w:name="_Toc365638029"/>
      <w:bookmarkStart w:id="77" w:name="_Toc365638132"/>
      <w:bookmarkStart w:id="78" w:name="_Toc365638223"/>
      <w:bookmarkStart w:id="79" w:name="_Toc365638314"/>
      <w:bookmarkStart w:id="80" w:name="_Toc365634741"/>
      <w:bookmarkStart w:id="81" w:name="_Toc365637938"/>
      <w:bookmarkStart w:id="82" w:name="_Toc365638030"/>
      <w:bookmarkStart w:id="83" w:name="_Toc365638133"/>
      <w:bookmarkStart w:id="84" w:name="_Toc365638224"/>
      <w:bookmarkStart w:id="85" w:name="_Toc365638315"/>
      <w:bookmarkStart w:id="86" w:name="_Toc365634742"/>
      <w:bookmarkStart w:id="87" w:name="_Toc365637939"/>
      <w:bookmarkStart w:id="88" w:name="_Toc365638031"/>
      <w:bookmarkStart w:id="89" w:name="_Toc365638134"/>
      <w:bookmarkStart w:id="90" w:name="_Toc365638225"/>
      <w:bookmarkStart w:id="91" w:name="_Toc365638316"/>
      <w:bookmarkStart w:id="92" w:name="_Toc365634748"/>
      <w:bookmarkStart w:id="93" w:name="_Toc365637945"/>
      <w:bookmarkStart w:id="94" w:name="_Toc365638037"/>
      <w:bookmarkStart w:id="95" w:name="_Toc365638140"/>
      <w:bookmarkStart w:id="96" w:name="_Toc365638231"/>
      <w:bookmarkStart w:id="97" w:name="_Toc365638322"/>
      <w:bookmarkStart w:id="98" w:name="_Toc365634749"/>
      <w:bookmarkStart w:id="99" w:name="_Toc365637946"/>
      <w:bookmarkStart w:id="100" w:name="_Toc365638038"/>
      <w:bookmarkStart w:id="101" w:name="_Toc365638141"/>
      <w:bookmarkStart w:id="102" w:name="_Toc365638232"/>
      <w:bookmarkStart w:id="103" w:name="_Toc365638323"/>
      <w:bookmarkStart w:id="104" w:name="_Toc365634754"/>
      <w:bookmarkStart w:id="105" w:name="_Toc365637951"/>
      <w:bookmarkStart w:id="106" w:name="_Toc365638043"/>
      <w:bookmarkStart w:id="107" w:name="_Toc365638146"/>
      <w:bookmarkStart w:id="108" w:name="_Toc365638237"/>
      <w:bookmarkStart w:id="109" w:name="_Toc365638328"/>
      <w:bookmarkStart w:id="110" w:name="_Toc365634757"/>
      <w:bookmarkStart w:id="111" w:name="_Toc365637954"/>
      <w:bookmarkStart w:id="112" w:name="_Toc365638046"/>
      <w:bookmarkStart w:id="113" w:name="_Toc365638149"/>
      <w:bookmarkStart w:id="114" w:name="_Toc365638240"/>
      <w:bookmarkStart w:id="115" w:name="_Toc365638331"/>
      <w:bookmarkStart w:id="116" w:name="_Toc365629685"/>
      <w:bookmarkStart w:id="117" w:name="_Toc365634758"/>
      <w:bookmarkStart w:id="118" w:name="_Toc365637955"/>
      <w:bookmarkStart w:id="119" w:name="_Toc365638047"/>
      <w:bookmarkStart w:id="120" w:name="_Toc365638150"/>
      <w:bookmarkStart w:id="121" w:name="_Toc365638241"/>
      <w:bookmarkStart w:id="122" w:name="_Toc365638332"/>
      <w:bookmarkStart w:id="123" w:name="_Toc365629688"/>
      <w:bookmarkStart w:id="124" w:name="_Toc365634761"/>
      <w:bookmarkStart w:id="125" w:name="_Toc365637958"/>
      <w:bookmarkStart w:id="126" w:name="_Toc365638050"/>
      <w:bookmarkStart w:id="127" w:name="_Toc365638153"/>
      <w:bookmarkStart w:id="128" w:name="_Toc365638244"/>
      <w:bookmarkStart w:id="129" w:name="_Toc365638335"/>
      <w:bookmarkStart w:id="130" w:name="_Toc365629689"/>
      <w:bookmarkStart w:id="131" w:name="_Toc365634762"/>
      <w:bookmarkStart w:id="132" w:name="_Toc365637959"/>
      <w:bookmarkStart w:id="133" w:name="_Toc365638051"/>
      <w:bookmarkStart w:id="134" w:name="_Toc365638154"/>
      <w:bookmarkStart w:id="135" w:name="_Toc365638245"/>
      <w:bookmarkStart w:id="136" w:name="_Toc365638336"/>
      <w:bookmarkStart w:id="137" w:name="_Toc365629690"/>
      <w:bookmarkStart w:id="138" w:name="_Toc365634763"/>
      <w:bookmarkStart w:id="139" w:name="_Toc365637960"/>
      <w:bookmarkStart w:id="140" w:name="_Toc365638052"/>
      <w:bookmarkStart w:id="141" w:name="_Toc365638155"/>
      <w:bookmarkStart w:id="142" w:name="_Toc365638246"/>
      <w:bookmarkStart w:id="143" w:name="_Toc365638337"/>
      <w:bookmarkStart w:id="144" w:name="_Toc365629691"/>
      <w:bookmarkStart w:id="145" w:name="_Toc365634764"/>
      <w:bookmarkStart w:id="146" w:name="_Toc365637961"/>
      <w:bookmarkStart w:id="147" w:name="_Toc365638053"/>
      <w:bookmarkStart w:id="148" w:name="_Toc365638156"/>
      <w:bookmarkStart w:id="149" w:name="_Toc365638247"/>
      <w:bookmarkStart w:id="150" w:name="_Toc365638338"/>
      <w:bookmarkStart w:id="151" w:name="_Toc365629692"/>
      <w:bookmarkStart w:id="152" w:name="_Toc365634765"/>
      <w:bookmarkStart w:id="153" w:name="_Toc365637962"/>
      <w:bookmarkStart w:id="154" w:name="_Toc365638054"/>
      <w:bookmarkStart w:id="155" w:name="_Toc365638157"/>
      <w:bookmarkStart w:id="156" w:name="_Toc365638248"/>
      <w:bookmarkStart w:id="157" w:name="_Toc365638339"/>
      <w:bookmarkStart w:id="158" w:name="_Toc365629698"/>
      <w:bookmarkStart w:id="159" w:name="_Toc365634771"/>
      <w:bookmarkStart w:id="160" w:name="_Toc365637968"/>
      <w:bookmarkStart w:id="161" w:name="_Toc365638060"/>
      <w:bookmarkStart w:id="162" w:name="_Toc365638163"/>
      <w:bookmarkStart w:id="163" w:name="_Toc365638254"/>
      <w:bookmarkStart w:id="164" w:name="_Toc365638345"/>
      <w:bookmarkStart w:id="165" w:name="_Toc365629699"/>
      <w:bookmarkStart w:id="166" w:name="_Toc365634772"/>
      <w:bookmarkStart w:id="167" w:name="_Toc365637969"/>
      <w:bookmarkStart w:id="168" w:name="_Toc365638061"/>
      <w:bookmarkStart w:id="169" w:name="_Toc365638164"/>
      <w:bookmarkStart w:id="170" w:name="_Toc365638255"/>
      <w:bookmarkStart w:id="171" w:name="_Toc365638346"/>
      <w:bookmarkStart w:id="172" w:name="_Toc365629709"/>
      <w:bookmarkStart w:id="173" w:name="_Toc365634782"/>
      <w:bookmarkStart w:id="174" w:name="_Toc365637979"/>
      <w:bookmarkStart w:id="175" w:name="_Toc365638071"/>
      <w:bookmarkStart w:id="176" w:name="_Toc365638174"/>
      <w:bookmarkStart w:id="177" w:name="_Toc365638265"/>
      <w:bookmarkStart w:id="178" w:name="_Toc365638356"/>
      <w:bookmarkStart w:id="179" w:name="_Toc393878190"/>
      <w:bookmarkStart w:id="180" w:name="_Toc396322098"/>
      <w:bookmarkStart w:id="181" w:name="_Toc396322309"/>
      <w:bookmarkStart w:id="182" w:name="_Toc396409130"/>
      <w:bookmarkStart w:id="183" w:name="_Toc396409355"/>
      <w:bookmarkStart w:id="184" w:name="_Toc396484040"/>
      <w:bookmarkStart w:id="185" w:name="_Toc400121137"/>
      <w:bookmarkStart w:id="186" w:name="_Toc401848630"/>
      <w:bookmarkStart w:id="187" w:name="_Toc402183516"/>
      <w:bookmarkStart w:id="188" w:name="_Toc411439316"/>
      <w:bookmarkStart w:id="189" w:name="_Toc412736426"/>
      <w:bookmarkStart w:id="190" w:name="_Toc413053059"/>
      <w:bookmarkStart w:id="191" w:name="_Toc413138187"/>
      <w:bookmarkStart w:id="192" w:name="_Toc413139251"/>
      <w:bookmarkStart w:id="193" w:name="_Toc413139472"/>
      <w:bookmarkStart w:id="194" w:name="_Toc413139777"/>
      <w:bookmarkStart w:id="195" w:name="_Toc414268575"/>
      <w:bookmarkStart w:id="196" w:name="_Toc414453426"/>
      <w:bookmarkStart w:id="197" w:name="_Toc414466897"/>
      <w:bookmarkStart w:id="198" w:name="_Toc415131693"/>
      <w:bookmarkStart w:id="199" w:name="_Toc415654203"/>
      <w:bookmarkStart w:id="200" w:name="_Toc416265138"/>
      <w:bookmarkStart w:id="201" w:name="_Toc416265407"/>
      <w:bookmarkStart w:id="202" w:name="_Toc393878202"/>
      <w:bookmarkStart w:id="203" w:name="_Toc396322109"/>
      <w:bookmarkStart w:id="204" w:name="_Toc396322320"/>
      <w:bookmarkStart w:id="205" w:name="_Toc396409141"/>
      <w:bookmarkStart w:id="206" w:name="_Toc396409366"/>
      <w:bookmarkStart w:id="207" w:name="_Toc396484051"/>
      <w:bookmarkStart w:id="208" w:name="_Toc400121148"/>
      <w:bookmarkStart w:id="209" w:name="_Toc401848641"/>
      <w:bookmarkStart w:id="210" w:name="_Toc402183527"/>
      <w:bookmarkStart w:id="211" w:name="_Toc411439326"/>
      <w:bookmarkStart w:id="212" w:name="_Toc412736436"/>
      <w:bookmarkStart w:id="213" w:name="_Toc413053069"/>
      <w:bookmarkStart w:id="214" w:name="_Toc413138197"/>
      <w:bookmarkStart w:id="215" w:name="_Toc413139261"/>
      <w:bookmarkStart w:id="216" w:name="_Toc413139482"/>
      <w:bookmarkStart w:id="217" w:name="_Toc413139787"/>
      <w:bookmarkStart w:id="218" w:name="_Toc414268589"/>
      <w:bookmarkStart w:id="219" w:name="_Toc414453440"/>
      <w:bookmarkStart w:id="220" w:name="_Toc414466911"/>
      <w:bookmarkStart w:id="221" w:name="_Toc415131707"/>
      <w:bookmarkStart w:id="222" w:name="_Toc415654217"/>
      <w:bookmarkStart w:id="223" w:name="_Toc416265152"/>
      <w:bookmarkStart w:id="224" w:name="_Toc416265421"/>
      <w:bookmarkStart w:id="225" w:name="_Toc425860981"/>
      <w:bookmarkStart w:id="226" w:name="_Toc425861081"/>
      <w:bookmarkStart w:id="227" w:name="_Toc425861151"/>
      <w:bookmarkStart w:id="228" w:name="_Toc425869926"/>
      <w:bookmarkStart w:id="229" w:name="_Toc425860984"/>
      <w:bookmarkStart w:id="230" w:name="_Toc425861084"/>
      <w:bookmarkStart w:id="231" w:name="_Toc425861154"/>
      <w:bookmarkStart w:id="232" w:name="_Toc4258699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4331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D72132"/>
    <w:multiLevelType w:val="hybridMultilevel"/>
    <w:tmpl w:val="FD0417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449094C"/>
    <w:multiLevelType w:val="hybridMultilevel"/>
    <w:tmpl w:val="C7A69FBA"/>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1648C0"/>
    <w:multiLevelType w:val="hybridMultilevel"/>
    <w:tmpl w:val="727A40EE"/>
    <w:lvl w:ilvl="0" w:tplc="492A33A0">
      <w:start w:val="1"/>
      <w:numFmt w:val="decimal"/>
      <w:lvlText w:val="%1."/>
      <w:lvlJc w:val="left"/>
      <w:pPr>
        <w:ind w:left="360" w:hanging="360"/>
      </w:pPr>
    </w:lvl>
    <w:lvl w:ilvl="1" w:tplc="38FA3DF4">
      <w:start w:val="1"/>
      <w:numFmt w:val="decimal"/>
      <w:lvlText w:val="%2)"/>
      <w:lvlJc w:val="left"/>
      <w:pPr>
        <w:ind w:left="1080" w:hanging="360"/>
      </w:pPr>
      <w:rPr>
        <w:rFonts w:hint="default"/>
      </w:rPr>
    </w:lvl>
    <w:lvl w:ilvl="2" w:tplc="078A8612">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55841EF"/>
    <w:multiLevelType w:val="hybridMultilevel"/>
    <w:tmpl w:val="57F0039E"/>
    <w:lvl w:ilvl="0" w:tplc="7D4099A8">
      <w:start w:val="1"/>
      <w:numFmt w:val="lowerRoman"/>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05900B49"/>
    <w:multiLevelType w:val="hybridMultilevel"/>
    <w:tmpl w:val="540A6EAA"/>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7C7126"/>
    <w:multiLevelType w:val="hybridMultilevel"/>
    <w:tmpl w:val="24145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BA01F5C"/>
    <w:multiLevelType w:val="hybridMultilevel"/>
    <w:tmpl w:val="9042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580DF7"/>
    <w:multiLevelType w:val="hybridMultilevel"/>
    <w:tmpl w:val="BD4CC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0B10491"/>
    <w:multiLevelType w:val="multilevel"/>
    <w:tmpl w:val="0809001F"/>
    <w:name w:val="0,109167"/>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29041EA"/>
    <w:multiLevelType w:val="hybridMultilevel"/>
    <w:tmpl w:val="2656171A"/>
    <w:lvl w:ilvl="0" w:tplc="AEF68F90">
      <w:start w:val="1"/>
      <w:numFmt w:val="bullet"/>
      <w:pStyle w:val="Bullet"/>
      <w:lvlText w:val=""/>
      <w:lvlJc w:val="left"/>
      <w:pPr>
        <w:tabs>
          <w:tab w:val="num" w:pos="1134"/>
        </w:tabs>
        <w:ind w:left="1134" w:hanging="283"/>
      </w:pPr>
      <w:rPr>
        <w:rFonts w:ascii="Symbol" w:hAnsi="Symbol" w:hint="default"/>
        <w:sz w:val="22"/>
      </w:rPr>
    </w:lvl>
    <w:lvl w:ilvl="1" w:tplc="04090003">
      <w:start w:val="1"/>
      <w:numFmt w:val="bullet"/>
      <w:pStyle w:val="IndentedHeading2"/>
      <w:lvlText w:val="o"/>
      <w:lvlJc w:val="left"/>
      <w:pPr>
        <w:tabs>
          <w:tab w:val="num" w:pos="2007"/>
        </w:tabs>
        <w:ind w:left="2007" w:hanging="360"/>
      </w:pPr>
      <w:rPr>
        <w:rFonts w:ascii="Courier New" w:hAnsi="Courier New" w:cs="Times New Roman" w:hint="default"/>
      </w:rPr>
    </w:lvl>
    <w:lvl w:ilvl="2" w:tplc="04090005">
      <w:start w:val="1"/>
      <w:numFmt w:val="bullet"/>
      <w:pStyle w:val="IndentedHeading3"/>
      <w:lvlText w:val=""/>
      <w:lvlJc w:val="left"/>
      <w:pPr>
        <w:tabs>
          <w:tab w:val="num" w:pos="2727"/>
        </w:tabs>
        <w:ind w:left="2727" w:hanging="360"/>
      </w:pPr>
      <w:rPr>
        <w:rFonts w:ascii="Wingdings" w:hAnsi="Wingdings" w:hint="default"/>
      </w:rPr>
    </w:lvl>
    <w:lvl w:ilvl="3" w:tplc="04090001">
      <w:start w:val="1"/>
      <w:numFmt w:val="bullet"/>
      <w:pStyle w:val="IndentedHeading4"/>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547533"/>
    <w:multiLevelType w:val="hybridMultilevel"/>
    <w:tmpl w:val="F05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F3197E"/>
    <w:multiLevelType w:val="hybridMultilevel"/>
    <w:tmpl w:val="6B5870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F734306"/>
    <w:multiLevelType w:val="multilevel"/>
    <w:tmpl w:val="20D27972"/>
    <w:lvl w:ilvl="0">
      <w:start w:val="1"/>
      <w:numFmt w:val="decimal"/>
      <w:pStyle w:val="Heading1"/>
      <w:lvlText w:val="%1."/>
      <w:lvlJc w:val="left"/>
      <w:pPr>
        <w:tabs>
          <w:tab w:val="num" w:pos="480"/>
        </w:tabs>
        <w:ind w:left="480" w:hanging="480"/>
      </w:pPr>
      <w:rPr>
        <w:rFonts w:ascii="Times New Roman Bold" w:hAnsi="Times New Roman Bold" w:hint="default"/>
        <w:b/>
        <w:i w:val="0"/>
        <w:sz w:val="24"/>
      </w:rPr>
    </w:lvl>
    <w:lvl w:ilvl="1">
      <w:start w:val="1"/>
      <w:numFmt w:val="decimal"/>
      <w:pStyle w:val="Heading2"/>
      <w:lvlText w:val="%1.%2."/>
      <w:lvlJc w:val="left"/>
      <w:pPr>
        <w:tabs>
          <w:tab w:val="num" w:pos="1200"/>
        </w:tabs>
        <w:ind w:left="12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pStyle w:val="Heading3"/>
      <w:lvlText w:val=""/>
      <w:lvlJc w:val="left"/>
      <w:pPr>
        <w:tabs>
          <w:tab w:val="num" w:pos="360"/>
        </w:tabs>
        <w:ind w:left="0" w:firstLine="0"/>
      </w:pPr>
      <w:rPr>
        <w:rFonts w:hint="default"/>
      </w:rPr>
    </w:lvl>
    <w:lvl w:ilvl="3">
      <w:numFmt w:val="none"/>
      <w:pStyle w:val="Heading4"/>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FC46615"/>
    <w:multiLevelType w:val="hybridMultilevel"/>
    <w:tmpl w:val="4786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A50438"/>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F50111"/>
    <w:multiLevelType w:val="hybridMultilevel"/>
    <w:tmpl w:val="7A06CBF2"/>
    <w:lvl w:ilvl="0" w:tplc="0809000F">
      <w:start w:val="1"/>
      <w:numFmt w:val="decimal"/>
      <w:lvlText w:val="%1."/>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9">
    <w:nsid w:val="21FA2835"/>
    <w:multiLevelType w:val="hybridMultilevel"/>
    <w:tmpl w:val="6CEAAE8C"/>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0">
    <w:nsid w:val="22DD3599"/>
    <w:multiLevelType w:val="multilevel"/>
    <w:tmpl w:val="4EAA5BA6"/>
    <w:lvl w:ilvl="0">
      <w:numFmt w:val="decimal"/>
      <w:pStyle w:val="ListNumber"/>
      <w:lvlText w:val=""/>
      <w:lvlJc w:val="left"/>
    </w:lvl>
    <w:lvl w:ilvl="1">
      <w:numFmt w:val="decimal"/>
      <w:pStyle w:val="ListNumberLevel2"/>
      <w:lvlText w:val=""/>
      <w:lvlJc w:val="left"/>
    </w:lvl>
    <w:lvl w:ilvl="2">
      <w:numFmt w:val="decimal"/>
      <w:pStyle w:val="ListNumberLevel3"/>
      <w:lvlText w:val=""/>
      <w:lvlJc w:val="left"/>
    </w:lvl>
    <w:lvl w:ilvl="3">
      <w:numFmt w:val="decimal"/>
      <w:pStyle w:val="ListNumber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0D6688"/>
    <w:multiLevelType w:val="hybridMultilevel"/>
    <w:tmpl w:val="5F3E5A70"/>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2">
    <w:nsid w:val="282C4A6E"/>
    <w:multiLevelType w:val="hybridMultilevel"/>
    <w:tmpl w:val="31BE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F76E7A"/>
    <w:multiLevelType w:val="singleLevel"/>
    <w:tmpl w:val="C74C5A32"/>
    <w:lvl w:ilvl="0">
      <w:numFmt w:val="decimal"/>
      <w:pStyle w:val="Bullet1"/>
      <w:lvlText w:val=""/>
      <w:lvlJc w:val="left"/>
    </w:lvl>
  </w:abstractNum>
  <w:abstractNum w:abstractNumId="24">
    <w:nsid w:val="2B75631B"/>
    <w:multiLevelType w:val="singleLevel"/>
    <w:tmpl w:val="A4DC141A"/>
    <w:lvl w:ilvl="0">
      <w:numFmt w:val="decimal"/>
      <w:pStyle w:val="ListBullet1"/>
      <w:lvlText w:val=""/>
      <w:lvlJc w:val="left"/>
    </w:lvl>
  </w:abstractNum>
  <w:abstractNum w:abstractNumId="25">
    <w:nsid w:val="2CAB4527"/>
    <w:multiLevelType w:val="multilevel"/>
    <w:tmpl w:val="26C24C12"/>
    <w:lvl w:ilvl="0">
      <w:numFmt w:val="decimal"/>
      <w:pStyle w:val="ListNumber3"/>
      <w:lvlText w:val=""/>
      <w:lvlJc w:val="left"/>
    </w:lvl>
    <w:lvl w:ilvl="1">
      <w:numFmt w:val="decimal"/>
      <w:pStyle w:val="ListNumber3Level2"/>
      <w:lvlText w:val=""/>
      <w:lvlJc w:val="left"/>
    </w:lvl>
    <w:lvl w:ilvl="2">
      <w:numFmt w:val="decimal"/>
      <w:pStyle w:val="ListNumber3Level3"/>
      <w:lvlText w:val=""/>
      <w:lvlJc w:val="left"/>
    </w:lvl>
    <w:lvl w:ilvl="3">
      <w:numFmt w:val="decimal"/>
      <w:pStyle w:val="ListNumber3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ED84BD9"/>
    <w:multiLevelType w:val="hybridMultilevel"/>
    <w:tmpl w:val="0C9C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F7567BD"/>
    <w:multiLevelType w:val="hybridMultilevel"/>
    <w:tmpl w:val="F236C958"/>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09F7BBE"/>
    <w:multiLevelType w:val="hybridMultilevel"/>
    <w:tmpl w:val="027A660A"/>
    <w:lvl w:ilvl="0" w:tplc="217E480C">
      <w:start w:val="1"/>
      <w:numFmt w:val="bullet"/>
      <w:lvlText w:val="•"/>
      <w:lvlJc w:val="left"/>
      <w:pPr>
        <w:tabs>
          <w:tab w:val="num" w:pos="720"/>
        </w:tabs>
        <w:ind w:left="720" w:hanging="360"/>
      </w:pPr>
      <w:rPr>
        <w:rFonts w:ascii="Times New Roman" w:hAnsi="Times New Roman" w:hint="default"/>
      </w:rPr>
    </w:lvl>
    <w:lvl w:ilvl="1" w:tplc="61124670" w:tentative="1">
      <w:start w:val="1"/>
      <w:numFmt w:val="bullet"/>
      <w:lvlText w:val="•"/>
      <w:lvlJc w:val="left"/>
      <w:pPr>
        <w:tabs>
          <w:tab w:val="num" w:pos="1440"/>
        </w:tabs>
        <w:ind w:left="1440" w:hanging="360"/>
      </w:pPr>
      <w:rPr>
        <w:rFonts w:ascii="Times New Roman" w:hAnsi="Times New Roman" w:hint="default"/>
      </w:rPr>
    </w:lvl>
    <w:lvl w:ilvl="2" w:tplc="AE66FFA4" w:tentative="1">
      <w:start w:val="1"/>
      <w:numFmt w:val="bullet"/>
      <w:lvlText w:val="•"/>
      <w:lvlJc w:val="left"/>
      <w:pPr>
        <w:tabs>
          <w:tab w:val="num" w:pos="2160"/>
        </w:tabs>
        <w:ind w:left="2160" w:hanging="360"/>
      </w:pPr>
      <w:rPr>
        <w:rFonts w:ascii="Times New Roman" w:hAnsi="Times New Roman" w:hint="default"/>
      </w:rPr>
    </w:lvl>
    <w:lvl w:ilvl="3" w:tplc="0382E67C" w:tentative="1">
      <w:start w:val="1"/>
      <w:numFmt w:val="bullet"/>
      <w:lvlText w:val="•"/>
      <w:lvlJc w:val="left"/>
      <w:pPr>
        <w:tabs>
          <w:tab w:val="num" w:pos="2880"/>
        </w:tabs>
        <w:ind w:left="2880" w:hanging="360"/>
      </w:pPr>
      <w:rPr>
        <w:rFonts w:ascii="Times New Roman" w:hAnsi="Times New Roman" w:hint="default"/>
      </w:rPr>
    </w:lvl>
    <w:lvl w:ilvl="4" w:tplc="CBBEDCD2" w:tentative="1">
      <w:start w:val="1"/>
      <w:numFmt w:val="bullet"/>
      <w:lvlText w:val="•"/>
      <w:lvlJc w:val="left"/>
      <w:pPr>
        <w:tabs>
          <w:tab w:val="num" w:pos="3600"/>
        </w:tabs>
        <w:ind w:left="3600" w:hanging="360"/>
      </w:pPr>
      <w:rPr>
        <w:rFonts w:ascii="Times New Roman" w:hAnsi="Times New Roman" w:hint="default"/>
      </w:rPr>
    </w:lvl>
    <w:lvl w:ilvl="5" w:tplc="1BE2FBEA" w:tentative="1">
      <w:start w:val="1"/>
      <w:numFmt w:val="bullet"/>
      <w:lvlText w:val="•"/>
      <w:lvlJc w:val="left"/>
      <w:pPr>
        <w:tabs>
          <w:tab w:val="num" w:pos="4320"/>
        </w:tabs>
        <w:ind w:left="4320" w:hanging="360"/>
      </w:pPr>
      <w:rPr>
        <w:rFonts w:ascii="Times New Roman" w:hAnsi="Times New Roman" w:hint="default"/>
      </w:rPr>
    </w:lvl>
    <w:lvl w:ilvl="6" w:tplc="EDBE42C0" w:tentative="1">
      <w:start w:val="1"/>
      <w:numFmt w:val="bullet"/>
      <w:lvlText w:val="•"/>
      <w:lvlJc w:val="left"/>
      <w:pPr>
        <w:tabs>
          <w:tab w:val="num" w:pos="5040"/>
        </w:tabs>
        <w:ind w:left="5040" w:hanging="360"/>
      </w:pPr>
      <w:rPr>
        <w:rFonts w:ascii="Times New Roman" w:hAnsi="Times New Roman" w:hint="default"/>
      </w:rPr>
    </w:lvl>
    <w:lvl w:ilvl="7" w:tplc="0DDE61CE" w:tentative="1">
      <w:start w:val="1"/>
      <w:numFmt w:val="bullet"/>
      <w:lvlText w:val="•"/>
      <w:lvlJc w:val="left"/>
      <w:pPr>
        <w:tabs>
          <w:tab w:val="num" w:pos="5760"/>
        </w:tabs>
        <w:ind w:left="5760" w:hanging="360"/>
      </w:pPr>
      <w:rPr>
        <w:rFonts w:ascii="Times New Roman" w:hAnsi="Times New Roman" w:hint="default"/>
      </w:rPr>
    </w:lvl>
    <w:lvl w:ilvl="8" w:tplc="A7A4B36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2897D54"/>
    <w:multiLevelType w:val="hybridMultilevel"/>
    <w:tmpl w:val="BB5C5C7E"/>
    <w:lvl w:ilvl="0" w:tplc="0809000F">
      <w:numFmt w:val="decimal"/>
      <w:lvlText w:val=""/>
      <w:lvlJc w:val="left"/>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4293F3F"/>
    <w:multiLevelType w:val="singleLevel"/>
    <w:tmpl w:val="B074E4EC"/>
    <w:lvl w:ilvl="0">
      <w:numFmt w:val="decimal"/>
      <w:pStyle w:val="ListDash"/>
      <w:lvlText w:val=""/>
      <w:lvlJc w:val="left"/>
    </w:lvl>
  </w:abstractNum>
  <w:abstractNum w:abstractNumId="32">
    <w:nsid w:val="343E59FC"/>
    <w:multiLevelType w:val="hybridMultilevel"/>
    <w:tmpl w:val="CFFC80F8"/>
    <w:lvl w:ilvl="0" w:tplc="BE44C856">
      <w:start w:val="1"/>
      <w:numFmt w:val="lowerRoman"/>
      <w:lvlText w:val="(%1)"/>
      <w:lvlJc w:val="left"/>
      <w:pPr>
        <w:ind w:left="1353" w:hanging="360"/>
      </w:pPr>
      <w:rPr>
        <w:rFonts w:cs="Times New Roman"/>
      </w:rPr>
    </w:lvl>
    <w:lvl w:ilvl="1" w:tplc="08090019">
      <w:start w:val="1"/>
      <w:numFmt w:val="lowerLetter"/>
      <w:lvlText w:val="%2."/>
      <w:lvlJc w:val="left"/>
      <w:pPr>
        <w:ind w:left="1931" w:hanging="360"/>
      </w:pPr>
      <w:rPr>
        <w:rFonts w:cs="Times New Roman"/>
      </w:rPr>
    </w:lvl>
    <w:lvl w:ilvl="2" w:tplc="0809001B">
      <w:start w:val="1"/>
      <w:numFmt w:val="lowerRoman"/>
      <w:lvlText w:val="%3."/>
      <w:lvlJc w:val="right"/>
      <w:pPr>
        <w:ind w:left="2651" w:hanging="180"/>
      </w:pPr>
      <w:rPr>
        <w:rFonts w:cs="Times New Roman"/>
      </w:rPr>
    </w:lvl>
    <w:lvl w:ilvl="3" w:tplc="0809000F">
      <w:start w:val="1"/>
      <w:numFmt w:val="decimal"/>
      <w:lvlText w:val="%4."/>
      <w:lvlJc w:val="left"/>
      <w:pPr>
        <w:ind w:left="3371" w:hanging="360"/>
      </w:pPr>
      <w:rPr>
        <w:rFonts w:cs="Times New Roman"/>
      </w:rPr>
    </w:lvl>
    <w:lvl w:ilvl="4" w:tplc="08090019">
      <w:start w:val="1"/>
      <w:numFmt w:val="lowerLetter"/>
      <w:lvlText w:val="%5."/>
      <w:lvlJc w:val="left"/>
      <w:pPr>
        <w:ind w:left="4091" w:hanging="360"/>
      </w:pPr>
      <w:rPr>
        <w:rFonts w:cs="Times New Roman"/>
      </w:rPr>
    </w:lvl>
    <w:lvl w:ilvl="5" w:tplc="0809001B">
      <w:start w:val="1"/>
      <w:numFmt w:val="lowerRoman"/>
      <w:lvlText w:val="%6."/>
      <w:lvlJc w:val="right"/>
      <w:pPr>
        <w:ind w:left="4811" w:hanging="180"/>
      </w:pPr>
      <w:rPr>
        <w:rFonts w:cs="Times New Roman"/>
      </w:rPr>
    </w:lvl>
    <w:lvl w:ilvl="6" w:tplc="0809000F">
      <w:start w:val="1"/>
      <w:numFmt w:val="decimal"/>
      <w:lvlText w:val="%7."/>
      <w:lvlJc w:val="left"/>
      <w:pPr>
        <w:ind w:left="5531" w:hanging="360"/>
      </w:pPr>
      <w:rPr>
        <w:rFonts w:cs="Times New Roman"/>
      </w:rPr>
    </w:lvl>
    <w:lvl w:ilvl="7" w:tplc="08090019">
      <w:start w:val="1"/>
      <w:numFmt w:val="lowerLetter"/>
      <w:lvlText w:val="%8."/>
      <w:lvlJc w:val="left"/>
      <w:pPr>
        <w:ind w:left="6251" w:hanging="360"/>
      </w:pPr>
      <w:rPr>
        <w:rFonts w:cs="Times New Roman"/>
      </w:rPr>
    </w:lvl>
    <w:lvl w:ilvl="8" w:tplc="0809001B">
      <w:start w:val="1"/>
      <w:numFmt w:val="lowerRoman"/>
      <w:lvlText w:val="%9."/>
      <w:lvlJc w:val="right"/>
      <w:pPr>
        <w:ind w:left="6971" w:hanging="180"/>
      </w:pPr>
      <w:rPr>
        <w:rFonts w:cs="Times New Roman"/>
      </w:rPr>
    </w:lvl>
  </w:abstractNum>
  <w:abstractNum w:abstractNumId="33">
    <w:nsid w:val="358B6119"/>
    <w:multiLevelType w:val="multilevel"/>
    <w:tmpl w:val="A8BA546C"/>
    <w:lvl w:ilvl="0">
      <w:numFmt w:val="decimal"/>
      <w:pStyle w:val="ListNumber1"/>
      <w:lvlText w:val=""/>
      <w:lvlJc w:val="left"/>
    </w:lvl>
    <w:lvl w:ilvl="1">
      <w:numFmt w:val="decimal"/>
      <w:pStyle w:val="ListNumber1Level2"/>
      <w:lvlText w:val=""/>
      <w:lvlJc w:val="left"/>
    </w:lvl>
    <w:lvl w:ilvl="2">
      <w:numFmt w:val="decimal"/>
      <w:pStyle w:val="ListNumber1Level3"/>
      <w:lvlText w:val=""/>
      <w:lvlJc w:val="left"/>
    </w:lvl>
    <w:lvl w:ilvl="3">
      <w:numFmt w:val="decimal"/>
      <w:pStyle w:val="ListNumber1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8C6F57"/>
    <w:multiLevelType w:val="multilevel"/>
    <w:tmpl w:val="9822F168"/>
    <w:lvl w:ilvl="0">
      <w:start w:val="1"/>
      <w:numFmt w:val="decimal"/>
      <w:lvlText w:val="%1."/>
      <w:lvlJc w:val="left"/>
      <w:pPr>
        <w:tabs>
          <w:tab w:val="num" w:pos="851"/>
        </w:tabs>
        <w:ind w:left="851" w:hanging="851"/>
      </w:pPr>
      <w:rPr>
        <w:rFonts w:ascii="Times New Roman Bold" w:hAnsi="Times New Roman Bold" w:cs="Courier" w:hint="default"/>
        <w:b/>
        <w:bCs w:val="0"/>
        <w:i w:val="0"/>
        <w:caps w:val="0"/>
        <w:strike w:val="0"/>
        <w:dstrike w:val="0"/>
        <w:vanish w:val="0"/>
        <w:webHidden w:val="0"/>
        <w:color w:val="000000"/>
        <w:spacing w:val="0"/>
        <w:kern w:val="0"/>
        <w:position w:val="0"/>
        <w:sz w:val="24"/>
        <w:szCs w:val="24"/>
        <w:u w:val="none"/>
        <w:effect w:val="none"/>
        <w:vertAlign w:val="baseline"/>
        <w:specVanish w:val="0"/>
      </w:rPr>
    </w:lvl>
    <w:lvl w:ilvl="1">
      <w:start w:val="1"/>
      <w:numFmt w:val="decimal"/>
      <w:lvlText w:val="%1.%2"/>
      <w:lvlJc w:val="left"/>
      <w:pPr>
        <w:tabs>
          <w:tab w:val="num" w:pos="851"/>
        </w:tabs>
        <w:ind w:left="851" w:hanging="851"/>
      </w:pPr>
      <w:rPr>
        <w:rFonts w:ascii="Times New Roman Bold" w:hAnsi="Times New Roman Bold" w:cs="Courier" w:hint="default"/>
        <w:b/>
        <w:i w:val="0"/>
        <w:color w:val="auto"/>
        <w:sz w:val="24"/>
      </w:rPr>
    </w:lvl>
    <w:lvl w:ilvl="2">
      <w:start w:val="1"/>
      <w:numFmt w:val="decimal"/>
      <w:lvlText w:val="%1.%2.%3"/>
      <w:lvlJc w:val="left"/>
      <w:pPr>
        <w:tabs>
          <w:tab w:val="num" w:pos="851"/>
        </w:tabs>
        <w:ind w:left="851" w:hanging="851"/>
      </w:pPr>
      <w:rPr>
        <w:rFonts w:ascii="Times New Roman Bold" w:hAnsi="Times New Roman Bold" w:cs="Courier" w:hint="default"/>
        <w:b/>
        <w:i/>
        <w:sz w:val="24"/>
      </w:rPr>
    </w:lvl>
    <w:lvl w:ilvl="3">
      <w:start w:val="1"/>
      <w:numFmt w:val="decimal"/>
      <w:lvlText w:val="%1.%2.%3.%4"/>
      <w:lvlJc w:val="left"/>
      <w:pPr>
        <w:tabs>
          <w:tab w:val="num" w:pos="851"/>
        </w:tabs>
        <w:ind w:left="851" w:hanging="851"/>
      </w:pPr>
      <w:rPr>
        <w:rFonts w:ascii="Courier" w:hAnsi="Courier" w:cs="Courier" w:hint="default"/>
        <w:b w:val="0"/>
        <w:i/>
        <w:sz w:val="24"/>
      </w:rPr>
    </w:lvl>
    <w:lvl w:ilvl="4">
      <w:start w:val="1"/>
      <w:numFmt w:val="decimal"/>
      <w:lvlText w:val="%1.%2.%3.%4.%5"/>
      <w:lvlJc w:val="left"/>
      <w:pPr>
        <w:tabs>
          <w:tab w:val="num" w:pos="1008"/>
        </w:tabs>
        <w:ind w:left="1008" w:hanging="1008"/>
      </w:pPr>
      <w:rPr>
        <w:rFonts w:cs="Courier"/>
      </w:rPr>
    </w:lvl>
    <w:lvl w:ilvl="5">
      <w:start w:val="1"/>
      <w:numFmt w:val="decimal"/>
      <w:lvlText w:val="%1.%2.%3.%4.%5.%6"/>
      <w:lvlJc w:val="left"/>
      <w:pPr>
        <w:tabs>
          <w:tab w:val="num" w:pos="1152"/>
        </w:tabs>
        <w:ind w:left="1152" w:hanging="1152"/>
      </w:pPr>
      <w:rPr>
        <w:rFonts w:cs="Courier"/>
      </w:rPr>
    </w:lvl>
    <w:lvl w:ilvl="6">
      <w:start w:val="1"/>
      <w:numFmt w:val="decimal"/>
      <w:lvlText w:val="%1.%2.%3.%4.%5.%6.%7"/>
      <w:lvlJc w:val="left"/>
      <w:pPr>
        <w:tabs>
          <w:tab w:val="num" w:pos="1296"/>
        </w:tabs>
        <w:ind w:left="1296" w:hanging="1296"/>
      </w:pPr>
      <w:rPr>
        <w:rFonts w:cs="Courier"/>
      </w:rPr>
    </w:lvl>
    <w:lvl w:ilvl="7">
      <w:start w:val="1"/>
      <w:numFmt w:val="decimal"/>
      <w:lvlText w:val="%1.%2.%3.%4.%5.%6.%7.%8"/>
      <w:lvlJc w:val="left"/>
      <w:pPr>
        <w:tabs>
          <w:tab w:val="num" w:pos="1440"/>
        </w:tabs>
        <w:ind w:left="1440" w:hanging="1440"/>
      </w:pPr>
      <w:rPr>
        <w:rFonts w:cs="Courier"/>
      </w:rPr>
    </w:lvl>
    <w:lvl w:ilvl="8">
      <w:start w:val="1"/>
      <w:numFmt w:val="decimal"/>
      <w:lvlText w:val="%1.%2.%3.%4.%5.%6.%7.%8.%9"/>
      <w:lvlJc w:val="left"/>
      <w:pPr>
        <w:tabs>
          <w:tab w:val="num" w:pos="1584"/>
        </w:tabs>
        <w:ind w:left="1584" w:hanging="1584"/>
      </w:pPr>
      <w:rPr>
        <w:rFonts w:cs="Courier"/>
      </w:rPr>
    </w:lvl>
  </w:abstractNum>
  <w:abstractNum w:abstractNumId="35">
    <w:nsid w:val="3AFB6DC8"/>
    <w:multiLevelType w:val="singleLevel"/>
    <w:tmpl w:val="D97CFDF8"/>
    <w:lvl w:ilvl="0">
      <w:numFmt w:val="decimal"/>
      <w:pStyle w:val="ListBullet2"/>
      <w:lvlText w:val=""/>
      <w:lvlJc w:val="left"/>
    </w:lvl>
  </w:abstractNum>
  <w:abstractNum w:abstractNumId="36">
    <w:nsid w:val="3B4F780D"/>
    <w:multiLevelType w:val="multilevel"/>
    <w:tmpl w:val="B10E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CF00E18"/>
    <w:multiLevelType w:val="singleLevel"/>
    <w:tmpl w:val="4E1A982C"/>
    <w:lvl w:ilvl="0">
      <w:numFmt w:val="decimal"/>
      <w:pStyle w:val="ListBullet"/>
      <w:lvlText w:val=""/>
      <w:lvlJc w:val="left"/>
    </w:lvl>
  </w:abstractNum>
  <w:abstractNum w:abstractNumId="38">
    <w:nsid w:val="46113D4F"/>
    <w:multiLevelType w:val="singleLevel"/>
    <w:tmpl w:val="A3323CB8"/>
    <w:lvl w:ilvl="0">
      <w:numFmt w:val="decimal"/>
      <w:pStyle w:val="ListDash3"/>
      <w:lvlText w:val=""/>
      <w:lvlJc w:val="left"/>
    </w:lvl>
  </w:abstractNum>
  <w:abstractNum w:abstractNumId="39">
    <w:nsid w:val="46CC47E1"/>
    <w:multiLevelType w:val="hybridMultilevel"/>
    <w:tmpl w:val="A01C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96207CF"/>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ABD76B2"/>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4593082"/>
    <w:multiLevelType w:val="singleLevel"/>
    <w:tmpl w:val="EDE069AC"/>
    <w:name w:val="Bullet 1"/>
    <w:lvl w:ilvl="0">
      <w:numFmt w:val="decimal"/>
      <w:pStyle w:val="Bullet0"/>
      <w:lvlText w:val=""/>
      <w:lvlJc w:val="left"/>
    </w:lvl>
  </w:abstractNum>
  <w:abstractNum w:abstractNumId="43">
    <w:nsid w:val="54D10AB0"/>
    <w:multiLevelType w:val="singleLevel"/>
    <w:tmpl w:val="5B50620E"/>
    <w:lvl w:ilvl="0">
      <w:numFmt w:val="decimal"/>
      <w:pStyle w:val="ListDash4"/>
      <w:lvlText w:val=""/>
      <w:lvlJc w:val="left"/>
    </w:lvl>
  </w:abstractNum>
  <w:abstractNum w:abstractNumId="44">
    <w:nsid w:val="55BF3D2E"/>
    <w:multiLevelType w:val="hybridMultilevel"/>
    <w:tmpl w:val="8A66D5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576B6C27"/>
    <w:multiLevelType w:val="hybridMultilevel"/>
    <w:tmpl w:val="D68EA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94B6127"/>
    <w:multiLevelType w:val="hybridMultilevel"/>
    <w:tmpl w:val="DD442056"/>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7">
    <w:nsid w:val="5B2C6F90"/>
    <w:multiLevelType w:val="hybridMultilevel"/>
    <w:tmpl w:val="591ACF9E"/>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E0D6286"/>
    <w:multiLevelType w:val="singleLevel"/>
    <w:tmpl w:val="B0567122"/>
    <w:lvl w:ilvl="0">
      <w:numFmt w:val="decimal"/>
      <w:pStyle w:val="ListDash2"/>
      <w:lvlText w:val=""/>
      <w:lvlJc w:val="left"/>
    </w:lvl>
  </w:abstractNum>
  <w:abstractNum w:abstractNumId="49">
    <w:nsid w:val="6057433F"/>
    <w:multiLevelType w:val="singleLevel"/>
    <w:tmpl w:val="3D5ECD48"/>
    <w:lvl w:ilvl="0">
      <w:numFmt w:val="decimal"/>
      <w:pStyle w:val="ListDash1"/>
      <w:lvlText w:val=""/>
      <w:lvlJc w:val="left"/>
    </w:lvl>
  </w:abstractNum>
  <w:abstractNum w:abstractNumId="50">
    <w:nsid w:val="620F2440"/>
    <w:multiLevelType w:val="singleLevel"/>
    <w:tmpl w:val="6860A420"/>
    <w:lvl w:ilvl="0">
      <w:numFmt w:val="decimal"/>
      <w:pStyle w:val="ListBullet3"/>
      <w:lvlText w:val=""/>
      <w:lvlJc w:val="left"/>
    </w:lvl>
  </w:abstractNum>
  <w:abstractNum w:abstractNumId="51">
    <w:nsid w:val="64987A49"/>
    <w:multiLevelType w:val="hybridMultilevel"/>
    <w:tmpl w:val="1E28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DF118C0"/>
    <w:multiLevelType w:val="singleLevel"/>
    <w:tmpl w:val="B90C8B88"/>
    <w:lvl w:ilvl="0">
      <w:numFmt w:val="decimal"/>
      <w:pStyle w:val="ListBullet4"/>
      <w:lvlText w:val=""/>
      <w:lvlJc w:val="left"/>
    </w:lvl>
  </w:abstractNum>
  <w:abstractNum w:abstractNumId="53">
    <w:nsid w:val="706B072C"/>
    <w:multiLevelType w:val="hybridMultilevel"/>
    <w:tmpl w:val="B7BC1D9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4">
    <w:nsid w:val="712144E3"/>
    <w:multiLevelType w:val="hybridMultilevel"/>
    <w:tmpl w:val="0FDE0F4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5">
    <w:nsid w:val="722304D7"/>
    <w:multiLevelType w:val="multilevel"/>
    <w:tmpl w:val="9DE2758E"/>
    <w:lvl w:ilvl="0">
      <w:numFmt w:val="decimal"/>
      <w:pStyle w:val="ListNumber4"/>
      <w:lvlText w:val=""/>
      <w:lvlJc w:val="left"/>
    </w:lvl>
    <w:lvl w:ilvl="1">
      <w:numFmt w:val="decimal"/>
      <w:pStyle w:val="ListNumber4Level2"/>
      <w:lvlText w:val=""/>
      <w:lvlJc w:val="left"/>
    </w:lvl>
    <w:lvl w:ilvl="2">
      <w:numFmt w:val="decimal"/>
      <w:pStyle w:val="ListNumber4Level3"/>
      <w:lvlText w:val=""/>
      <w:lvlJc w:val="left"/>
    </w:lvl>
    <w:lvl w:ilvl="3">
      <w:numFmt w:val="decimal"/>
      <w:pStyle w:val="ListNumber4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3362880"/>
    <w:multiLevelType w:val="hybridMultilevel"/>
    <w:tmpl w:val="D0D07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6783A2A"/>
    <w:multiLevelType w:val="hybridMultilevel"/>
    <w:tmpl w:val="3B44074E"/>
    <w:lvl w:ilvl="0" w:tplc="08090019">
      <w:start w:val="1"/>
      <w:numFmt w:val="lowerLetter"/>
      <w:lvlText w:val="%1."/>
      <w:lvlJc w:val="left"/>
      <w:pPr>
        <w:ind w:left="786"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58">
    <w:nsid w:val="76C40A01"/>
    <w:multiLevelType w:val="hybridMultilevel"/>
    <w:tmpl w:val="0CAC6F2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9">
    <w:nsid w:val="7CB20CD3"/>
    <w:multiLevelType w:val="hybridMultilevel"/>
    <w:tmpl w:val="85187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37"/>
  </w:num>
  <w:num w:numId="5">
    <w:abstractNumId w:val="24"/>
  </w:num>
  <w:num w:numId="6">
    <w:abstractNumId w:val="35"/>
  </w:num>
  <w:num w:numId="7">
    <w:abstractNumId w:val="50"/>
  </w:num>
  <w:num w:numId="8">
    <w:abstractNumId w:val="52"/>
  </w:num>
  <w:num w:numId="9">
    <w:abstractNumId w:val="31"/>
  </w:num>
  <w:num w:numId="10">
    <w:abstractNumId w:val="49"/>
  </w:num>
  <w:num w:numId="11">
    <w:abstractNumId w:val="48"/>
  </w:num>
  <w:num w:numId="12">
    <w:abstractNumId w:val="38"/>
  </w:num>
  <w:num w:numId="13">
    <w:abstractNumId w:val="43"/>
  </w:num>
  <w:num w:numId="14">
    <w:abstractNumId w:val="20"/>
  </w:num>
  <w:num w:numId="15">
    <w:abstractNumId w:val="33"/>
  </w:num>
  <w:num w:numId="16">
    <w:abstractNumId w:val="12"/>
  </w:num>
  <w:num w:numId="17">
    <w:abstractNumId w:val="25"/>
  </w:num>
  <w:num w:numId="18">
    <w:abstractNumId w:val="55"/>
  </w:num>
  <w:num w:numId="19">
    <w:abstractNumId w:val="23"/>
  </w:num>
  <w:num w:numId="20">
    <w:abstractNumId w:val="10"/>
  </w:num>
  <w:num w:numId="21">
    <w:abstractNumId w:val="42"/>
  </w:num>
  <w:num w:numId="22">
    <w:abstractNumId w:val="58"/>
  </w:num>
  <w:num w:numId="23">
    <w:abstractNumId w:val="17"/>
  </w:num>
  <w:num w:numId="24">
    <w:abstractNumId w:val="17"/>
  </w:num>
  <w:num w:numId="25">
    <w:abstractNumId w:val="41"/>
  </w:num>
  <w:num w:numId="26">
    <w:abstractNumId w:val="15"/>
  </w:num>
  <w:num w:numId="27">
    <w:abstractNumId w:val="53"/>
  </w:num>
  <w:num w:numId="28">
    <w:abstractNumId w:val="18"/>
  </w:num>
  <w:num w:numId="29">
    <w:abstractNumId w:val="4"/>
  </w:num>
  <w:num w:numId="30">
    <w:abstractNumId w:val="40"/>
  </w:num>
  <w:num w:numId="31">
    <w:abstractNumId w:val="2"/>
  </w:num>
  <w:num w:numId="32">
    <w:abstractNumId w:val="9"/>
  </w:num>
  <w:num w:numId="33">
    <w:abstractNumId w:val="21"/>
  </w:num>
  <w:num w:numId="34">
    <w:abstractNumId w:val="19"/>
  </w:num>
  <w:num w:numId="35">
    <w:abstractNumId w:val="59"/>
  </w:num>
  <w:num w:numId="36">
    <w:abstractNumId w:val="29"/>
  </w:num>
  <w:num w:numId="37">
    <w:abstractNumId w:val="15"/>
  </w:num>
  <w:num w:numId="38">
    <w:abstractNumId w:val="8"/>
  </w:num>
  <w:num w:numId="39">
    <w:abstractNumId w:val="27"/>
  </w:num>
  <w:num w:numId="40">
    <w:abstractNumId w:val="13"/>
  </w:num>
  <w:num w:numId="41">
    <w:abstractNumId w:val="7"/>
  </w:num>
  <w:num w:numId="42">
    <w:abstractNumId w:val="11"/>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30"/>
  </w:num>
  <w:num w:numId="48">
    <w:abstractNumId w:val="15"/>
  </w:num>
  <w:num w:numId="49">
    <w:abstractNumId w:val="28"/>
  </w:num>
  <w:num w:numId="50">
    <w:abstractNumId w:val="47"/>
  </w:num>
  <w:num w:numId="51">
    <w:abstractNumId w:val="3"/>
  </w:num>
  <w:num w:numId="52">
    <w:abstractNumId w:val="46"/>
  </w:num>
  <w:num w:numId="53">
    <w:abstractNumId w:val="54"/>
  </w:num>
  <w:num w:numId="54">
    <w:abstractNumId w:val="6"/>
  </w:num>
  <w:num w:numId="55">
    <w:abstractNumId w:val="15"/>
  </w:num>
  <w:num w:numId="56">
    <w:abstractNumId w:val="16"/>
  </w:num>
  <w:num w:numId="57">
    <w:abstractNumId w:val="11"/>
  </w:num>
  <w:num w:numId="58">
    <w:abstractNumId w:val="51"/>
  </w:num>
  <w:num w:numId="59">
    <w:abstractNumId w:val="57"/>
  </w:num>
  <w:num w:numId="60">
    <w:abstractNumId w:val="56"/>
  </w:num>
  <w:num w:numId="61">
    <w:abstractNumId w:val="36"/>
  </w:num>
  <w:num w:numId="62">
    <w:abstractNumId w:val="44"/>
  </w:num>
  <w:num w:numId="6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15"/>
  </w:num>
  <w:num w:numId="65">
    <w:abstractNumId w:val="15"/>
    <w:lvlOverride w:ilvl="0">
      <w:startOverride w:val="8"/>
    </w:lvlOverride>
    <w:lvlOverride w:ilvl="1">
      <w:startOverride w:val="1"/>
    </w:lvlOverride>
    <w:lvlOverride w:ilvl="2"/>
    <w:lvlOverride w:ilvl="3"/>
    <w:lvlOverride w:ilvl="4"/>
    <w:lvlOverride w:ilvl="5"/>
    <w:lvlOverride w:ilvl="6"/>
    <w:lvlOverride w:ilvl="7"/>
    <w:lvlOverride w:ilvl="8"/>
  </w:num>
  <w:num w:numId="66">
    <w:abstractNumId w:val="15"/>
  </w:num>
  <w:num w:numId="67">
    <w:abstractNumId w:val="4"/>
  </w:num>
  <w:num w:numId="68">
    <w:abstractNumId w:val="4"/>
  </w:num>
  <w:num w:numId="69">
    <w:abstractNumId w:val="4"/>
  </w:num>
  <w:num w:numId="70">
    <w:abstractNumId w:val="15"/>
  </w:num>
  <w:num w:numId="71">
    <w:abstractNumId w:val="4"/>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4"/>
  </w:num>
  <w:num w:numId="82">
    <w:abstractNumId w:val="15"/>
  </w:num>
  <w:num w:numId="83">
    <w:abstractNumId w:val="26"/>
  </w:num>
  <w:num w:numId="84">
    <w:abstractNumId w:val="26"/>
  </w:num>
  <w:num w:numId="85">
    <w:abstractNumId w:val="26"/>
  </w:num>
  <w:num w:numId="8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7">
    <w:abstractNumId w:val="20"/>
  </w:num>
  <w:num w:numId="88">
    <w:abstractNumId w:val="20"/>
  </w:num>
  <w:num w:numId="89">
    <w:abstractNumId w:val="14"/>
  </w:num>
  <w:num w:numId="90">
    <w:abstractNumId w:val="39"/>
  </w:num>
  <w:num w:numId="91">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B7133F18B70243EE84EFA5E0708E5A72"/>
    <w:docVar w:name="LW_CROSSREFERENCE" w:val="{COM(2017) 331 final}_x000b_{SWD(2017) 246 final}"/>
    <w:docVar w:name="LW_DocType" w:val="REP"/>
    <w:docVar w:name="LW_EMISSION" w:val="13.6.2017"/>
    <w:docVar w:name="LW_EMISSION_ISODATE" w:val="2017-06-13"/>
    <w:docVar w:name="LW_EMISSION_LOCATION" w:val="STR"/>
    <w:docVar w:name="LW_EMISSION_PREFIX" w:val="Strasbourg,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modifiant le règlement (UE) n° 1095/2010 instituant une Autorité européenne de surveillance (Autorité européenne des marchés financiers) et modifiant le règlement (UE) n° 648/2012 en ce qui concerne les procédures d'agrément des contreparties centrales et les autorités qui y participent, ainsi que les conditions de reconnaissance des contreparties centrales des pays tiers"/>
    <w:docVar w:name="LW_PART_NBR" w:val="1"/>
    <w:docVar w:name="LW_PART_NBR_TOTAL" w:val="1"/>
    <w:docVar w:name="LW_REF.INST.NEW" w:val="SWD"/>
    <w:docVar w:name="LW_REF.INST.NEW_ADOPTED" w:val="final"/>
    <w:docVar w:name="LW_REF.INST.NEW_TEXT" w:val="(2017) 247"/>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64"/>
      </w:numPr>
      <w:spacing w:before="240"/>
      <w:outlineLvl w:val="0"/>
    </w:pPr>
    <w:rPr>
      <w:b/>
      <w:smallCaps/>
    </w:rPr>
  </w:style>
  <w:style w:type="paragraph" w:styleId="Heading2">
    <w:name w:val="heading 2"/>
    <w:basedOn w:val="Normal"/>
    <w:next w:val="Text2"/>
    <w:link w:val="Heading2Char"/>
    <w:qFormat/>
    <w:pPr>
      <w:keepNext/>
      <w:numPr>
        <w:ilvl w:val="1"/>
        <w:numId w:val="64"/>
      </w:numPr>
      <w:spacing w:line="276" w:lineRule="auto"/>
      <w:outlineLvl w:val="1"/>
    </w:pPr>
    <w:rPr>
      <w:b/>
      <w:bCs/>
    </w:rPr>
  </w:style>
  <w:style w:type="paragraph" w:styleId="Heading3">
    <w:name w:val="heading 3"/>
    <w:basedOn w:val="Normal"/>
    <w:next w:val="Text3"/>
    <w:qFormat/>
    <w:pPr>
      <w:keepNext/>
      <w:numPr>
        <w:ilvl w:val="2"/>
        <w:numId w:val="64"/>
      </w:numPr>
      <w:outlineLvl w:val="2"/>
    </w:pPr>
    <w:rPr>
      <w:i/>
    </w:rPr>
  </w:style>
  <w:style w:type="paragraph" w:styleId="Heading4">
    <w:name w:val="heading 4"/>
    <w:basedOn w:val="Normal"/>
    <w:next w:val="Text4"/>
    <w:qFormat/>
    <w:pPr>
      <w:keepNext/>
      <w:numPr>
        <w:ilvl w:val="3"/>
        <w:numId w:val="64"/>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 Char,Footnote,Fußnote,FSR footnote,lábléc,fn,Texto nota pie Car,notefranz,Footnote Text Char Char Char Char Char Char Char Char Char Char Char Char Char Char Char Char Char,Footnote Text Char1,Char"/>
    <w:basedOn w:val="Normal"/>
    <w:link w:val="FootnoteTextChar"/>
    <w:uiPriority w:val="99"/>
    <w:qFormat/>
    <w:pPr>
      <w:tabs>
        <w:tab w:val="left" w:pos="284"/>
      </w:tabs>
      <w:spacing w:after="0"/>
      <w:ind w:left="284" w:hanging="284"/>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rPr>
      <w:sz w:val="24"/>
      <w:lang w:eastAsia="fr-FR"/>
    </w:rPr>
  </w:style>
  <w:style w:type="paragraph" w:customStyle="1" w:styleId="Bullet1">
    <w:name w:val="Bullet 1"/>
    <w:basedOn w:val="Normal"/>
    <w:pPr>
      <w:numPr>
        <w:numId w:val="19"/>
      </w:numPr>
      <w:spacing w:before="120" w:after="120"/>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Emission">
    <w:name w:val="Emission"/>
    <w:basedOn w:val="Normal"/>
    <w:next w:val="Normal"/>
    <w:pPr>
      <w:spacing w:after="0"/>
      <w:ind w:left="5103"/>
      <w:jc w:val="left"/>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agedecouverture">
    <w:name w:val="Page de couverture"/>
    <w:basedOn w:val="Normal"/>
    <w:next w:val="Normal"/>
    <w:pPr>
      <w:spacing w:before="120" w:after="120"/>
    </w:pPr>
    <w:rPr>
      <w:szCs w:val="24"/>
    </w:rPr>
  </w:style>
  <w:style w:type="paragraph" w:customStyle="1" w:styleId="TypedudocumentPagedecouverture">
    <w:name w:val="Type du document (Page de couverture)"/>
    <w:basedOn w:val="Normal"/>
    <w:next w:val="Normal"/>
    <w:pPr>
      <w:spacing w:before="360" w:after="0"/>
      <w:jc w:val="center"/>
    </w:pPr>
    <w:rPr>
      <w:b/>
      <w:szCs w:val="24"/>
    </w:rPr>
  </w:style>
  <w:style w:type="paragraph" w:customStyle="1" w:styleId="Prliminairetype">
    <w:name w:val="Préliminaire type"/>
    <w:basedOn w:val="Normal"/>
    <w:next w:val="Normal"/>
    <w:pPr>
      <w:spacing w:before="360" w:after="0"/>
      <w:jc w:val="center"/>
    </w:pPr>
    <w:rPr>
      <w:b/>
      <w:szCs w:val="24"/>
    </w:rPr>
  </w:style>
  <w:style w:type="paragraph" w:customStyle="1" w:styleId="Rfrenceinstitutionelle">
    <w:name w:val="Référence institutionelle"/>
    <w:basedOn w:val="Normal"/>
    <w:next w:val="Normal"/>
    <w:pPr>
      <w:ind w:left="5103"/>
      <w:jc w:val="left"/>
    </w:pPr>
    <w:rPr>
      <w:szCs w:val="24"/>
    </w:rPr>
  </w:style>
  <w:style w:type="character" w:styleId="Hyperlink">
    <w:name w:val="Hyperlink"/>
    <w:uiPriority w:val="99"/>
    <w:rPr>
      <w:rFonts w:cs="Times New Roman"/>
      <w:color w:val="0000FF"/>
      <w:u w:val="single"/>
      <w:shd w:val="clear" w:color="auto" w:fill="auto"/>
    </w:rPr>
  </w:style>
  <w:style w:type="numbering" w:styleId="111111">
    <w:name w:val="Outline List 2"/>
    <w:basedOn w:val="NoList"/>
    <w:pPr>
      <w:numPr>
        <w:numId w:val="20"/>
      </w:numPr>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FootnoteReference">
    <w:name w:val="footnote reference"/>
    <w:aliases w:val="Footnote Reference Number,Footnote Reference_LVL6,Footnote Reference_LVL61,Footnote Reference_LVL62,Footnote Reference_LVL63,Footnote Reference_LVL64,normal,Fußnotenzeichen3,Normal1,fr,SUPERS,EN Footnote Reference,number,ftref"/>
    <w:uiPriority w:val="99"/>
    <w:unhideWhenUsed/>
    <w:rPr>
      <w:vertAlign w:val="superscript"/>
    </w:rPr>
  </w:style>
  <w:style w:type="paragraph" w:customStyle="1" w:styleId="Bullet0">
    <w:name w:val="Bullet 0"/>
    <w:basedOn w:val="Normal"/>
    <w:pPr>
      <w:numPr>
        <w:numId w:val="21"/>
      </w:numPr>
      <w:spacing w:before="120" w:after="120"/>
    </w:pPr>
    <w:rPr>
      <w:szCs w:val="24"/>
    </w:rPr>
  </w:style>
  <w:style w:type="character" w:customStyle="1" w:styleId="FootnoteTextChar">
    <w:name w:val="Footnote Text Char"/>
    <w:aliases w:val="Footnote Text Char Char Char,Footnote Char,Fußnote Char,FSR footnote Char,lábléc Char,fn Char,Texto nota pie Car Char,notefranz Char,Footnote Text Char1 Char,Char Char1"/>
    <w:link w:val="FootnoteText"/>
    <w:uiPriority w:val="99"/>
    <w:rPr>
      <w:lang w:eastAsia="fr-FR"/>
    </w:rPr>
  </w:style>
  <w:style w:type="character" w:styleId="FollowedHyperlink">
    <w:name w:val="FollowedHyperlink"/>
    <w:uiPriority w:val="99"/>
    <w:semiHidden/>
    <w:unhideWhenUsed/>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lang w:eastAsia="fr-FR"/>
    </w:rPr>
  </w:style>
  <w:style w:type="character" w:customStyle="1" w:styleId="CommentSubjectChar">
    <w:name w:val="Comment Subject Char"/>
    <w:link w:val="CommentSubject"/>
    <w:uiPriority w:val="99"/>
    <w:semiHidden/>
    <w:rPr>
      <w:b/>
      <w:bCs/>
      <w:lang w:eastAsia="fr-FR"/>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rPr>
  </w:style>
  <w:style w:type="character" w:customStyle="1" w:styleId="Heading1Char">
    <w:name w:val="Heading 1 Char"/>
    <w:link w:val="Heading1"/>
    <w:rPr>
      <w:b/>
      <w:smallCaps/>
      <w:sz w:val="24"/>
      <w:lang w:val="fr-FR"/>
    </w:rPr>
  </w:style>
  <w:style w:type="paragraph" w:customStyle="1" w:styleId="ColorfulList-Accent11">
    <w:name w:val="Colorful List - Accent 11"/>
    <w:basedOn w:val="CommentText"/>
    <w:qFormat/>
    <w:pPr>
      <w:spacing w:before="120" w:after="120"/>
    </w:pPr>
    <w:rPr>
      <w:sz w:val="24"/>
      <w:szCs w:val="24"/>
    </w:rPr>
  </w:style>
  <w:style w:type="character" w:customStyle="1" w:styleId="Heading2Char">
    <w:name w:val="Heading 2 Char"/>
    <w:link w:val="Heading2"/>
    <w:rPr>
      <w:b/>
      <w:bCs/>
      <w:sz w:val="24"/>
      <w:lang w:val="fr-FR" w:eastAsia="fr-FR"/>
    </w:rPr>
  </w:style>
  <w:style w:type="character" w:customStyle="1" w:styleId="BookTitle1">
    <w:name w:val="Book Title1"/>
    <w:uiPriority w:val="33"/>
    <w:qFormat/>
    <w:rPr>
      <w:b/>
      <w:bCs/>
      <w:smallCaps/>
      <w:spacing w:val="5"/>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Emphasis">
    <w:name w:val="Emphasis"/>
    <w:uiPriority w:val="20"/>
    <w:qFormat/>
    <w:rPr>
      <w:rFonts w:ascii="Times New Roman" w:hAnsi="Times New Roman" w:cs="Times New Roman" w:hint="default"/>
      <w:i w:val="0"/>
      <w:iCs w:val="0"/>
    </w:rPr>
  </w:style>
  <w:style w:type="character" w:customStyle="1" w:styleId="FootnoteTextChar2">
    <w:name w:val="Footnote Text Char2"/>
    <w:aliases w:val="Footnote Text Char Char Char1,Footnote Char1,Fußnote Char1,FSR footnote Char1,lábléc Char1,fn Char1,Texto nota pie Car Char1,notefranz Char1,Footnote Text Char1 Char1,Char Char"/>
    <w:uiPriority w:val="99"/>
    <w:semiHidden/>
    <w:locked/>
    <w:rPr>
      <w:sz w:val="18"/>
    </w:rPr>
  </w:style>
  <w:style w:type="paragraph" w:customStyle="1" w:styleId="IndentedHeading4">
    <w:name w:val="Indented Heading 4"/>
    <w:basedOn w:val="Heading4"/>
    <w:next w:val="Normal"/>
    <w:pPr>
      <w:numPr>
        <w:numId w:val="42"/>
      </w:numPr>
      <w:tabs>
        <w:tab w:val="clear" w:pos="3447"/>
        <w:tab w:val="num" w:pos="360"/>
        <w:tab w:val="num" w:pos="851"/>
      </w:tabs>
      <w:spacing w:before="120" w:after="120" w:line="300" w:lineRule="exact"/>
      <w:ind w:left="851" w:hanging="851"/>
    </w:pPr>
    <w:rPr>
      <w:rFonts w:eastAsia="MS Mincho" w:cs="Arial"/>
      <w:i/>
      <w:iCs/>
      <w:szCs w:val="16"/>
    </w:rPr>
  </w:style>
  <w:style w:type="paragraph" w:customStyle="1" w:styleId="IndentedHeading2">
    <w:name w:val="Indented Heading 2"/>
    <w:basedOn w:val="Heading2"/>
    <w:next w:val="Normal"/>
    <w:pPr>
      <w:numPr>
        <w:numId w:val="42"/>
      </w:numPr>
      <w:tabs>
        <w:tab w:val="clear" w:pos="2007"/>
        <w:tab w:val="num" w:pos="360"/>
        <w:tab w:val="num" w:pos="851"/>
      </w:tabs>
      <w:spacing w:before="360" w:after="120" w:line="300" w:lineRule="exact"/>
      <w:ind w:left="851" w:hanging="851"/>
    </w:pPr>
    <w:rPr>
      <w:rFonts w:eastAsia="MS Mincho" w:cs="Arial"/>
      <w:iCs/>
      <w:szCs w:val="28"/>
    </w:rPr>
  </w:style>
  <w:style w:type="paragraph" w:customStyle="1" w:styleId="IndentedHeading3">
    <w:name w:val="Indented Heading 3"/>
    <w:basedOn w:val="Heading3"/>
    <w:next w:val="Normal"/>
    <w:pPr>
      <w:numPr>
        <w:numId w:val="42"/>
      </w:numPr>
      <w:tabs>
        <w:tab w:val="clear" w:pos="2727"/>
        <w:tab w:val="num" w:pos="360"/>
        <w:tab w:val="num" w:pos="851"/>
      </w:tabs>
      <w:spacing w:before="240" w:after="120" w:line="300" w:lineRule="exact"/>
      <w:ind w:left="851" w:hanging="851"/>
    </w:pPr>
    <w:rPr>
      <w:rFonts w:eastAsia="MS Mincho" w:cs="Arial"/>
      <w:b/>
      <w:bCs/>
      <w:iCs/>
      <w:szCs w:val="26"/>
    </w:rPr>
  </w:style>
  <w:style w:type="character" w:customStyle="1" w:styleId="BulletChar">
    <w:name w:val="Bullet Char"/>
    <w:link w:val="Bullet"/>
    <w:locked/>
    <w:rPr>
      <w:sz w:val="24"/>
    </w:rPr>
  </w:style>
  <w:style w:type="paragraph" w:customStyle="1" w:styleId="Bullet">
    <w:name w:val="Bullet"/>
    <w:basedOn w:val="Normal"/>
    <w:link w:val="BulletChar"/>
    <w:pPr>
      <w:numPr>
        <w:numId w:val="42"/>
      </w:numPr>
      <w:spacing w:after="120" w:line="300" w:lineRule="exact"/>
    </w:pPr>
  </w:style>
  <w:style w:type="paragraph" w:styleId="Revision">
    <w:name w:val="Revision"/>
    <w:hidden/>
    <w:uiPriority w:val="99"/>
    <w:semiHidden/>
    <w:rPr>
      <w:sz w:val="24"/>
    </w:rPr>
  </w:style>
  <w:style w:type="character" w:customStyle="1" w:styleId="FootnoteCharacters">
    <w:name w:val="Footnote Characters"/>
    <w:rPr>
      <w:vertAlign w:val="superscript"/>
    </w:rPr>
  </w:style>
  <w:style w:type="paragraph" w:customStyle="1" w:styleId="TOCHeading10">
    <w:name w:val="TOC Heading1"/>
    <w:basedOn w:val="Normal"/>
    <w:next w:val="Normal"/>
    <w:qFormat/>
    <w:pPr>
      <w:keepNext/>
      <w:spacing w:before="240"/>
      <w:jc w:val="center"/>
    </w:pPr>
    <w:rPr>
      <w:b/>
    </w:rPr>
  </w:style>
  <w:style w:type="character" w:customStyle="1" w:styleId="BookTitle10">
    <w:name w:val="Book Title1"/>
    <w:uiPriority w:val="33"/>
    <w:qFormat/>
    <w:rPr>
      <w:b/>
      <w:bCs/>
      <w:smallCaps/>
      <w:spacing w:val="5"/>
    </w:rPr>
  </w:style>
  <w:style w:type="character" w:customStyle="1" w:styleId="affairetitle">
    <w:name w:val="affaire_title"/>
    <w:basedOn w:val="DefaultParagraphFont"/>
  </w:style>
  <w:style w:type="paragraph" w:customStyle="1" w:styleId="LegalNumPar">
    <w:name w:val="LegalNumPar"/>
    <w:basedOn w:val="Normal"/>
    <w:pPr>
      <w:numPr>
        <w:numId w:val="85"/>
      </w:numPr>
    </w:pPr>
  </w:style>
  <w:style w:type="paragraph" w:customStyle="1" w:styleId="LegalNumPar2">
    <w:name w:val="LegalNumPar2"/>
    <w:basedOn w:val="Normal"/>
    <w:pPr>
      <w:numPr>
        <w:ilvl w:val="1"/>
        <w:numId w:val="85"/>
      </w:numPr>
    </w:pPr>
  </w:style>
  <w:style w:type="paragraph" w:customStyle="1" w:styleId="LegalNumPar3">
    <w:name w:val="LegalNumPar3"/>
    <w:basedOn w:val="Normal"/>
    <w:pPr>
      <w:numPr>
        <w:ilvl w:val="2"/>
        <w:numId w:val="85"/>
      </w:numPr>
    </w:p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64"/>
      </w:numPr>
      <w:spacing w:before="240"/>
      <w:outlineLvl w:val="0"/>
    </w:pPr>
    <w:rPr>
      <w:b/>
      <w:smallCaps/>
    </w:rPr>
  </w:style>
  <w:style w:type="paragraph" w:styleId="Heading2">
    <w:name w:val="heading 2"/>
    <w:basedOn w:val="Normal"/>
    <w:next w:val="Text2"/>
    <w:link w:val="Heading2Char"/>
    <w:qFormat/>
    <w:pPr>
      <w:keepNext/>
      <w:numPr>
        <w:ilvl w:val="1"/>
        <w:numId w:val="64"/>
      </w:numPr>
      <w:spacing w:line="276" w:lineRule="auto"/>
      <w:outlineLvl w:val="1"/>
    </w:pPr>
    <w:rPr>
      <w:b/>
      <w:bCs/>
    </w:rPr>
  </w:style>
  <w:style w:type="paragraph" w:styleId="Heading3">
    <w:name w:val="heading 3"/>
    <w:basedOn w:val="Normal"/>
    <w:next w:val="Text3"/>
    <w:qFormat/>
    <w:pPr>
      <w:keepNext/>
      <w:numPr>
        <w:ilvl w:val="2"/>
        <w:numId w:val="64"/>
      </w:numPr>
      <w:outlineLvl w:val="2"/>
    </w:pPr>
    <w:rPr>
      <w:i/>
    </w:rPr>
  </w:style>
  <w:style w:type="paragraph" w:styleId="Heading4">
    <w:name w:val="heading 4"/>
    <w:basedOn w:val="Normal"/>
    <w:next w:val="Text4"/>
    <w:qFormat/>
    <w:pPr>
      <w:keepNext/>
      <w:numPr>
        <w:ilvl w:val="3"/>
        <w:numId w:val="64"/>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 Char,Footnote,Fußnote,FSR footnote,lábléc,fn,Texto nota pie Car,notefranz,Footnote Text Char Char Char Char Char Char Char Char Char Char Char Char Char Char Char Char Char,Footnote Text Char1,Char"/>
    <w:basedOn w:val="Normal"/>
    <w:link w:val="FootnoteTextChar"/>
    <w:uiPriority w:val="99"/>
    <w:qFormat/>
    <w:pPr>
      <w:tabs>
        <w:tab w:val="left" w:pos="284"/>
      </w:tabs>
      <w:spacing w:after="0"/>
      <w:ind w:left="284" w:hanging="284"/>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rPr>
      <w:sz w:val="24"/>
      <w:lang w:eastAsia="fr-FR"/>
    </w:rPr>
  </w:style>
  <w:style w:type="paragraph" w:customStyle="1" w:styleId="Bullet1">
    <w:name w:val="Bullet 1"/>
    <w:basedOn w:val="Normal"/>
    <w:pPr>
      <w:numPr>
        <w:numId w:val="19"/>
      </w:numPr>
      <w:spacing w:before="120" w:after="120"/>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Emission">
    <w:name w:val="Emission"/>
    <w:basedOn w:val="Normal"/>
    <w:next w:val="Normal"/>
    <w:pPr>
      <w:spacing w:after="0"/>
      <w:ind w:left="5103"/>
      <w:jc w:val="left"/>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agedecouverture">
    <w:name w:val="Page de couverture"/>
    <w:basedOn w:val="Normal"/>
    <w:next w:val="Normal"/>
    <w:pPr>
      <w:spacing w:before="120" w:after="120"/>
    </w:pPr>
    <w:rPr>
      <w:szCs w:val="24"/>
    </w:rPr>
  </w:style>
  <w:style w:type="paragraph" w:customStyle="1" w:styleId="TypedudocumentPagedecouverture">
    <w:name w:val="Type du document (Page de couverture)"/>
    <w:basedOn w:val="Normal"/>
    <w:next w:val="Normal"/>
    <w:pPr>
      <w:spacing w:before="360" w:after="0"/>
      <w:jc w:val="center"/>
    </w:pPr>
    <w:rPr>
      <w:b/>
      <w:szCs w:val="24"/>
    </w:rPr>
  </w:style>
  <w:style w:type="paragraph" w:customStyle="1" w:styleId="Prliminairetype">
    <w:name w:val="Préliminaire type"/>
    <w:basedOn w:val="Normal"/>
    <w:next w:val="Normal"/>
    <w:pPr>
      <w:spacing w:before="360" w:after="0"/>
      <w:jc w:val="center"/>
    </w:pPr>
    <w:rPr>
      <w:b/>
      <w:szCs w:val="24"/>
    </w:rPr>
  </w:style>
  <w:style w:type="paragraph" w:customStyle="1" w:styleId="Rfrenceinstitutionelle">
    <w:name w:val="Référence institutionelle"/>
    <w:basedOn w:val="Normal"/>
    <w:next w:val="Normal"/>
    <w:pPr>
      <w:ind w:left="5103"/>
      <w:jc w:val="left"/>
    </w:pPr>
    <w:rPr>
      <w:szCs w:val="24"/>
    </w:rPr>
  </w:style>
  <w:style w:type="character" w:styleId="Hyperlink">
    <w:name w:val="Hyperlink"/>
    <w:uiPriority w:val="99"/>
    <w:rPr>
      <w:rFonts w:cs="Times New Roman"/>
      <w:color w:val="0000FF"/>
      <w:u w:val="single"/>
      <w:shd w:val="clear" w:color="auto" w:fill="auto"/>
    </w:rPr>
  </w:style>
  <w:style w:type="numbering" w:styleId="111111">
    <w:name w:val="Outline List 2"/>
    <w:basedOn w:val="NoList"/>
    <w:pPr>
      <w:numPr>
        <w:numId w:val="20"/>
      </w:numPr>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FootnoteReference">
    <w:name w:val="footnote reference"/>
    <w:aliases w:val="Footnote Reference Number,Footnote Reference_LVL6,Footnote Reference_LVL61,Footnote Reference_LVL62,Footnote Reference_LVL63,Footnote Reference_LVL64,normal,Fußnotenzeichen3,Normal1,fr,SUPERS,EN Footnote Reference,number,ftref"/>
    <w:uiPriority w:val="99"/>
    <w:unhideWhenUsed/>
    <w:rPr>
      <w:vertAlign w:val="superscript"/>
    </w:rPr>
  </w:style>
  <w:style w:type="paragraph" w:customStyle="1" w:styleId="Bullet0">
    <w:name w:val="Bullet 0"/>
    <w:basedOn w:val="Normal"/>
    <w:pPr>
      <w:numPr>
        <w:numId w:val="21"/>
      </w:numPr>
      <w:spacing w:before="120" w:after="120"/>
    </w:pPr>
    <w:rPr>
      <w:szCs w:val="24"/>
    </w:rPr>
  </w:style>
  <w:style w:type="character" w:customStyle="1" w:styleId="FootnoteTextChar">
    <w:name w:val="Footnote Text Char"/>
    <w:aliases w:val="Footnote Text Char Char Char,Footnote Char,Fußnote Char,FSR footnote Char,lábléc Char,fn Char,Texto nota pie Car Char,notefranz Char,Footnote Text Char1 Char,Char Char1"/>
    <w:link w:val="FootnoteText"/>
    <w:uiPriority w:val="99"/>
    <w:rPr>
      <w:lang w:eastAsia="fr-FR"/>
    </w:rPr>
  </w:style>
  <w:style w:type="character" w:styleId="FollowedHyperlink">
    <w:name w:val="FollowedHyperlink"/>
    <w:uiPriority w:val="99"/>
    <w:semiHidden/>
    <w:unhideWhenUsed/>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lang w:eastAsia="fr-FR"/>
    </w:rPr>
  </w:style>
  <w:style w:type="character" w:customStyle="1" w:styleId="CommentSubjectChar">
    <w:name w:val="Comment Subject Char"/>
    <w:link w:val="CommentSubject"/>
    <w:uiPriority w:val="99"/>
    <w:semiHidden/>
    <w:rPr>
      <w:b/>
      <w:bCs/>
      <w:lang w:eastAsia="fr-FR"/>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rPr>
  </w:style>
  <w:style w:type="character" w:customStyle="1" w:styleId="Heading1Char">
    <w:name w:val="Heading 1 Char"/>
    <w:link w:val="Heading1"/>
    <w:rPr>
      <w:b/>
      <w:smallCaps/>
      <w:sz w:val="24"/>
      <w:lang w:val="fr-FR"/>
    </w:rPr>
  </w:style>
  <w:style w:type="paragraph" w:customStyle="1" w:styleId="ColorfulList-Accent11">
    <w:name w:val="Colorful List - Accent 11"/>
    <w:basedOn w:val="CommentText"/>
    <w:qFormat/>
    <w:pPr>
      <w:spacing w:before="120" w:after="120"/>
    </w:pPr>
    <w:rPr>
      <w:sz w:val="24"/>
      <w:szCs w:val="24"/>
    </w:rPr>
  </w:style>
  <w:style w:type="character" w:customStyle="1" w:styleId="Heading2Char">
    <w:name w:val="Heading 2 Char"/>
    <w:link w:val="Heading2"/>
    <w:rPr>
      <w:b/>
      <w:bCs/>
      <w:sz w:val="24"/>
      <w:lang w:val="fr-FR" w:eastAsia="fr-FR"/>
    </w:rPr>
  </w:style>
  <w:style w:type="character" w:customStyle="1" w:styleId="BookTitle1">
    <w:name w:val="Book Title1"/>
    <w:uiPriority w:val="33"/>
    <w:qFormat/>
    <w:rPr>
      <w:b/>
      <w:bCs/>
      <w:smallCaps/>
      <w:spacing w:val="5"/>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Emphasis">
    <w:name w:val="Emphasis"/>
    <w:uiPriority w:val="20"/>
    <w:qFormat/>
    <w:rPr>
      <w:rFonts w:ascii="Times New Roman" w:hAnsi="Times New Roman" w:cs="Times New Roman" w:hint="default"/>
      <w:i w:val="0"/>
      <w:iCs w:val="0"/>
    </w:rPr>
  </w:style>
  <w:style w:type="character" w:customStyle="1" w:styleId="FootnoteTextChar2">
    <w:name w:val="Footnote Text Char2"/>
    <w:aliases w:val="Footnote Text Char Char Char1,Footnote Char1,Fußnote Char1,FSR footnote Char1,lábléc Char1,fn Char1,Texto nota pie Car Char1,notefranz Char1,Footnote Text Char1 Char1,Char Char"/>
    <w:uiPriority w:val="99"/>
    <w:semiHidden/>
    <w:locked/>
    <w:rPr>
      <w:sz w:val="18"/>
    </w:rPr>
  </w:style>
  <w:style w:type="paragraph" w:customStyle="1" w:styleId="IndentedHeading4">
    <w:name w:val="Indented Heading 4"/>
    <w:basedOn w:val="Heading4"/>
    <w:next w:val="Normal"/>
    <w:pPr>
      <w:numPr>
        <w:numId w:val="42"/>
      </w:numPr>
      <w:tabs>
        <w:tab w:val="clear" w:pos="3447"/>
        <w:tab w:val="num" w:pos="360"/>
        <w:tab w:val="num" w:pos="851"/>
      </w:tabs>
      <w:spacing w:before="120" w:after="120" w:line="300" w:lineRule="exact"/>
      <w:ind w:left="851" w:hanging="851"/>
    </w:pPr>
    <w:rPr>
      <w:rFonts w:eastAsia="MS Mincho" w:cs="Arial"/>
      <w:i/>
      <w:iCs/>
      <w:szCs w:val="16"/>
    </w:rPr>
  </w:style>
  <w:style w:type="paragraph" w:customStyle="1" w:styleId="IndentedHeading2">
    <w:name w:val="Indented Heading 2"/>
    <w:basedOn w:val="Heading2"/>
    <w:next w:val="Normal"/>
    <w:pPr>
      <w:numPr>
        <w:numId w:val="42"/>
      </w:numPr>
      <w:tabs>
        <w:tab w:val="clear" w:pos="2007"/>
        <w:tab w:val="num" w:pos="360"/>
        <w:tab w:val="num" w:pos="851"/>
      </w:tabs>
      <w:spacing w:before="360" w:after="120" w:line="300" w:lineRule="exact"/>
      <w:ind w:left="851" w:hanging="851"/>
    </w:pPr>
    <w:rPr>
      <w:rFonts w:eastAsia="MS Mincho" w:cs="Arial"/>
      <w:iCs/>
      <w:szCs w:val="28"/>
    </w:rPr>
  </w:style>
  <w:style w:type="paragraph" w:customStyle="1" w:styleId="IndentedHeading3">
    <w:name w:val="Indented Heading 3"/>
    <w:basedOn w:val="Heading3"/>
    <w:next w:val="Normal"/>
    <w:pPr>
      <w:numPr>
        <w:numId w:val="42"/>
      </w:numPr>
      <w:tabs>
        <w:tab w:val="clear" w:pos="2727"/>
        <w:tab w:val="num" w:pos="360"/>
        <w:tab w:val="num" w:pos="851"/>
      </w:tabs>
      <w:spacing w:before="240" w:after="120" w:line="300" w:lineRule="exact"/>
      <w:ind w:left="851" w:hanging="851"/>
    </w:pPr>
    <w:rPr>
      <w:rFonts w:eastAsia="MS Mincho" w:cs="Arial"/>
      <w:b/>
      <w:bCs/>
      <w:iCs/>
      <w:szCs w:val="26"/>
    </w:rPr>
  </w:style>
  <w:style w:type="character" w:customStyle="1" w:styleId="BulletChar">
    <w:name w:val="Bullet Char"/>
    <w:link w:val="Bullet"/>
    <w:locked/>
    <w:rPr>
      <w:sz w:val="24"/>
    </w:rPr>
  </w:style>
  <w:style w:type="paragraph" w:customStyle="1" w:styleId="Bullet">
    <w:name w:val="Bullet"/>
    <w:basedOn w:val="Normal"/>
    <w:link w:val="BulletChar"/>
    <w:pPr>
      <w:numPr>
        <w:numId w:val="42"/>
      </w:numPr>
      <w:spacing w:after="120" w:line="300" w:lineRule="exact"/>
    </w:pPr>
  </w:style>
  <w:style w:type="paragraph" w:styleId="Revision">
    <w:name w:val="Revision"/>
    <w:hidden/>
    <w:uiPriority w:val="99"/>
    <w:semiHidden/>
    <w:rPr>
      <w:sz w:val="24"/>
    </w:rPr>
  </w:style>
  <w:style w:type="character" w:customStyle="1" w:styleId="FootnoteCharacters">
    <w:name w:val="Footnote Characters"/>
    <w:rPr>
      <w:vertAlign w:val="superscript"/>
    </w:rPr>
  </w:style>
  <w:style w:type="paragraph" w:customStyle="1" w:styleId="TOCHeading10">
    <w:name w:val="TOC Heading1"/>
    <w:basedOn w:val="Normal"/>
    <w:next w:val="Normal"/>
    <w:qFormat/>
    <w:pPr>
      <w:keepNext/>
      <w:spacing w:before="240"/>
      <w:jc w:val="center"/>
    </w:pPr>
    <w:rPr>
      <w:b/>
    </w:rPr>
  </w:style>
  <w:style w:type="character" w:customStyle="1" w:styleId="BookTitle10">
    <w:name w:val="Book Title1"/>
    <w:uiPriority w:val="33"/>
    <w:qFormat/>
    <w:rPr>
      <w:b/>
      <w:bCs/>
      <w:smallCaps/>
      <w:spacing w:val="5"/>
    </w:rPr>
  </w:style>
  <w:style w:type="character" w:customStyle="1" w:styleId="affairetitle">
    <w:name w:val="affaire_title"/>
    <w:basedOn w:val="DefaultParagraphFont"/>
  </w:style>
  <w:style w:type="paragraph" w:customStyle="1" w:styleId="LegalNumPar">
    <w:name w:val="LegalNumPar"/>
    <w:basedOn w:val="Normal"/>
    <w:pPr>
      <w:numPr>
        <w:numId w:val="85"/>
      </w:numPr>
    </w:pPr>
  </w:style>
  <w:style w:type="paragraph" w:customStyle="1" w:styleId="LegalNumPar2">
    <w:name w:val="LegalNumPar2"/>
    <w:basedOn w:val="Normal"/>
    <w:pPr>
      <w:numPr>
        <w:ilvl w:val="1"/>
        <w:numId w:val="85"/>
      </w:numPr>
    </w:pPr>
  </w:style>
  <w:style w:type="paragraph" w:customStyle="1" w:styleId="LegalNumPar3">
    <w:name w:val="LegalNumPar3"/>
    <w:basedOn w:val="Normal"/>
    <w:pPr>
      <w:numPr>
        <w:ilvl w:val="2"/>
        <w:numId w:val="85"/>
      </w:numPr>
    </w:p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210">
      <w:bodyDiv w:val="1"/>
      <w:marLeft w:val="0"/>
      <w:marRight w:val="0"/>
      <w:marTop w:val="0"/>
      <w:marBottom w:val="0"/>
      <w:divBdr>
        <w:top w:val="none" w:sz="0" w:space="0" w:color="auto"/>
        <w:left w:val="none" w:sz="0" w:space="0" w:color="auto"/>
        <w:bottom w:val="none" w:sz="0" w:space="0" w:color="auto"/>
        <w:right w:val="none" w:sz="0" w:space="0" w:color="auto"/>
      </w:divBdr>
    </w:div>
    <w:div w:id="92017296">
      <w:bodyDiv w:val="1"/>
      <w:marLeft w:val="0"/>
      <w:marRight w:val="0"/>
      <w:marTop w:val="0"/>
      <w:marBottom w:val="0"/>
      <w:divBdr>
        <w:top w:val="none" w:sz="0" w:space="0" w:color="auto"/>
        <w:left w:val="none" w:sz="0" w:space="0" w:color="auto"/>
        <w:bottom w:val="none" w:sz="0" w:space="0" w:color="auto"/>
        <w:right w:val="none" w:sz="0" w:space="0" w:color="auto"/>
      </w:divBdr>
    </w:div>
    <w:div w:id="443888823">
      <w:bodyDiv w:val="1"/>
      <w:marLeft w:val="0"/>
      <w:marRight w:val="0"/>
      <w:marTop w:val="0"/>
      <w:marBottom w:val="0"/>
      <w:divBdr>
        <w:top w:val="none" w:sz="0" w:space="0" w:color="auto"/>
        <w:left w:val="none" w:sz="0" w:space="0" w:color="auto"/>
        <w:bottom w:val="none" w:sz="0" w:space="0" w:color="auto"/>
        <w:right w:val="none" w:sz="0" w:space="0" w:color="auto"/>
      </w:divBdr>
    </w:div>
    <w:div w:id="637304363">
      <w:bodyDiv w:val="1"/>
      <w:marLeft w:val="0"/>
      <w:marRight w:val="0"/>
      <w:marTop w:val="0"/>
      <w:marBottom w:val="0"/>
      <w:divBdr>
        <w:top w:val="none" w:sz="0" w:space="0" w:color="auto"/>
        <w:left w:val="none" w:sz="0" w:space="0" w:color="auto"/>
        <w:bottom w:val="none" w:sz="0" w:space="0" w:color="auto"/>
        <w:right w:val="none" w:sz="0" w:space="0" w:color="auto"/>
      </w:divBdr>
    </w:div>
    <w:div w:id="654577874">
      <w:bodyDiv w:val="1"/>
      <w:marLeft w:val="0"/>
      <w:marRight w:val="0"/>
      <w:marTop w:val="0"/>
      <w:marBottom w:val="0"/>
      <w:divBdr>
        <w:top w:val="none" w:sz="0" w:space="0" w:color="auto"/>
        <w:left w:val="none" w:sz="0" w:space="0" w:color="auto"/>
        <w:bottom w:val="none" w:sz="0" w:space="0" w:color="auto"/>
        <w:right w:val="none" w:sz="0" w:space="0" w:color="auto"/>
      </w:divBdr>
    </w:div>
    <w:div w:id="655300944">
      <w:bodyDiv w:val="1"/>
      <w:marLeft w:val="0"/>
      <w:marRight w:val="0"/>
      <w:marTop w:val="0"/>
      <w:marBottom w:val="0"/>
      <w:divBdr>
        <w:top w:val="none" w:sz="0" w:space="0" w:color="auto"/>
        <w:left w:val="none" w:sz="0" w:space="0" w:color="auto"/>
        <w:bottom w:val="none" w:sz="0" w:space="0" w:color="auto"/>
        <w:right w:val="none" w:sz="0" w:space="0" w:color="auto"/>
      </w:divBdr>
    </w:div>
    <w:div w:id="677191716">
      <w:bodyDiv w:val="1"/>
      <w:marLeft w:val="1134"/>
      <w:marRight w:val="1134"/>
      <w:marTop w:val="0"/>
      <w:marBottom w:val="0"/>
      <w:divBdr>
        <w:top w:val="none" w:sz="0" w:space="0" w:color="auto"/>
        <w:left w:val="none" w:sz="0" w:space="0" w:color="auto"/>
        <w:bottom w:val="none" w:sz="0" w:space="0" w:color="auto"/>
        <w:right w:val="none" w:sz="0" w:space="0" w:color="auto"/>
      </w:divBdr>
      <w:divsChild>
        <w:div w:id="1068573432">
          <w:marLeft w:val="0"/>
          <w:marRight w:val="0"/>
          <w:marTop w:val="0"/>
          <w:marBottom w:val="0"/>
          <w:divBdr>
            <w:top w:val="none" w:sz="0" w:space="0" w:color="auto"/>
            <w:left w:val="none" w:sz="0" w:space="0" w:color="auto"/>
            <w:bottom w:val="none" w:sz="0" w:space="0" w:color="auto"/>
            <w:right w:val="none" w:sz="0" w:space="0" w:color="auto"/>
          </w:divBdr>
          <w:divsChild>
            <w:div w:id="1836610406">
              <w:marLeft w:val="2700"/>
              <w:marRight w:val="2250"/>
              <w:marTop w:val="600"/>
              <w:marBottom w:val="0"/>
              <w:divBdr>
                <w:top w:val="none" w:sz="0" w:space="0" w:color="auto"/>
                <w:left w:val="none" w:sz="0" w:space="0" w:color="auto"/>
                <w:bottom w:val="none" w:sz="0" w:space="0" w:color="auto"/>
                <w:right w:val="none" w:sz="0" w:space="0" w:color="auto"/>
              </w:divBdr>
              <w:divsChild>
                <w:div w:id="13066227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18041160">
      <w:bodyDiv w:val="1"/>
      <w:marLeft w:val="0"/>
      <w:marRight w:val="0"/>
      <w:marTop w:val="0"/>
      <w:marBottom w:val="0"/>
      <w:divBdr>
        <w:top w:val="none" w:sz="0" w:space="0" w:color="auto"/>
        <w:left w:val="none" w:sz="0" w:space="0" w:color="auto"/>
        <w:bottom w:val="none" w:sz="0" w:space="0" w:color="auto"/>
        <w:right w:val="none" w:sz="0" w:space="0" w:color="auto"/>
      </w:divBdr>
      <w:divsChild>
        <w:div w:id="1256597685">
          <w:marLeft w:val="547"/>
          <w:marRight w:val="0"/>
          <w:marTop w:val="86"/>
          <w:marBottom w:val="0"/>
          <w:divBdr>
            <w:top w:val="none" w:sz="0" w:space="0" w:color="auto"/>
            <w:left w:val="none" w:sz="0" w:space="0" w:color="auto"/>
            <w:bottom w:val="none" w:sz="0" w:space="0" w:color="auto"/>
            <w:right w:val="none" w:sz="0" w:space="0" w:color="auto"/>
          </w:divBdr>
        </w:div>
        <w:div w:id="2089227261">
          <w:marLeft w:val="547"/>
          <w:marRight w:val="0"/>
          <w:marTop w:val="86"/>
          <w:marBottom w:val="0"/>
          <w:divBdr>
            <w:top w:val="none" w:sz="0" w:space="0" w:color="auto"/>
            <w:left w:val="none" w:sz="0" w:space="0" w:color="auto"/>
            <w:bottom w:val="none" w:sz="0" w:space="0" w:color="auto"/>
            <w:right w:val="none" w:sz="0" w:space="0" w:color="auto"/>
          </w:divBdr>
        </w:div>
      </w:divsChild>
    </w:div>
    <w:div w:id="1018773427">
      <w:bodyDiv w:val="1"/>
      <w:marLeft w:val="0"/>
      <w:marRight w:val="0"/>
      <w:marTop w:val="0"/>
      <w:marBottom w:val="0"/>
      <w:divBdr>
        <w:top w:val="none" w:sz="0" w:space="0" w:color="auto"/>
        <w:left w:val="none" w:sz="0" w:space="0" w:color="auto"/>
        <w:bottom w:val="none" w:sz="0" w:space="0" w:color="auto"/>
        <w:right w:val="none" w:sz="0" w:space="0" w:color="auto"/>
      </w:divBdr>
    </w:div>
    <w:div w:id="1031877622">
      <w:bodyDiv w:val="1"/>
      <w:marLeft w:val="0"/>
      <w:marRight w:val="0"/>
      <w:marTop w:val="0"/>
      <w:marBottom w:val="0"/>
      <w:divBdr>
        <w:top w:val="none" w:sz="0" w:space="0" w:color="auto"/>
        <w:left w:val="none" w:sz="0" w:space="0" w:color="auto"/>
        <w:bottom w:val="none" w:sz="0" w:space="0" w:color="auto"/>
        <w:right w:val="none" w:sz="0" w:space="0" w:color="auto"/>
      </w:divBdr>
    </w:div>
    <w:div w:id="1033119742">
      <w:bodyDiv w:val="1"/>
      <w:marLeft w:val="0"/>
      <w:marRight w:val="0"/>
      <w:marTop w:val="0"/>
      <w:marBottom w:val="0"/>
      <w:divBdr>
        <w:top w:val="none" w:sz="0" w:space="0" w:color="auto"/>
        <w:left w:val="none" w:sz="0" w:space="0" w:color="auto"/>
        <w:bottom w:val="none" w:sz="0" w:space="0" w:color="auto"/>
        <w:right w:val="none" w:sz="0" w:space="0" w:color="auto"/>
      </w:divBdr>
    </w:div>
    <w:div w:id="1064329025">
      <w:bodyDiv w:val="1"/>
      <w:marLeft w:val="0"/>
      <w:marRight w:val="0"/>
      <w:marTop w:val="0"/>
      <w:marBottom w:val="0"/>
      <w:divBdr>
        <w:top w:val="none" w:sz="0" w:space="0" w:color="auto"/>
        <w:left w:val="none" w:sz="0" w:space="0" w:color="auto"/>
        <w:bottom w:val="none" w:sz="0" w:space="0" w:color="auto"/>
        <w:right w:val="none" w:sz="0" w:space="0" w:color="auto"/>
      </w:divBdr>
    </w:div>
    <w:div w:id="1076123918">
      <w:bodyDiv w:val="1"/>
      <w:marLeft w:val="0"/>
      <w:marRight w:val="0"/>
      <w:marTop w:val="0"/>
      <w:marBottom w:val="0"/>
      <w:divBdr>
        <w:top w:val="none" w:sz="0" w:space="0" w:color="auto"/>
        <w:left w:val="none" w:sz="0" w:space="0" w:color="auto"/>
        <w:bottom w:val="none" w:sz="0" w:space="0" w:color="auto"/>
        <w:right w:val="none" w:sz="0" w:space="0" w:color="auto"/>
      </w:divBdr>
    </w:div>
    <w:div w:id="1113131218">
      <w:bodyDiv w:val="1"/>
      <w:marLeft w:val="1134"/>
      <w:marRight w:val="1134"/>
      <w:marTop w:val="0"/>
      <w:marBottom w:val="0"/>
      <w:divBdr>
        <w:top w:val="none" w:sz="0" w:space="0" w:color="auto"/>
        <w:left w:val="none" w:sz="0" w:space="0" w:color="auto"/>
        <w:bottom w:val="none" w:sz="0" w:space="0" w:color="auto"/>
        <w:right w:val="none" w:sz="0" w:space="0" w:color="auto"/>
      </w:divBdr>
      <w:divsChild>
        <w:div w:id="1920677383">
          <w:marLeft w:val="0"/>
          <w:marRight w:val="0"/>
          <w:marTop w:val="0"/>
          <w:marBottom w:val="0"/>
          <w:divBdr>
            <w:top w:val="none" w:sz="0" w:space="0" w:color="auto"/>
            <w:left w:val="none" w:sz="0" w:space="0" w:color="auto"/>
            <w:bottom w:val="none" w:sz="0" w:space="0" w:color="auto"/>
            <w:right w:val="none" w:sz="0" w:space="0" w:color="auto"/>
          </w:divBdr>
          <w:divsChild>
            <w:div w:id="540290721">
              <w:marLeft w:val="2700"/>
              <w:marRight w:val="2250"/>
              <w:marTop w:val="600"/>
              <w:marBottom w:val="0"/>
              <w:divBdr>
                <w:top w:val="none" w:sz="0" w:space="0" w:color="auto"/>
                <w:left w:val="none" w:sz="0" w:space="0" w:color="auto"/>
                <w:bottom w:val="none" w:sz="0" w:space="0" w:color="auto"/>
                <w:right w:val="none" w:sz="0" w:space="0" w:color="auto"/>
              </w:divBdr>
              <w:divsChild>
                <w:div w:id="426774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9616526">
      <w:bodyDiv w:val="1"/>
      <w:marLeft w:val="0"/>
      <w:marRight w:val="0"/>
      <w:marTop w:val="0"/>
      <w:marBottom w:val="0"/>
      <w:divBdr>
        <w:top w:val="none" w:sz="0" w:space="0" w:color="auto"/>
        <w:left w:val="none" w:sz="0" w:space="0" w:color="auto"/>
        <w:bottom w:val="none" w:sz="0" w:space="0" w:color="auto"/>
        <w:right w:val="none" w:sz="0" w:space="0" w:color="auto"/>
      </w:divBdr>
    </w:div>
    <w:div w:id="1164583892">
      <w:bodyDiv w:val="1"/>
      <w:marLeft w:val="0"/>
      <w:marRight w:val="0"/>
      <w:marTop w:val="0"/>
      <w:marBottom w:val="0"/>
      <w:divBdr>
        <w:top w:val="none" w:sz="0" w:space="0" w:color="auto"/>
        <w:left w:val="none" w:sz="0" w:space="0" w:color="auto"/>
        <w:bottom w:val="none" w:sz="0" w:space="0" w:color="auto"/>
        <w:right w:val="none" w:sz="0" w:space="0" w:color="auto"/>
      </w:divBdr>
    </w:div>
    <w:div w:id="1211460841">
      <w:bodyDiv w:val="1"/>
      <w:marLeft w:val="0"/>
      <w:marRight w:val="0"/>
      <w:marTop w:val="0"/>
      <w:marBottom w:val="0"/>
      <w:divBdr>
        <w:top w:val="none" w:sz="0" w:space="0" w:color="auto"/>
        <w:left w:val="none" w:sz="0" w:space="0" w:color="auto"/>
        <w:bottom w:val="none" w:sz="0" w:space="0" w:color="auto"/>
        <w:right w:val="none" w:sz="0" w:space="0" w:color="auto"/>
      </w:divBdr>
    </w:div>
    <w:div w:id="1246572626">
      <w:bodyDiv w:val="1"/>
      <w:marLeft w:val="0"/>
      <w:marRight w:val="0"/>
      <w:marTop w:val="0"/>
      <w:marBottom w:val="0"/>
      <w:divBdr>
        <w:top w:val="none" w:sz="0" w:space="0" w:color="auto"/>
        <w:left w:val="none" w:sz="0" w:space="0" w:color="auto"/>
        <w:bottom w:val="none" w:sz="0" w:space="0" w:color="auto"/>
        <w:right w:val="none" w:sz="0" w:space="0" w:color="auto"/>
      </w:divBdr>
    </w:div>
    <w:div w:id="1267814202">
      <w:bodyDiv w:val="1"/>
      <w:marLeft w:val="1134"/>
      <w:marRight w:val="1134"/>
      <w:marTop w:val="0"/>
      <w:marBottom w:val="0"/>
      <w:divBdr>
        <w:top w:val="none" w:sz="0" w:space="0" w:color="auto"/>
        <w:left w:val="none" w:sz="0" w:space="0" w:color="auto"/>
        <w:bottom w:val="none" w:sz="0" w:space="0" w:color="auto"/>
        <w:right w:val="none" w:sz="0" w:space="0" w:color="auto"/>
      </w:divBdr>
      <w:divsChild>
        <w:div w:id="1020820287">
          <w:marLeft w:val="0"/>
          <w:marRight w:val="0"/>
          <w:marTop w:val="0"/>
          <w:marBottom w:val="0"/>
          <w:divBdr>
            <w:top w:val="none" w:sz="0" w:space="0" w:color="auto"/>
            <w:left w:val="none" w:sz="0" w:space="0" w:color="auto"/>
            <w:bottom w:val="none" w:sz="0" w:space="0" w:color="auto"/>
            <w:right w:val="none" w:sz="0" w:space="0" w:color="auto"/>
          </w:divBdr>
          <w:divsChild>
            <w:div w:id="625355831">
              <w:marLeft w:val="2700"/>
              <w:marRight w:val="2250"/>
              <w:marTop w:val="600"/>
              <w:marBottom w:val="0"/>
              <w:divBdr>
                <w:top w:val="none" w:sz="0" w:space="0" w:color="auto"/>
                <w:left w:val="none" w:sz="0" w:space="0" w:color="auto"/>
                <w:bottom w:val="none" w:sz="0" w:space="0" w:color="auto"/>
                <w:right w:val="none" w:sz="0" w:space="0" w:color="auto"/>
              </w:divBdr>
              <w:divsChild>
                <w:div w:id="8786654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71282363">
      <w:bodyDiv w:val="1"/>
      <w:marLeft w:val="0"/>
      <w:marRight w:val="0"/>
      <w:marTop w:val="0"/>
      <w:marBottom w:val="0"/>
      <w:divBdr>
        <w:top w:val="none" w:sz="0" w:space="0" w:color="auto"/>
        <w:left w:val="none" w:sz="0" w:space="0" w:color="auto"/>
        <w:bottom w:val="none" w:sz="0" w:space="0" w:color="auto"/>
        <w:right w:val="none" w:sz="0" w:space="0" w:color="auto"/>
      </w:divBdr>
    </w:div>
    <w:div w:id="1296989924">
      <w:bodyDiv w:val="1"/>
      <w:marLeft w:val="0"/>
      <w:marRight w:val="0"/>
      <w:marTop w:val="0"/>
      <w:marBottom w:val="0"/>
      <w:divBdr>
        <w:top w:val="none" w:sz="0" w:space="0" w:color="auto"/>
        <w:left w:val="none" w:sz="0" w:space="0" w:color="auto"/>
        <w:bottom w:val="none" w:sz="0" w:space="0" w:color="auto"/>
        <w:right w:val="none" w:sz="0" w:space="0" w:color="auto"/>
      </w:divBdr>
    </w:div>
    <w:div w:id="1537155038">
      <w:bodyDiv w:val="1"/>
      <w:marLeft w:val="0"/>
      <w:marRight w:val="0"/>
      <w:marTop w:val="0"/>
      <w:marBottom w:val="0"/>
      <w:divBdr>
        <w:top w:val="none" w:sz="0" w:space="0" w:color="auto"/>
        <w:left w:val="none" w:sz="0" w:space="0" w:color="auto"/>
        <w:bottom w:val="none" w:sz="0" w:space="0" w:color="auto"/>
        <w:right w:val="none" w:sz="0" w:space="0" w:color="auto"/>
      </w:divBdr>
    </w:div>
    <w:div w:id="1686244330">
      <w:bodyDiv w:val="1"/>
      <w:marLeft w:val="0"/>
      <w:marRight w:val="0"/>
      <w:marTop w:val="0"/>
      <w:marBottom w:val="0"/>
      <w:divBdr>
        <w:top w:val="none" w:sz="0" w:space="0" w:color="auto"/>
        <w:left w:val="none" w:sz="0" w:space="0" w:color="auto"/>
        <w:bottom w:val="none" w:sz="0" w:space="0" w:color="auto"/>
        <w:right w:val="none" w:sz="0" w:space="0" w:color="auto"/>
      </w:divBdr>
    </w:div>
    <w:div w:id="1709528369">
      <w:bodyDiv w:val="1"/>
      <w:marLeft w:val="0"/>
      <w:marRight w:val="0"/>
      <w:marTop w:val="0"/>
      <w:marBottom w:val="0"/>
      <w:divBdr>
        <w:top w:val="none" w:sz="0" w:space="0" w:color="auto"/>
        <w:left w:val="none" w:sz="0" w:space="0" w:color="auto"/>
        <w:bottom w:val="none" w:sz="0" w:space="0" w:color="auto"/>
        <w:right w:val="none" w:sz="0" w:space="0" w:color="auto"/>
      </w:divBdr>
    </w:div>
    <w:div w:id="1767261610">
      <w:bodyDiv w:val="1"/>
      <w:marLeft w:val="0"/>
      <w:marRight w:val="0"/>
      <w:marTop w:val="0"/>
      <w:marBottom w:val="0"/>
      <w:divBdr>
        <w:top w:val="none" w:sz="0" w:space="0" w:color="auto"/>
        <w:left w:val="none" w:sz="0" w:space="0" w:color="auto"/>
        <w:bottom w:val="none" w:sz="0" w:space="0" w:color="auto"/>
        <w:right w:val="none" w:sz="0" w:space="0" w:color="auto"/>
      </w:divBdr>
    </w:div>
    <w:div w:id="1801410804">
      <w:bodyDiv w:val="1"/>
      <w:marLeft w:val="0"/>
      <w:marRight w:val="0"/>
      <w:marTop w:val="0"/>
      <w:marBottom w:val="0"/>
      <w:divBdr>
        <w:top w:val="none" w:sz="0" w:space="0" w:color="auto"/>
        <w:left w:val="none" w:sz="0" w:space="0" w:color="auto"/>
        <w:bottom w:val="none" w:sz="0" w:space="0" w:color="auto"/>
        <w:right w:val="none" w:sz="0" w:space="0" w:color="auto"/>
      </w:divBdr>
    </w:div>
    <w:div w:id="1856915198">
      <w:bodyDiv w:val="1"/>
      <w:marLeft w:val="0"/>
      <w:marRight w:val="0"/>
      <w:marTop w:val="0"/>
      <w:marBottom w:val="0"/>
      <w:divBdr>
        <w:top w:val="none" w:sz="0" w:space="0" w:color="auto"/>
        <w:left w:val="none" w:sz="0" w:space="0" w:color="auto"/>
        <w:bottom w:val="none" w:sz="0" w:space="0" w:color="auto"/>
        <w:right w:val="none" w:sz="0" w:space="0" w:color="auto"/>
      </w:divBdr>
    </w:div>
    <w:div w:id="1923754512">
      <w:bodyDiv w:val="1"/>
      <w:marLeft w:val="0"/>
      <w:marRight w:val="0"/>
      <w:marTop w:val="0"/>
      <w:marBottom w:val="0"/>
      <w:divBdr>
        <w:top w:val="none" w:sz="0" w:space="0" w:color="auto"/>
        <w:left w:val="none" w:sz="0" w:space="0" w:color="auto"/>
        <w:bottom w:val="none" w:sz="0" w:space="0" w:color="auto"/>
        <w:right w:val="none" w:sz="0" w:space="0" w:color="auto"/>
      </w:divBdr>
    </w:div>
    <w:div w:id="1971323417">
      <w:bodyDiv w:val="1"/>
      <w:marLeft w:val="0"/>
      <w:marRight w:val="0"/>
      <w:marTop w:val="0"/>
      <w:marBottom w:val="0"/>
      <w:divBdr>
        <w:top w:val="none" w:sz="0" w:space="0" w:color="auto"/>
        <w:left w:val="none" w:sz="0" w:space="0" w:color="auto"/>
        <w:bottom w:val="none" w:sz="0" w:space="0" w:color="auto"/>
        <w:right w:val="none" w:sz="0" w:space="0" w:color="auto"/>
      </w:divBdr>
    </w:div>
    <w:div w:id="1979067369">
      <w:bodyDiv w:val="1"/>
      <w:marLeft w:val="0"/>
      <w:marRight w:val="0"/>
      <w:marTop w:val="0"/>
      <w:marBottom w:val="0"/>
      <w:divBdr>
        <w:top w:val="none" w:sz="0" w:space="0" w:color="auto"/>
        <w:left w:val="none" w:sz="0" w:space="0" w:color="auto"/>
        <w:bottom w:val="none" w:sz="0" w:space="0" w:color="auto"/>
        <w:right w:val="none" w:sz="0" w:space="0" w:color="auto"/>
      </w:divBdr>
    </w:div>
    <w:div w:id="2087993385">
      <w:bodyDiv w:val="1"/>
      <w:marLeft w:val="0"/>
      <w:marRight w:val="0"/>
      <w:marTop w:val="0"/>
      <w:marBottom w:val="0"/>
      <w:divBdr>
        <w:top w:val="none" w:sz="0" w:space="0" w:color="auto"/>
        <w:left w:val="none" w:sz="0" w:space="0" w:color="auto"/>
        <w:bottom w:val="none" w:sz="0" w:space="0" w:color="auto"/>
        <w:right w:val="none" w:sz="0" w:space="0" w:color="auto"/>
      </w:divBdr>
      <w:divsChild>
        <w:div w:id="163131326">
          <w:marLeft w:val="547"/>
          <w:marRight w:val="0"/>
          <w:marTop w:val="86"/>
          <w:marBottom w:val="0"/>
          <w:divBdr>
            <w:top w:val="none" w:sz="0" w:space="0" w:color="auto"/>
            <w:left w:val="none" w:sz="0" w:space="0" w:color="auto"/>
            <w:bottom w:val="none" w:sz="0" w:space="0" w:color="auto"/>
            <w:right w:val="none" w:sz="0" w:space="0" w:color="auto"/>
          </w:divBdr>
        </w:div>
        <w:div w:id="2002855411">
          <w:marLeft w:val="547"/>
          <w:marRight w:val="0"/>
          <w:marTop w:val="86"/>
          <w:marBottom w:val="0"/>
          <w:divBdr>
            <w:top w:val="none" w:sz="0" w:space="0" w:color="auto"/>
            <w:left w:val="none" w:sz="0" w:space="0" w:color="auto"/>
            <w:bottom w:val="none" w:sz="0" w:space="0" w:color="auto"/>
            <w:right w:val="none" w:sz="0" w:space="0" w:color="auto"/>
          </w:divBdr>
        </w:div>
      </w:divsChild>
    </w:div>
    <w:div w:id="210456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4D70-A56B-401F-A8BF-5F162C2B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24</TotalTime>
  <Pages>4</Pages>
  <Words>2053</Words>
  <Characters>12072</Characters>
  <Application>Microsoft Office Word</Application>
  <DocSecurity>0</DocSecurity>
  <PresentationFormat>Microsoft Word 14.0</PresentationFormat>
  <Lines>149</Lines>
  <Paragraphs>39</Paragraphs>
  <ScaleCrop>false</ScaleCrop>
  <HeadingPairs>
    <vt:vector size="2" baseType="variant">
      <vt:variant>
        <vt:lpstr>Title</vt:lpstr>
      </vt:variant>
      <vt:variant>
        <vt:i4>1</vt:i4>
      </vt:variant>
    </vt:vector>
  </HeadingPairs>
  <TitlesOfParts>
    <vt:vector size="1" baseType="lpstr">
      <vt:lpstr>28082015 Impact Assessment for CCP recovery and resolution proposal</vt:lpstr>
    </vt:vector>
  </TitlesOfParts>
  <Manager/>
  <Company/>
  <LinksUpToDate>false</LinksUpToDate>
  <CharactersWithSpaces>14086</CharactersWithSpaces>
  <SharedDoc>false</SharedDoc>
  <HLinks>
    <vt:vector size="606" baseType="variant">
      <vt:variant>
        <vt:i4>1900559</vt:i4>
      </vt:variant>
      <vt:variant>
        <vt:i4>264</vt:i4>
      </vt:variant>
      <vt:variant>
        <vt:i4>0</vt:i4>
      </vt:variant>
      <vt:variant>
        <vt:i4>5</vt:i4>
      </vt:variant>
      <vt:variant>
        <vt:lpwstr>http://www.bis.org/press/p140901.htm</vt:lpwstr>
      </vt:variant>
      <vt:variant>
        <vt:lpwstr/>
      </vt:variant>
      <vt:variant>
        <vt:i4>1179697</vt:i4>
      </vt:variant>
      <vt:variant>
        <vt:i4>248</vt:i4>
      </vt:variant>
      <vt:variant>
        <vt:i4>0</vt:i4>
      </vt:variant>
      <vt:variant>
        <vt:i4>5</vt:i4>
      </vt:variant>
      <vt:variant>
        <vt:lpwstr/>
      </vt:variant>
      <vt:variant>
        <vt:lpwstr>_Toc412736457</vt:lpwstr>
      </vt:variant>
      <vt:variant>
        <vt:i4>1179697</vt:i4>
      </vt:variant>
      <vt:variant>
        <vt:i4>242</vt:i4>
      </vt:variant>
      <vt:variant>
        <vt:i4>0</vt:i4>
      </vt:variant>
      <vt:variant>
        <vt:i4>5</vt:i4>
      </vt:variant>
      <vt:variant>
        <vt:lpwstr/>
      </vt:variant>
      <vt:variant>
        <vt:lpwstr>_Toc412736456</vt:lpwstr>
      </vt:variant>
      <vt:variant>
        <vt:i4>1179697</vt:i4>
      </vt:variant>
      <vt:variant>
        <vt:i4>236</vt:i4>
      </vt:variant>
      <vt:variant>
        <vt:i4>0</vt:i4>
      </vt:variant>
      <vt:variant>
        <vt:i4>5</vt:i4>
      </vt:variant>
      <vt:variant>
        <vt:lpwstr/>
      </vt:variant>
      <vt:variant>
        <vt:lpwstr>_Toc412736455</vt:lpwstr>
      </vt:variant>
      <vt:variant>
        <vt:i4>1179697</vt:i4>
      </vt:variant>
      <vt:variant>
        <vt:i4>230</vt:i4>
      </vt:variant>
      <vt:variant>
        <vt:i4>0</vt:i4>
      </vt:variant>
      <vt:variant>
        <vt:i4>5</vt:i4>
      </vt:variant>
      <vt:variant>
        <vt:lpwstr/>
      </vt:variant>
      <vt:variant>
        <vt:lpwstr>_Toc412736454</vt:lpwstr>
      </vt:variant>
      <vt:variant>
        <vt:i4>1179697</vt:i4>
      </vt:variant>
      <vt:variant>
        <vt:i4>224</vt:i4>
      </vt:variant>
      <vt:variant>
        <vt:i4>0</vt:i4>
      </vt:variant>
      <vt:variant>
        <vt:i4>5</vt:i4>
      </vt:variant>
      <vt:variant>
        <vt:lpwstr/>
      </vt:variant>
      <vt:variant>
        <vt:lpwstr>_Toc412736453</vt:lpwstr>
      </vt:variant>
      <vt:variant>
        <vt:i4>1179697</vt:i4>
      </vt:variant>
      <vt:variant>
        <vt:i4>218</vt:i4>
      </vt:variant>
      <vt:variant>
        <vt:i4>0</vt:i4>
      </vt:variant>
      <vt:variant>
        <vt:i4>5</vt:i4>
      </vt:variant>
      <vt:variant>
        <vt:lpwstr/>
      </vt:variant>
      <vt:variant>
        <vt:lpwstr>_Toc412736452</vt:lpwstr>
      </vt:variant>
      <vt:variant>
        <vt:i4>1179697</vt:i4>
      </vt:variant>
      <vt:variant>
        <vt:i4>212</vt:i4>
      </vt:variant>
      <vt:variant>
        <vt:i4>0</vt:i4>
      </vt:variant>
      <vt:variant>
        <vt:i4>5</vt:i4>
      </vt:variant>
      <vt:variant>
        <vt:lpwstr/>
      </vt:variant>
      <vt:variant>
        <vt:lpwstr>_Toc412736451</vt:lpwstr>
      </vt:variant>
      <vt:variant>
        <vt:i4>1179697</vt:i4>
      </vt:variant>
      <vt:variant>
        <vt:i4>206</vt:i4>
      </vt:variant>
      <vt:variant>
        <vt:i4>0</vt:i4>
      </vt:variant>
      <vt:variant>
        <vt:i4>5</vt:i4>
      </vt:variant>
      <vt:variant>
        <vt:lpwstr/>
      </vt:variant>
      <vt:variant>
        <vt:lpwstr>_Toc412736450</vt:lpwstr>
      </vt:variant>
      <vt:variant>
        <vt:i4>1245233</vt:i4>
      </vt:variant>
      <vt:variant>
        <vt:i4>200</vt:i4>
      </vt:variant>
      <vt:variant>
        <vt:i4>0</vt:i4>
      </vt:variant>
      <vt:variant>
        <vt:i4>5</vt:i4>
      </vt:variant>
      <vt:variant>
        <vt:lpwstr/>
      </vt:variant>
      <vt:variant>
        <vt:lpwstr>_Toc412736449</vt:lpwstr>
      </vt:variant>
      <vt:variant>
        <vt:i4>1245233</vt:i4>
      </vt:variant>
      <vt:variant>
        <vt:i4>194</vt:i4>
      </vt:variant>
      <vt:variant>
        <vt:i4>0</vt:i4>
      </vt:variant>
      <vt:variant>
        <vt:i4>5</vt:i4>
      </vt:variant>
      <vt:variant>
        <vt:lpwstr/>
      </vt:variant>
      <vt:variant>
        <vt:lpwstr>_Toc412736448</vt:lpwstr>
      </vt:variant>
      <vt:variant>
        <vt:i4>1245233</vt:i4>
      </vt:variant>
      <vt:variant>
        <vt:i4>188</vt:i4>
      </vt:variant>
      <vt:variant>
        <vt:i4>0</vt:i4>
      </vt:variant>
      <vt:variant>
        <vt:i4>5</vt:i4>
      </vt:variant>
      <vt:variant>
        <vt:lpwstr/>
      </vt:variant>
      <vt:variant>
        <vt:lpwstr>_Toc412736447</vt:lpwstr>
      </vt:variant>
      <vt:variant>
        <vt:i4>1245233</vt:i4>
      </vt:variant>
      <vt:variant>
        <vt:i4>182</vt:i4>
      </vt:variant>
      <vt:variant>
        <vt:i4>0</vt:i4>
      </vt:variant>
      <vt:variant>
        <vt:i4>5</vt:i4>
      </vt:variant>
      <vt:variant>
        <vt:lpwstr/>
      </vt:variant>
      <vt:variant>
        <vt:lpwstr>_Toc412736446</vt:lpwstr>
      </vt:variant>
      <vt:variant>
        <vt:i4>1245233</vt:i4>
      </vt:variant>
      <vt:variant>
        <vt:i4>176</vt:i4>
      </vt:variant>
      <vt:variant>
        <vt:i4>0</vt:i4>
      </vt:variant>
      <vt:variant>
        <vt:i4>5</vt:i4>
      </vt:variant>
      <vt:variant>
        <vt:lpwstr/>
      </vt:variant>
      <vt:variant>
        <vt:lpwstr>_Toc412736445</vt:lpwstr>
      </vt:variant>
      <vt:variant>
        <vt:i4>1245233</vt:i4>
      </vt:variant>
      <vt:variant>
        <vt:i4>170</vt:i4>
      </vt:variant>
      <vt:variant>
        <vt:i4>0</vt:i4>
      </vt:variant>
      <vt:variant>
        <vt:i4>5</vt:i4>
      </vt:variant>
      <vt:variant>
        <vt:lpwstr/>
      </vt:variant>
      <vt:variant>
        <vt:lpwstr>_Toc412736444</vt:lpwstr>
      </vt:variant>
      <vt:variant>
        <vt:i4>1245233</vt:i4>
      </vt:variant>
      <vt:variant>
        <vt:i4>164</vt:i4>
      </vt:variant>
      <vt:variant>
        <vt:i4>0</vt:i4>
      </vt:variant>
      <vt:variant>
        <vt:i4>5</vt:i4>
      </vt:variant>
      <vt:variant>
        <vt:lpwstr/>
      </vt:variant>
      <vt:variant>
        <vt:lpwstr>_Toc412736443</vt:lpwstr>
      </vt:variant>
      <vt:variant>
        <vt:i4>1245233</vt:i4>
      </vt:variant>
      <vt:variant>
        <vt:i4>158</vt:i4>
      </vt:variant>
      <vt:variant>
        <vt:i4>0</vt:i4>
      </vt:variant>
      <vt:variant>
        <vt:i4>5</vt:i4>
      </vt:variant>
      <vt:variant>
        <vt:lpwstr/>
      </vt:variant>
      <vt:variant>
        <vt:lpwstr>_Toc412736442</vt:lpwstr>
      </vt:variant>
      <vt:variant>
        <vt:i4>1245233</vt:i4>
      </vt:variant>
      <vt:variant>
        <vt:i4>152</vt:i4>
      </vt:variant>
      <vt:variant>
        <vt:i4>0</vt:i4>
      </vt:variant>
      <vt:variant>
        <vt:i4>5</vt:i4>
      </vt:variant>
      <vt:variant>
        <vt:lpwstr/>
      </vt:variant>
      <vt:variant>
        <vt:lpwstr>_Toc412736441</vt:lpwstr>
      </vt:variant>
      <vt:variant>
        <vt:i4>1245233</vt:i4>
      </vt:variant>
      <vt:variant>
        <vt:i4>146</vt:i4>
      </vt:variant>
      <vt:variant>
        <vt:i4>0</vt:i4>
      </vt:variant>
      <vt:variant>
        <vt:i4>5</vt:i4>
      </vt:variant>
      <vt:variant>
        <vt:lpwstr/>
      </vt:variant>
      <vt:variant>
        <vt:lpwstr>_Toc412736440</vt:lpwstr>
      </vt:variant>
      <vt:variant>
        <vt:i4>1310769</vt:i4>
      </vt:variant>
      <vt:variant>
        <vt:i4>140</vt:i4>
      </vt:variant>
      <vt:variant>
        <vt:i4>0</vt:i4>
      </vt:variant>
      <vt:variant>
        <vt:i4>5</vt:i4>
      </vt:variant>
      <vt:variant>
        <vt:lpwstr/>
      </vt:variant>
      <vt:variant>
        <vt:lpwstr>_Toc412736439</vt:lpwstr>
      </vt:variant>
      <vt:variant>
        <vt:i4>1310769</vt:i4>
      </vt:variant>
      <vt:variant>
        <vt:i4>134</vt:i4>
      </vt:variant>
      <vt:variant>
        <vt:i4>0</vt:i4>
      </vt:variant>
      <vt:variant>
        <vt:i4>5</vt:i4>
      </vt:variant>
      <vt:variant>
        <vt:lpwstr/>
      </vt:variant>
      <vt:variant>
        <vt:lpwstr>_Toc412736438</vt:lpwstr>
      </vt:variant>
      <vt:variant>
        <vt:i4>1310769</vt:i4>
      </vt:variant>
      <vt:variant>
        <vt:i4>128</vt:i4>
      </vt:variant>
      <vt:variant>
        <vt:i4>0</vt:i4>
      </vt:variant>
      <vt:variant>
        <vt:i4>5</vt:i4>
      </vt:variant>
      <vt:variant>
        <vt:lpwstr/>
      </vt:variant>
      <vt:variant>
        <vt:lpwstr>_Toc412736437</vt:lpwstr>
      </vt:variant>
      <vt:variant>
        <vt:i4>1310769</vt:i4>
      </vt:variant>
      <vt:variant>
        <vt:i4>122</vt:i4>
      </vt:variant>
      <vt:variant>
        <vt:i4>0</vt:i4>
      </vt:variant>
      <vt:variant>
        <vt:i4>5</vt:i4>
      </vt:variant>
      <vt:variant>
        <vt:lpwstr/>
      </vt:variant>
      <vt:variant>
        <vt:lpwstr>_Toc412736435</vt:lpwstr>
      </vt:variant>
      <vt:variant>
        <vt:i4>1310769</vt:i4>
      </vt:variant>
      <vt:variant>
        <vt:i4>116</vt:i4>
      </vt:variant>
      <vt:variant>
        <vt:i4>0</vt:i4>
      </vt:variant>
      <vt:variant>
        <vt:i4>5</vt:i4>
      </vt:variant>
      <vt:variant>
        <vt:lpwstr/>
      </vt:variant>
      <vt:variant>
        <vt:lpwstr>_Toc412736434</vt:lpwstr>
      </vt:variant>
      <vt:variant>
        <vt:i4>1310769</vt:i4>
      </vt:variant>
      <vt:variant>
        <vt:i4>110</vt:i4>
      </vt:variant>
      <vt:variant>
        <vt:i4>0</vt:i4>
      </vt:variant>
      <vt:variant>
        <vt:i4>5</vt:i4>
      </vt:variant>
      <vt:variant>
        <vt:lpwstr/>
      </vt:variant>
      <vt:variant>
        <vt:lpwstr>_Toc412736433</vt:lpwstr>
      </vt:variant>
      <vt:variant>
        <vt:i4>1310769</vt:i4>
      </vt:variant>
      <vt:variant>
        <vt:i4>104</vt:i4>
      </vt:variant>
      <vt:variant>
        <vt:i4>0</vt:i4>
      </vt:variant>
      <vt:variant>
        <vt:i4>5</vt:i4>
      </vt:variant>
      <vt:variant>
        <vt:lpwstr/>
      </vt:variant>
      <vt:variant>
        <vt:lpwstr>_Toc412736432</vt:lpwstr>
      </vt:variant>
      <vt:variant>
        <vt:i4>1310769</vt:i4>
      </vt:variant>
      <vt:variant>
        <vt:i4>98</vt:i4>
      </vt:variant>
      <vt:variant>
        <vt:i4>0</vt:i4>
      </vt:variant>
      <vt:variant>
        <vt:i4>5</vt:i4>
      </vt:variant>
      <vt:variant>
        <vt:lpwstr/>
      </vt:variant>
      <vt:variant>
        <vt:lpwstr>_Toc412736431</vt:lpwstr>
      </vt:variant>
      <vt:variant>
        <vt:i4>1310769</vt:i4>
      </vt:variant>
      <vt:variant>
        <vt:i4>92</vt:i4>
      </vt:variant>
      <vt:variant>
        <vt:i4>0</vt:i4>
      </vt:variant>
      <vt:variant>
        <vt:i4>5</vt:i4>
      </vt:variant>
      <vt:variant>
        <vt:lpwstr/>
      </vt:variant>
      <vt:variant>
        <vt:lpwstr>_Toc412736430</vt:lpwstr>
      </vt:variant>
      <vt:variant>
        <vt:i4>1376305</vt:i4>
      </vt:variant>
      <vt:variant>
        <vt:i4>86</vt:i4>
      </vt:variant>
      <vt:variant>
        <vt:i4>0</vt:i4>
      </vt:variant>
      <vt:variant>
        <vt:i4>5</vt:i4>
      </vt:variant>
      <vt:variant>
        <vt:lpwstr/>
      </vt:variant>
      <vt:variant>
        <vt:lpwstr>_Toc412736429</vt:lpwstr>
      </vt:variant>
      <vt:variant>
        <vt:i4>1376305</vt:i4>
      </vt:variant>
      <vt:variant>
        <vt:i4>80</vt:i4>
      </vt:variant>
      <vt:variant>
        <vt:i4>0</vt:i4>
      </vt:variant>
      <vt:variant>
        <vt:i4>5</vt:i4>
      </vt:variant>
      <vt:variant>
        <vt:lpwstr/>
      </vt:variant>
      <vt:variant>
        <vt:lpwstr>_Toc412736425</vt:lpwstr>
      </vt:variant>
      <vt:variant>
        <vt:i4>1376305</vt:i4>
      </vt:variant>
      <vt:variant>
        <vt:i4>74</vt:i4>
      </vt:variant>
      <vt:variant>
        <vt:i4>0</vt:i4>
      </vt:variant>
      <vt:variant>
        <vt:i4>5</vt:i4>
      </vt:variant>
      <vt:variant>
        <vt:lpwstr/>
      </vt:variant>
      <vt:variant>
        <vt:lpwstr>_Toc412736424</vt:lpwstr>
      </vt:variant>
      <vt:variant>
        <vt:i4>1376305</vt:i4>
      </vt:variant>
      <vt:variant>
        <vt:i4>68</vt:i4>
      </vt:variant>
      <vt:variant>
        <vt:i4>0</vt:i4>
      </vt:variant>
      <vt:variant>
        <vt:i4>5</vt:i4>
      </vt:variant>
      <vt:variant>
        <vt:lpwstr/>
      </vt:variant>
      <vt:variant>
        <vt:lpwstr>_Toc412736423</vt:lpwstr>
      </vt:variant>
      <vt:variant>
        <vt:i4>1376305</vt:i4>
      </vt:variant>
      <vt:variant>
        <vt:i4>62</vt:i4>
      </vt:variant>
      <vt:variant>
        <vt:i4>0</vt:i4>
      </vt:variant>
      <vt:variant>
        <vt:i4>5</vt:i4>
      </vt:variant>
      <vt:variant>
        <vt:lpwstr/>
      </vt:variant>
      <vt:variant>
        <vt:lpwstr>_Toc412736422</vt:lpwstr>
      </vt:variant>
      <vt:variant>
        <vt:i4>1376305</vt:i4>
      </vt:variant>
      <vt:variant>
        <vt:i4>56</vt:i4>
      </vt:variant>
      <vt:variant>
        <vt:i4>0</vt:i4>
      </vt:variant>
      <vt:variant>
        <vt:i4>5</vt:i4>
      </vt:variant>
      <vt:variant>
        <vt:lpwstr/>
      </vt:variant>
      <vt:variant>
        <vt:lpwstr>_Toc412736421</vt:lpwstr>
      </vt:variant>
      <vt:variant>
        <vt:i4>1376305</vt:i4>
      </vt:variant>
      <vt:variant>
        <vt:i4>50</vt:i4>
      </vt:variant>
      <vt:variant>
        <vt:i4>0</vt:i4>
      </vt:variant>
      <vt:variant>
        <vt:i4>5</vt:i4>
      </vt:variant>
      <vt:variant>
        <vt:lpwstr/>
      </vt:variant>
      <vt:variant>
        <vt:lpwstr>_Toc412736420</vt:lpwstr>
      </vt:variant>
      <vt:variant>
        <vt:i4>1441841</vt:i4>
      </vt:variant>
      <vt:variant>
        <vt:i4>44</vt:i4>
      </vt:variant>
      <vt:variant>
        <vt:i4>0</vt:i4>
      </vt:variant>
      <vt:variant>
        <vt:i4>5</vt:i4>
      </vt:variant>
      <vt:variant>
        <vt:lpwstr/>
      </vt:variant>
      <vt:variant>
        <vt:lpwstr>_Toc412736418</vt:lpwstr>
      </vt:variant>
      <vt:variant>
        <vt:i4>1441841</vt:i4>
      </vt:variant>
      <vt:variant>
        <vt:i4>38</vt:i4>
      </vt:variant>
      <vt:variant>
        <vt:i4>0</vt:i4>
      </vt:variant>
      <vt:variant>
        <vt:i4>5</vt:i4>
      </vt:variant>
      <vt:variant>
        <vt:lpwstr/>
      </vt:variant>
      <vt:variant>
        <vt:lpwstr>_Toc412736417</vt:lpwstr>
      </vt:variant>
      <vt:variant>
        <vt:i4>1441841</vt:i4>
      </vt:variant>
      <vt:variant>
        <vt:i4>32</vt:i4>
      </vt:variant>
      <vt:variant>
        <vt:i4>0</vt:i4>
      </vt:variant>
      <vt:variant>
        <vt:i4>5</vt:i4>
      </vt:variant>
      <vt:variant>
        <vt:lpwstr/>
      </vt:variant>
      <vt:variant>
        <vt:lpwstr>_Toc412736416</vt:lpwstr>
      </vt:variant>
      <vt:variant>
        <vt:i4>1441841</vt:i4>
      </vt:variant>
      <vt:variant>
        <vt:i4>26</vt:i4>
      </vt:variant>
      <vt:variant>
        <vt:i4>0</vt:i4>
      </vt:variant>
      <vt:variant>
        <vt:i4>5</vt:i4>
      </vt:variant>
      <vt:variant>
        <vt:lpwstr/>
      </vt:variant>
      <vt:variant>
        <vt:lpwstr>_Toc412736415</vt:lpwstr>
      </vt:variant>
      <vt:variant>
        <vt:i4>1441841</vt:i4>
      </vt:variant>
      <vt:variant>
        <vt:i4>20</vt:i4>
      </vt:variant>
      <vt:variant>
        <vt:i4>0</vt:i4>
      </vt:variant>
      <vt:variant>
        <vt:i4>5</vt:i4>
      </vt:variant>
      <vt:variant>
        <vt:lpwstr/>
      </vt:variant>
      <vt:variant>
        <vt:lpwstr>_Toc412736414</vt:lpwstr>
      </vt:variant>
      <vt:variant>
        <vt:i4>1441841</vt:i4>
      </vt:variant>
      <vt:variant>
        <vt:i4>14</vt:i4>
      </vt:variant>
      <vt:variant>
        <vt:i4>0</vt:i4>
      </vt:variant>
      <vt:variant>
        <vt:i4>5</vt:i4>
      </vt:variant>
      <vt:variant>
        <vt:lpwstr/>
      </vt:variant>
      <vt:variant>
        <vt:lpwstr>_Toc412736412</vt:lpwstr>
      </vt:variant>
      <vt:variant>
        <vt:i4>1441841</vt:i4>
      </vt:variant>
      <vt:variant>
        <vt:i4>8</vt:i4>
      </vt:variant>
      <vt:variant>
        <vt:i4>0</vt:i4>
      </vt:variant>
      <vt:variant>
        <vt:i4>5</vt:i4>
      </vt:variant>
      <vt:variant>
        <vt:lpwstr/>
      </vt:variant>
      <vt:variant>
        <vt:lpwstr>_Toc412736411</vt:lpwstr>
      </vt:variant>
      <vt:variant>
        <vt:i4>1441841</vt:i4>
      </vt:variant>
      <vt:variant>
        <vt:i4>2</vt:i4>
      </vt:variant>
      <vt:variant>
        <vt:i4>0</vt:i4>
      </vt:variant>
      <vt:variant>
        <vt:i4>5</vt:i4>
      </vt:variant>
      <vt:variant>
        <vt:lpwstr/>
      </vt:variant>
      <vt:variant>
        <vt:lpwstr>_Toc412736410</vt:lpwstr>
      </vt:variant>
      <vt:variant>
        <vt:i4>8061028</vt:i4>
      </vt:variant>
      <vt:variant>
        <vt:i4>195</vt:i4>
      </vt:variant>
      <vt:variant>
        <vt:i4>0</vt:i4>
      </vt:variant>
      <vt:variant>
        <vt:i4>5</vt:i4>
      </vt:variant>
      <vt:variant>
        <vt:lpwstr>http://www.chicagofed.org/digital_assets/others/events/2014/annual_over_the_counter_derivatives_symposium/tucker_clearinghouses_new_central_banks_tucker_2014.pdf</vt:lpwstr>
      </vt:variant>
      <vt:variant>
        <vt:lpwstr/>
      </vt:variant>
      <vt:variant>
        <vt:i4>524318</vt:i4>
      </vt:variant>
      <vt:variant>
        <vt:i4>192</vt:i4>
      </vt:variant>
      <vt:variant>
        <vt:i4>0</vt:i4>
      </vt:variant>
      <vt:variant>
        <vt:i4>5</vt:i4>
      </vt:variant>
      <vt:variant>
        <vt:lpwstr>http://ec.europa.eu/internal_market/consultations/2012/nonbanks_en.htm</vt:lpwstr>
      </vt:variant>
      <vt:variant>
        <vt:lpwstr/>
      </vt:variant>
      <vt:variant>
        <vt:i4>5111819</vt:i4>
      </vt:variant>
      <vt:variant>
        <vt:i4>189</vt:i4>
      </vt:variant>
      <vt:variant>
        <vt:i4>0</vt:i4>
      </vt:variant>
      <vt:variant>
        <vt:i4>5</vt:i4>
      </vt:variant>
      <vt:variant>
        <vt:lpwstr>http://www2.isda.org/attachment/NTc5Nw==/CCP_loss_allocation_waterfall_0807.pdf</vt:lpwstr>
      </vt:variant>
      <vt:variant>
        <vt:lpwstr/>
      </vt:variant>
      <vt:variant>
        <vt:i4>5111819</vt:i4>
      </vt:variant>
      <vt:variant>
        <vt:i4>186</vt:i4>
      </vt:variant>
      <vt:variant>
        <vt:i4>0</vt:i4>
      </vt:variant>
      <vt:variant>
        <vt:i4>5</vt:i4>
      </vt:variant>
      <vt:variant>
        <vt:lpwstr>http://www2.isda.org/attachment/NTc5Nw==/CCP_loss_allocation_waterfall_0807.pdf</vt:lpwstr>
      </vt:variant>
      <vt:variant>
        <vt:lpwstr/>
      </vt:variant>
      <vt:variant>
        <vt:i4>4587545</vt:i4>
      </vt:variant>
      <vt:variant>
        <vt:i4>183</vt:i4>
      </vt:variant>
      <vt:variant>
        <vt:i4>0</vt:i4>
      </vt:variant>
      <vt:variant>
        <vt:i4>5</vt:i4>
      </vt:variant>
      <vt:variant>
        <vt:lpwstr>http://www.financialstabilityboard.org/publications/c_131025_1.htm</vt:lpwstr>
      </vt:variant>
      <vt:variant>
        <vt:lpwstr/>
      </vt:variant>
      <vt:variant>
        <vt:i4>4653075</vt:i4>
      </vt:variant>
      <vt:variant>
        <vt:i4>180</vt:i4>
      </vt:variant>
      <vt:variant>
        <vt:i4>0</vt:i4>
      </vt:variant>
      <vt:variant>
        <vt:i4>5</vt:i4>
      </vt:variant>
      <vt:variant>
        <vt:lpwstr>http://www.imf.org/external/pubs/ft/gfsr/2010/01/</vt:lpwstr>
      </vt:variant>
      <vt:variant>
        <vt:lpwstr/>
      </vt:variant>
      <vt:variant>
        <vt:i4>327800</vt:i4>
      </vt:variant>
      <vt:variant>
        <vt:i4>177</vt:i4>
      </vt:variant>
      <vt:variant>
        <vt:i4>0</vt:i4>
      </vt:variant>
      <vt:variant>
        <vt:i4>5</vt:i4>
      </vt:variant>
      <vt:variant>
        <vt:lpwstr>http://www.bankofengland.co.uk/publications/Pages/fsr/fs_paper19.aspx</vt:lpwstr>
      </vt:variant>
      <vt:variant>
        <vt:lpwstr/>
      </vt:variant>
      <vt:variant>
        <vt:i4>1835009</vt:i4>
      </vt:variant>
      <vt:variant>
        <vt:i4>174</vt:i4>
      </vt:variant>
      <vt:variant>
        <vt:i4>0</vt:i4>
      </vt:variant>
      <vt:variant>
        <vt:i4>5</vt:i4>
      </vt:variant>
      <vt:variant>
        <vt:lpwstr>http://ec.europa.eu/internal_market/securities/isd/mifid2/index_en.htm</vt:lpwstr>
      </vt:variant>
      <vt:variant>
        <vt:lpwstr/>
      </vt:variant>
      <vt:variant>
        <vt:i4>3997759</vt:i4>
      </vt:variant>
      <vt:variant>
        <vt:i4>171</vt:i4>
      </vt:variant>
      <vt:variant>
        <vt:i4>0</vt:i4>
      </vt:variant>
      <vt:variant>
        <vt:i4>5</vt:i4>
      </vt:variant>
      <vt:variant>
        <vt:lpwstr>http://ec.europa.eu/internal_market/finances/docs/general/20140515-erfra-working-document_en.pdf</vt:lpwstr>
      </vt:variant>
      <vt:variant>
        <vt:lpwstr/>
      </vt:variant>
      <vt:variant>
        <vt:i4>7078014</vt:i4>
      </vt:variant>
      <vt:variant>
        <vt:i4>168</vt:i4>
      </vt:variant>
      <vt:variant>
        <vt:i4>0</vt:i4>
      </vt:variant>
      <vt:variant>
        <vt:i4>5</vt:i4>
      </vt:variant>
      <vt:variant>
        <vt:lpwstr>http://www.ecb.europa.eu/press/key/date/2014/html/sp140917.en.html</vt:lpwstr>
      </vt:variant>
      <vt:variant>
        <vt:lpwstr/>
      </vt:variant>
      <vt:variant>
        <vt:i4>4063268</vt:i4>
      </vt:variant>
      <vt:variant>
        <vt:i4>165</vt:i4>
      </vt:variant>
      <vt:variant>
        <vt:i4>0</vt:i4>
      </vt:variant>
      <vt:variant>
        <vt:i4>5</vt:i4>
      </vt:variant>
      <vt:variant>
        <vt:lpwstr>http://www.bankofengland.co.uk/publications/Documents/fsr/2013/fsrfull1306.pdf</vt:lpwstr>
      </vt:variant>
      <vt:variant>
        <vt:lpwstr/>
      </vt:variant>
      <vt:variant>
        <vt:i4>7995489</vt:i4>
      </vt:variant>
      <vt:variant>
        <vt:i4>162</vt:i4>
      </vt:variant>
      <vt:variant>
        <vt:i4>0</vt:i4>
      </vt:variant>
      <vt:variant>
        <vt:i4>5</vt:i4>
      </vt:variant>
      <vt:variant>
        <vt:lpwstr>http://www2.isda.org/functional-areas/research/studies/</vt:lpwstr>
      </vt:variant>
      <vt:variant>
        <vt:lpwstr/>
      </vt:variant>
      <vt:variant>
        <vt:i4>4587605</vt:i4>
      </vt:variant>
      <vt:variant>
        <vt:i4>159</vt:i4>
      </vt:variant>
      <vt:variant>
        <vt:i4>0</vt:i4>
      </vt:variant>
      <vt:variant>
        <vt:i4>5</vt:i4>
      </vt:variant>
      <vt:variant>
        <vt:lpwstr>http://www.bis.org/statistics/dt1920a.pdf</vt:lpwstr>
      </vt:variant>
      <vt:variant>
        <vt:lpwstr/>
      </vt:variant>
      <vt:variant>
        <vt:i4>3276901</vt:i4>
      </vt:variant>
      <vt:variant>
        <vt:i4>156</vt:i4>
      </vt:variant>
      <vt:variant>
        <vt:i4>0</vt:i4>
      </vt:variant>
      <vt:variant>
        <vt:i4>5</vt:i4>
      </vt:variant>
      <vt:variant>
        <vt:lpwstr>http://www.bis.org/</vt:lpwstr>
      </vt:variant>
      <vt:variant>
        <vt:lpwstr/>
      </vt:variant>
      <vt:variant>
        <vt:i4>7602285</vt:i4>
      </vt:variant>
      <vt:variant>
        <vt:i4>153</vt:i4>
      </vt:variant>
      <vt:variant>
        <vt:i4>0</vt:i4>
      </vt:variant>
      <vt:variant>
        <vt:i4>5</vt:i4>
      </vt:variant>
      <vt:variant>
        <vt:lpwstr>http://www.treasury.gov/initiatives/Documents/Finalruledisclaimer7-18-2011.pdf</vt:lpwstr>
      </vt:variant>
      <vt:variant>
        <vt:lpwstr/>
      </vt:variant>
      <vt:variant>
        <vt:i4>7995495</vt:i4>
      </vt:variant>
      <vt:variant>
        <vt:i4>150</vt:i4>
      </vt:variant>
      <vt:variant>
        <vt:i4>0</vt:i4>
      </vt:variant>
      <vt:variant>
        <vt:i4>5</vt:i4>
      </vt:variant>
      <vt:variant>
        <vt:lpwstr>http://www.federalreserve.gov/newsevents/press/bcreg/bcreg20130403a.pdf</vt:lpwstr>
      </vt:variant>
      <vt:variant>
        <vt:lpwstr/>
      </vt:variant>
      <vt:variant>
        <vt:i4>852062</vt:i4>
      </vt:variant>
      <vt:variant>
        <vt:i4>147</vt:i4>
      </vt:variant>
      <vt:variant>
        <vt:i4>0</vt:i4>
      </vt:variant>
      <vt:variant>
        <vt:i4>5</vt:i4>
      </vt:variant>
      <vt:variant>
        <vt:lpwstr>http://www.treasury.gov/initiatives/fsoc/Documents/Nonbank Designations - Final Rule and Guidance.pdf</vt:lpwstr>
      </vt:variant>
      <vt:variant>
        <vt:lpwstr/>
      </vt:variant>
      <vt:variant>
        <vt:i4>6619169</vt:i4>
      </vt:variant>
      <vt:variant>
        <vt:i4>123</vt:i4>
      </vt:variant>
      <vt:variant>
        <vt:i4>0</vt:i4>
      </vt:variant>
      <vt:variant>
        <vt:i4>5</vt:i4>
      </vt:variant>
      <vt:variant>
        <vt:lpwstr>http://www.bis.org/publ/bcbs200.pdf</vt:lpwstr>
      </vt:variant>
      <vt:variant>
        <vt:lpwstr/>
      </vt:variant>
      <vt:variant>
        <vt:i4>3670046</vt:i4>
      </vt:variant>
      <vt:variant>
        <vt:i4>120</vt:i4>
      </vt:variant>
      <vt:variant>
        <vt:i4>0</vt:i4>
      </vt:variant>
      <vt:variant>
        <vt:i4>5</vt:i4>
      </vt:variant>
      <vt:variant>
        <vt:lpwstr>http://www.financialstabilityboard.org/publications/r_130411a.pdf</vt:lpwstr>
      </vt:variant>
      <vt:variant>
        <vt:lpwstr/>
      </vt:variant>
      <vt:variant>
        <vt:i4>4915209</vt:i4>
      </vt:variant>
      <vt:variant>
        <vt:i4>117</vt:i4>
      </vt:variant>
      <vt:variant>
        <vt:i4>0</vt:i4>
      </vt:variant>
      <vt:variant>
        <vt:i4>5</vt:i4>
      </vt:variant>
      <vt:variant>
        <vt:lpwstr>http://www.bis.org/publ/cpss101a.pdf</vt:lpwstr>
      </vt:variant>
      <vt:variant>
        <vt:lpwstr/>
      </vt:variant>
      <vt:variant>
        <vt:i4>7078015</vt:i4>
      </vt:variant>
      <vt:variant>
        <vt:i4>114</vt:i4>
      </vt:variant>
      <vt:variant>
        <vt:i4>0</vt:i4>
      </vt:variant>
      <vt:variant>
        <vt:i4>5</vt:i4>
      </vt:variant>
      <vt:variant>
        <vt:lpwstr>http://www.financialstabilityboard.org/wp-content/uploads/FSB-Chair-letter-to-G20-February-2015.pdf</vt:lpwstr>
      </vt:variant>
      <vt:variant>
        <vt:lpwstr/>
      </vt:variant>
      <vt:variant>
        <vt:i4>1704015</vt:i4>
      </vt:variant>
      <vt:variant>
        <vt:i4>111</vt:i4>
      </vt:variant>
      <vt:variant>
        <vt:i4>0</vt:i4>
      </vt:variant>
      <vt:variant>
        <vt:i4>5</vt:i4>
      </vt:variant>
      <vt:variant>
        <vt:lpwstr>http://www.cmegroup.com/education/files/balancing-ccp-and-member-contributions-with-exposures.pdf</vt:lpwstr>
      </vt:variant>
      <vt:variant>
        <vt:lpwstr/>
      </vt:variant>
      <vt:variant>
        <vt:i4>2686999</vt:i4>
      </vt:variant>
      <vt:variant>
        <vt:i4>108</vt:i4>
      </vt:variant>
      <vt:variant>
        <vt:i4>0</vt:i4>
      </vt:variant>
      <vt:variant>
        <vt:i4>5</vt:i4>
      </vt:variant>
      <vt:variant>
        <vt:lpwstr>http://secure-area.lchclearnet.com/images/CCP_Risk_Management_Recovery_-_Resolution.pdf</vt:lpwstr>
      </vt:variant>
      <vt:variant>
        <vt:lpwstr/>
      </vt:variant>
      <vt:variant>
        <vt:i4>2359338</vt:i4>
      </vt:variant>
      <vt:variant>
        <vt:i4>105</vt:i4>
      </vt:variant>
      <vt:variant>
        <vt:i4>0</vt:i4>
      </vt:variant>
      <vt:variant>
        <vt:i4>5</vt:i4>
      </vt:variant>
      <vt:variant>
        <vt:lpwstr>http://www.financialstabilityboard.org/wp-content/uploads/TLAC-Condoc-6-Nov-2014-FINAL.pdf</vt:lpwstr>
      </vt:variant>
      <vt:variant>
        <vt:lpwstr/>
      </vt:variant>
      <vt:variant>
        <vt:i4>1441822</vt:i4>
      </vt:variant>
      <vt:variant>
        <vt:i4>102</vt:i4>
      </vt:variant>
      <vt:variant>
        <vt:i4>0</vt:i4>
      </vt:variant>
      <vt:variant>
        <vt:i4>5</vt:i4>
      </vt:variant>
      <vt:variant>
        <vt:lpwstr>http://www.bis.org/cpmi/publ/d121.pdf</vt:lpwstr>
      </vt:variant>
      <vt:variant>
        <vt:lpwstr/>
      </vt:variant>
      <vt:variant>
        <vt:i4>327729</vt:i4>
      </vt:variant>
      <vt:variant>
        <vt:i4>99</vt:i4>
      </vt:variant>
      <vt:variant>
        <vt:i4>0</vt:i4>
      </vt:variant>
      <vt:variant>
        <vt:i4>5</vt:i4>
      </vt:variant>
      <vt:variant>
        <vt:lpwstr>http://www.financialstabilityboard.org/wp-content/uploads/r_141015.pdf</vt:lpwstr>
      </vt:variant>
      <vt:variant>
        <vt:lpwstr/>
      </vt:variant>
      <vt:variant>
        <vt:i4>4915209</vt:i4>
      </vt:variant>
      <vt:variant>
        <vt:i4>96</vt:i4>
      </vt:variant>
      <vt:variant>
        <vt:i4>0</vt:i4>
      </vt:variant>
      <vt:variant>
        <vt:i4>5</vt:i4>
      </vt:variant>
      <vt:variant>
        <vt:lpwstr>http://www.bis.org/publ/cpss101a.pdf</vt:lpwstr>
      </vt:variant>
      <vt:variant>
        <vt:lpwstr/>
      </vt:variant>
      <vt:variant>
        <vt:i4>5111899</vt:i4>
      </vt:variant>
      <vt:variant>
        <vt:i4>93</vt:i4>
      </vt:variant>
      <vt:variant>
        <vt:i4>0</vt:i4>
      </vt:variant>
      <vt:variant>
        <vt:i4>5</vt:i4>
      </vt:variant>
      <vt:variant>
        <vt:lpwstr>https://www.eba.europa.eu/documents/10180/751477/EBA-CP-2014-16++%28CP+on+draft+RTS+on+Content+Res++Plans+and+Assessment+of+Resolvability%29.docx.pdf</vt:lpwstr>
      </vt:variant>
      <vt:variant>
        <vt:lpwstr/>
      </vt:variant>
      <vt:variant>
        <vt:i4>3997759</vt:i4>
      </vt:variant>
      <vt:variant>
        <vt:i4>90</vt:i4>
      </vt:variant>
      <vt:variant>
        <vt:i4>0</vt:i4>
      </vt:variant>
      <vt:variant>
        <vt:i4>5</vt:i4>
      </vt:variant>
      <vt:variant>
        <vt:lpwstr>http://ec.europa.eu/internal_market/finances/docs/general/20140515-erfra-working-document_en.pdf</vt:lpwstr>
      </vt:variant>
      <vt:variant>
        <vt:lpwstr/>
      </vt:variant>
      <vt:variant>
        <vt:i4>6225953</vt:i4>
      </vt:variant>
      <vt:variant>
        <vt:i4>84</vt:i4>
      </vt:variant>
      <vt:variant>
        <vt:i4>0</vt:i4>
      </vt:variant>
      <vt:variant>
        <vt:i4>5</vt:i4>
      </vt:variant>
      <vt:variant>
        <vt:lpwstr>http://www.ecb.europa.eu/press/key/date/2014/html/sp140519_1.en.html</vt:lpwstr>
      </vt:variant>
      <vt:variant>
        <vt:lpwstr/>
      </vt:variant>
      <vt:variant>
        <vt:i4>7995433</vt:i4>
      </vt:variant>
      <vt:variant>
        <vt:i4>81</vt:i4>
      </vt:variant>
      <vt:variant>
        <vt:i4>0</vt:i4>
      </vt:variant>
      <vt:variant>
        <vt:i4>5</vt:i4>
      </vt:variant>
      <vt:variant>
        <vt:lpwstr>http://www.bankofengland.co.uk/publications/Documents/fmi/fmiap1403.pdf</vt:lpwstr>
      </vt:variant>
      <vt:variant>
        <vt:lpwstr/>
      </vt:variant>
      <vt:variant>
        <vt:i4>2687085</vt:i4>
      </vt:variant>
      <vt:variant>
        <vt:i4>78</vt:i4>
      </vt:variant>
      <vt:variant>
        <vt:i4>0</vt:i4>
      </vt:variant>
      <vt:variant>
        <vt:i4>5</vt:i4>
      </vt:variant>
      <vt:variant>
        <vt:lpwstr>http://www.bankofengland.co.uk/financialstability/Documents/fmi/fmisupervision.pdf</vt:lpwstr>
      </vt:variant>
      <vt:variant>
        <vt:lpwstr/>
      </vt:variant>
      <vt:variant>
        <vt:i4>7471145</vt:i4>
      </vt:variant>
      <vt:variant>
        <vt:i4>75</vt:i4>
      </vt:variant>
      <vt:variant>
        <vt:i4>0</vt:i4>
      </vt:variant>
      <vt:variant>
        <vt:i4>5</vt:i4>
      </vt:variant>
      <vt:variant>
        <vt:lpwstr>http://ec.europa.eu/internal_market/bank/docs/crisis-management/2012_eu_framework/impact_assessment_final_en.pdf</vt:lpwstr>
      </vt:variant>
      <vt:variant>
        <vt:lpwstr/>
      </vt:variant>
      <vt:variant>
        <vt:i4>3997759</vt:i4>
      </vt:variant>
      <vt:variant>
        <vt:i4>72</vt:i4>
      </vt:variant>
      <vt:variant>
        <vt:i4>0</vt:i4>
      </vt:variant>
      <vt:variant>
        <vt:i4>5</vt:i4>
      </vt:variant>
      <vt:variant>
        <vt:lpwstr>http://ec.europa.eu/internal_market/finances/docs/general/20140515-erfra-working-document_en.pdf</vt:lpwstr>
      </vt:variant>
      <vt:variant>
        <vt:lpwstr/>
      </vt:variant>
      <vt:variant>
        <vt:i4>2883620</vt:i4>
      </vt:variant>
      <vt:variant>
        <vt:i4>69</vt:i4>
      </vt:variant>
      <vt:variant>
        <vt:i4>0</vt:i4>
      </vt:variant>
      <vt:variant>
        <vt:i4>5</vt:i4>
      </vt:variant>
      <vt:variant>
        <vt:lpwstr>http://www.jpmorganchase.com/corporate/About-JPMC/document/resolution-plan-ccps.pdf?M=22b2d037-ca48-42e1-a49e-53a5e0667db4</vt:lpwstr>
      </vt:variant>
      <vt:variant>
        <vt:lpwstr/>
      </vt:variant>
      <vt:variant>
        <vt:i4>3997759</vt:i4>
      </vt:variant>
      <vt:variant>
        <vt:i4>66</vt:i4>
      </vt:variant>
      <vt:variant>
        <vt:i4>0</vt:i4>
      </vt:variant>
      <vt:variant>
        <vt:i4>5</vt:i4>
      </vt:variant>
      <vt:variant>
        <vt:lpwstr>http://ec.europa.eu/internal_market/finances/docs/general/20140515-erfra-working-document_en.pdf</vt:lpwstr>
      </vt:variant>
      <vt:variant>
        <vt:lpwstr/>
      </vt:variant>
      <vt:variant>
        <vt:i4>8061028</vt:i4>
      </vt:variant>
      <vt:variant>
        <vt:i4>63</vt:i4>
      </vt:variant>
      <vt:variant>
        <vt:i4>0</vt:i4>
      </vt:variant>
      <vt:variant>
        <vt:i4>5</vt:i4>
      </vt:variant>
      <vt:variant>
        <vt:lpwstr>http://www.chicagofed.org/digital_assets/others/events/2014/annual_over_the_counter_derivatives_symposium/tucker_clearinghouses_new_central_banks_tucker_2014.pdf</vt:lpwstr>
      </vt:variant>
      <vt:variant>
        <vt:lpwstr/>
      </vt:variant>
      <vt:variant>
        <vt:i4>3997759</vt:i4>
      </vt:variant>
      <vt:variant>
        <vt:i4>60</vt:i4>
      </vt:variant>
      <vt:variant>
        <vt:i4>0</vt:i4>
      </vt:variant>
      <vt:variant>
        <vt:i4>5</vt:i4>
      </vt:variant>
      <vt:variant>
        <vt:lpwstr>http://ec.europa.eu/internal_market/finances/docs/general/20140515-erfra-working-document_en.pdf</vt:lpwstr>
      </vt:variant>
      <vt:variant>
        <vt:lpwstr/>
      </vt:variant>
      <vt:variant>
        <vt:i4>4915209</vt:i4>
      </vt:variant>
      <vt:variant>
        <vt:i4>57</vt:i4>
      </vt:variant>
      <vt:variant>
        <vt:i4>0</vt:i4>
      </vt:variant>
      <vt:variant>
        <vt:i4>5</vt:i4>
      </vt:variant>
      <vt:variant>
        <vt:lpwstr>http://www.bis.org/publ/cpss101a.pdf</vt:lpwstr>
      </vt:variant>
      <vt:variant>
        <vt:lpwstr/>
      </vt:variant>
      <vt:variant>
        <vt:i4>2949239</vt:i4>
      </vt:variant>
      <vt:variant>
        <vt:i4>54</vt:i4>
      </vt:variant>
      <vt:variant>
        <vt:i4>0</vt:i4>
      </vt:variant>
      <vt:variant>
        <vt:i4>5</vt:i4>
      </vt:variant>
      <vt:variant>
        <vt:lpwstr>http://www.bankofcanada.ca/wp-content/uploads/2012/11/wp2012-35.pdf</vt:lpwstr>
      </vt:variant>
      <vt:variant>
        <vt:lpwstr/>
      </vt:variant>
      <vt:variant>
        <vt:i4>2621488</vt:i4>
      </vt:variant>
      <vt:variant>
        <vt:i4>51</vt:i4>
      </vt:variant>
      <vt:variant>
        <vt:i4>0</vt:i4>
      </vt:variant>
      <vt:variant>
        <vt:i4>5</vt:i4>
      </vt:variant>
      <vt:variant>
        <vt:lpwstr>http://www.bis.org/publ/cpss92.pdf</vt:lpwstr>
      </vt:variant>
      <vt:variant>
        <vt:lpwstr/>
      </vt:variant>
      <vt:variant>
        <vt:i4>8257586</vt:i4>
      </vt:variant>
      <vt:variant>
        <vt:i4>48</vt:i4>
      </vt:variant>
      <vt:variant>
        <vt:i4>0</vt:i4>
      </vt:variant>
      <vt:variant>
        <vt:i4>5</vt:i4>
      </vt:variant>
      <vt:variant>
        <vt:lpwstr>http://sdw.ecb.europa.eu/reports.do?node=1000001583</vt:lpwstr>
      </vt:variant>
      <vt:variant>
        <vt:lpwstr/>
      </vt:variant>
      <vt:variant>
        <vt:i4>7143539</vt:i4>
      </vt:variant>
      <vt:variant>
        <vt:i4>45</vt:i4>
      </vt:variant>
      <vt:variant>
        <vt:i4>0</vt:i4>
      </vt:variant>
      <vt:variant>
        <vt:i4>5</vt:i4>
      </vt:variant>
      <vt:variant>
        <vt:lpwstr>http://mifiddatabase.esma.europa.eu/Index.aspx?sectionlinks_id=24&amp;language=0&amp;pageName=CENTRAL_COUNTERPARTIES_Display&amp;subsection_id=0</vt:lpwstr>
      </vt:variant>
      <vt:variant>
        <vt:lpwstr/>
      </vt:variant>
      <vt:variant>
        <vt:i4>68</vt:i4>
      </vt:variant>
      <vt:variant>
        <vt:i4>42</vt:i4>
      </vt:variant>
      <vt:variant>
        <vt:i4>0</vt:i4>
      </vt:variant>
      <vt:variant>
        <vt:i4>5</vt:i4>
      </vt:variant>
      <vt:variant>
        <vt:lpwstr>http://www.chicagofed.org/digital_assets/publications/economic_perspectives/2006/ep_4qtr2006_part2_bliss_steigerwald.pdf</vt:lpwstr>
      </vt:variant>
      <vt:variant>
        <vt:lpwstr/>
      </vt:variant>
      <vt:variant>
        <vt:i4>6160500</vt:i4>
      </vt:variant>
      <vt:variant>
        <vt:i4>39</vt:i4>
      </vt:variant>
      <vt:variant>
        <vt:i4>0</vt:i4>
      </vt:variant>
      <vt:variant>
        <vt:i4>5</vt:i4>
      </vt:variant>
      <vt:variant>
        <vt:lpwstr>https://www.financialstabilityboard.org/publications/c_131121.htm</vt:lpwstr>
      </vt:variant>
      <vt:variant>
        <vt:lpwstr/>
      </vt:variant>
      <vt:variant>
        <vt:i4>589838</vt:i4>
      </vt:variant>
      <vt:variant>
        <vt:i4>36</vt:i4>
      </vt:variant>
      <vt:variant>
        <vt:i4>0</vt:i4>
      </vt:variant>
      <vt:variant>
        <vt:i4>5</vt:i4>
      </vt:variant>
      <vt:variant>
        <vt:lpwstr>http://www.bis.org/publ/cpss109/comments.htm</vt:lpwstr>
      </vt:variant>
      <vt:variant>
        <vt:lpwstr/>
      </vt:variant>
      <vt:variant>
        <vt:i4>2490431</vt:i4>
      </vt:variant>
      <vt:variant>
        <vt:i4>33</vt:i4>
      </vt:variant>
      <vt:variant>
        <vt:i4>0</vt:i4>
      </vt:variant>
      <vt:variant>
        <vt:i4>5</vt:i4>
      </vt:variant>
      <vt:variant>
        <vt:lpwstr>http://ec.europa.eu/internal_market/consultations/2012/nonbanks/consultation-document_en.pdf</vt:lpwstr>
      </vt:variant>
      <vt:variant>
        <vt:lpwstr/>
      </vt:variant>
      <vt:variant>
        <vt:i4>917539</vt:i4>
      </vt:variant>
      <vt:variant>
        <vt:i4>30</vt:i4>
      </vt:variant>
      <vt:variant>
        <vt:i4>0</vt:i4>
      </vt:variant>
      <vt:variant>
        <vt:i4>5</vt:i4>
      </vt:variant>
      <vt:variant>
        <vt:lpwstr>http://ec.europa.eu/atwork/key-documents/index_en.htm</vt:lpwstr>
      </vt:variant>
      <vt:variant>
        <vt:lpwstr/>
      </vt:variant>
      <vt:variant>
        <vt:i4>5505088</vt:i4>
      </vt:variant>
      <vt:variant>
        <vt:i4>27</vt:i4>
      </vt:variant>
      <vt:variant>
        <vt:i4>0</vt:i4>
      </vt:variant>
      <vt:variant>
        <vt:i4>5</vt:i4>
      </vt:variant>
      <vt:variant>
        <vt:lpwstr>http://www.europarl.europa.eu/sides/getDoc.do?pubRef=-//EP//TEXT+TA+P7-TA-2013-0533+0+DOC+XML+V0//EN</vt:lpwstr>
      </vt:variant>
      <vt:variant>
        <vt:lpwstr/>
      </vt:variant>
      <vt:variant>
        <vt:i4>327729</vt:i4>
      </vt:variant>
      <vt:variant>
        <vt:i4>24</vt:i4>
      </vt:variant>
      <vt:variant>
        <vt:i4>0</vt:i4>
      </vt:variant>
      <vt:variant>
        <vt:i4>5</vt:i4>
      </vt:variant>
      <vt:variant>
        <vt:lpwstr>http://www.financialstabilityboard.org/wp-content/uploads/r_141015.pdf</vt:lpwstr>
      </vt:variant>
      <vt:variant>
        <vt:lpwstr/>
      </vt:variant>
      <vt:variant>
        <vt:i4>1441822</vt:i4>
      </vt:variant>
      <vt:variant>
        <vt:i4>21</vt:i4>
      </vt:variant>
      <vt:variant>
        <vt:i4>0</vt:i4>
      </vt:variant>
      <vt:variant>
        <vt:i4>5</vt:i4>
      </vt:variant>
      <vt:variant>
        <vt:lpwstr>http://www.bis.org/cpmi/publ/d121.pdf</vt:lpwstr>
      </vt:variant>
      <vt:variant>
        <vt:lpwstr/>
      </vt:variant>
      <vt:variant>
        <vt:i4>327729</vt:i4>
      </vt:variant>
      <vt:variant>
        <vt:i4>18</vt:i4>
      </vt:variant>
      <vt:variant>
        <vt:i4>0</vt:i4>
      </vt:variant>
      <vt:variant>
        <vt:i4>5</vt:i4>
      </vt:variant>
      <vt:variant>
        <vt:lpwstr>http://www.financialstabilityboard.org/wp-content/uploads/r_141015.pdf</vt:lpwstr>
      </vt:variant>
      <vt:variant>
        <vt:lpwstr/>
      </vt:variant>
      <vt:variant>
        <vt:i4>327718</vt:i4>
      </vt:variant>
      <vt:variant>
        <vt:i4>15</vt:i4>
      </vt:variant>
      <vt:variant>
        <vt:i4>0</vt:i4>
      </vt:variant>
      <vt:variant>
        <vt:i4>5</vt:i4>
      </vt:variant>
      <vt:variant>
        <vt:lpwstr>http://www.financialstabilityboard.org/publications/r_111104cc.pdf</vt:lpwstr>
      </vt:variant>
      <vt:variant>
        <vt:lpwstr/>
      </vt:variant>
      <vt:variant>
        <vt:i4>3080288</vt:i4>
      </vt:variant>
      <vt:variant>
        <vt:i4>12</vt:i4>
      </vt:variant>
      <vt:variant>
        <vt:i4>0</vt:i4>
      </vt:variant>
      <vt:variant>
        <vt:i4>5</vt:i4>
      </vt:variant>
      <vt:variant>
        <vt:lpwstr>http://ec.europa.eu/internal_market/finances/banking-union/index_en.htm</vt:lpwstr>
      </vt:variant>
      <vt:variant>
        <vt:lpwstr/>
      </vt:variant>
      <vt:variant>
        <vt:i4>327730</vt:i4>
      </vt:variant>
      <vt:variant>
        <vt:i4>9</vt:i4>
      </vt:variant>
      <vt:variant>
        <vt:i4>0</vt:i4>
      </vt:variant>
      <vt:variant>
        <vt:i4>5</vt:i4>
      </vt:variant>
      <vt:variant>
        <vt:lpwstr>http://ec.europa.eu/internal_market/bank/crisis_management/index_en.htm</vt:lpwstr>
      </vt:variant>
      <vt:variant>
        <vt:lpwstr/>
      </vt:variant>
      <vt:variant>
        <vt:i4>2490431</vt:i4>
      </vt:variant>
      <vt:variant>
        <vt:i4>6</vt:i4>
      </vt:variant>
      <vt:variant>
        <vt:i4>0</vt:i4>
      </vt:variant>
      <vt:variant>
        <vt:i4>5</vt:i4>
      </vt:variant>
      <vt:variant>
        <vt:lpwstr>http://ec.europa.eu/internal_market/consultations/2012/nonbanks/consultation-document_en.pdf</vt:lpwstr>
      </vt:variant>
      <vt:variant>
        <vt:lpwstr/>
      </vt:variant>
      <vt:variant>
        <vt:i4>2621494</vt:i4>
      </vt:variant>
      <vt:variant>
        <vt:i4>3</vt:i4>
      </vt:variant>
      <vt:variant>
        <vt:i4>0</vt:i4>
      </vt:variant>
      <vt:variant>
        <vt:i4>5</vt:i4>
      </vt:variant>
      <vt:variant>
        <vt:lpwstr>http://eur-lex.europa.eu/legal-content/EN/TXT/;ELX_SESSIONID=2hCkTyTNGyHG1hNnQmvLry3rTZt5TTSkrM1LLv12RFZ9hNy9lbl7!-1897320616?uri=uriserv:OJ.L_.2014.173.01.0190.01.ENG</vt:lpwstr>
      </vt:variant>
      <vt:variant>
        <vt:lpwstr/>
      </vt:variant>
      <vt:variant>
        <vt:i4>7078015</vt:i4>
      </vt:variant>
      <vt:variant>
        <vt:i4>0</vt:i4>
      </vt:variant>
      <vt:variant>
        <vt:i4>0</vt:i4>
      </vt:variant>
      <vt:variant>
        <vt:i4>5</vt:i4>
      </vt:variant>
      <vt:variant>
        <vt:lpwstr>http://www.financialstabilityboard.org/wp-content/uploads/FSB-Chair-letter-to-G20-February-2015.pdf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28082015 Impact Assessment for CCP recovery and resolution proposal</dc:title>
  <dc:creator/>
  <cp:keywords>EL4</cp:keywords>
  <cp:lastModifiedBy>DIGIT/A3</cp:lastModifiedBy>
  <cp:revision>39</cp:revision>
  <cp:lastPrinted>2017-05-19T14:04:00Z</cp:lastPrinted>
  <dcterms:created xsi:type="dcterms:W3CDTF">2017-06-12T09:57:00Z</dcterms:created>
  <dcterms:modified xsi:type="dcterms:W3CDTF">2017-07-14T07:16:00Z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4.5.0.2</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GG</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lassification">
    <vt:lpwstr> </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