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7148291C394403BCCBD326C446C8AA" style="width:450.7pt;height:448.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0"/>
        <w:rPr>
          <w:noProof/>
          <w:sz w:val="2"/>
        </w:rPr>
      </w:pPr>
      <w:bookmarkStart w:id="1" w:name="_GoBack"/>
      <w:bookmarkEnd w:id="1"/>
    </w:p>
    <w:tbl>
      <w:tblPr>
        <w:tblW w:w="1018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after="0"/>
              <w:jc w:val="center"/>
              <w:rPr>
                <w:rFonts w:ascii="Tahoma" w:hAnsi="Tahoma" w:cs="Tahoma"/>
                <w:b/>
                <w:noProof/>
              </w:rPr>
            </w:pP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noProof/>
              </w:rPr>
              <w:br w:type="page"/>
            </w:r>
            <w:r>
              <w:rPr>
                <w:rFonts w:ascii="Tahoma" w:hAnsi="Tahoma"/>
                <w:b/>
                <w:noProof/>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cPr>
          <w:p>
            <w:pPr>
              <w:spacing w:after="0"/>
              <w:rPr>
                <w:rFonts w:ascii="Tahoma" w:hAnsi="Tahoma" w:cs="Tahoma"/>
                <w:noProof/>
                <w:sz w:val="20"/>
              </w:rPr>
            </w:pPr>
            <w:r>
              <w:rPr>
                <w:rFonts w:ascii="Tahoma" w:hAnsi="Tahoma"/>
                <w:noProof/>
                <w:color w:val="FFFFFF"/>
                <w:sz w:val="20"/>
              </w:rPr>
              <w:t>Оценка на въздействието на евентуалните изменения на Регламент (ЕС) № 648/2012 на Европейския парламент и на Съвета от 4 юли 2012 г. относно извънборсовите деривати, централните контрагенти и регистрите на трансакции</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A. Необходимост от действия</w:t>
            </w:r>
          </w:p>
        </w:tc>
      </w:tr>
      <w:tr>
        <w:tc>
          <w:tcPr>
            <w:tcW w:w="10188" w:type="dxa"/>
            <w:tcBorders>
              <w:bottom w:val="single" w:sz="4" w:space="0" w:color="auto"/>
            </w:tcBorders>
            <w:shd w:val="clear" w:color="auto" w:fill="E0E0E0"/>
          </w:tcPr>
          <w:p>
            <w:pPr>
              <w:spacing w:after="0"/>
              <w:rPr>
                <w:rFonts w:ascii="Tahoma" w:hAnsi="Tahoma" w:cs="Tahoma"/>
                <w:noProof/>
                <w:sz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В съответствие със споразумението на Г-20 от Питсбърг през 2009 г. за намаляване на системните рискове, свързани с широкото използване на дериватите, през 2012 г. ЕС прие Регламента за европейската пазарна инфраструктура. Основен стълб на Регламента за европейската пазарна инфраструктура е изискването, в сила от декември 2015 г., на стандартизираните договори за извънборсови деривати да се извършва клиринг от централен контрагент (ЦК). Задължението за централен клиринг за някои класове активи и по-широкото доброволно използване на централния клиринг в резултат на по-голямата осведоменост на пазарните участници за ползата от централен клиринг доведоха до бързо нарастване на обема на дейността на ЦК след приемането на Регламента за европейската пазарна инфраструктура — в ЕС и в световен мащаб. На фона на свързаната с това увеличена концентрация на кредитен риск в тези инфраструктури е необходимо механизмите за надзор на ЦК от ЕС и от трети държави, предвидени в Регламента за европейската пазарна инфраструктура, да бъдат по-ефективни. </w:t>
            </w:r>
          </w:p>
          <w:p>
            <w:pPr>
              <w:spacing w:after="0"/>
              <w:rPr>
                <w:rFonts w:ascii="Arial" w:hAnsi="Arial" w:cs="Arial"/>
                <w:noProof/>
                <w:sz w:val="20"/>
              </w:rPr>
            </w:pPr>
            <w:r>
              <w:rPr>
                <w:rFonts w:ascii="Arial" w:hAnsi="Arial"/>
                <w:noProof/>
                <w:sz w:val="20"/>
              </w:rPr>
              <w:t>Настоящите механизми за надзор на ЦК от ЕС, предвидени в Регламента за европейската пазарна инфраструктура, състоящи се от колегии, координирани от органа в държавата по произход, пораждат редица опасения: i) предвид значението на ограничен брой ЦК за финансовата система на ЕС като цяло,</w:t>
            </w:r>
            <w:r>
              <w:rPr>
                <w:noProof/>
              </w:rPr>
              <w:t xml:space="preserve"> </w:t>
            </w:r>
            <w:r>
              <w:rPr>
                <w:rFonts w:ascii="Arial" w:hAnsi="Arial"/>
                <w:noProof/>
                <w:sz w:val="20"/>
              </w:rPr>
              <w:t xml:space="preserve"> разчитането главно на надзорния орган на държавата по произход поражда загриженост; ii) различаващите се в ЕС надзорни практики за ЦК биха могли да създадат риск от регулаторен и надзорен арбитраж за ЦК и косвено — за техните клирингови членове или клиенти; iii) ролята на централните банки — като емитенти на пари — не е адекватно отразена в колегиите на ЦК. </w:t>
            </w:r>
          </w:p>
          <w:p>
            <w:pPr>
              <w:spacing w:after="120"/>
              <w:rPr>
                <w:rFonts w:ascii="Arial" w:hAnsi="Arial" w:cs="Arial"/>
                <w:noProof/>
                <w:sz w:val="20"/>
              </w:rPr>
            </w:pPr>
            <w:r>
              <w:rPr>
                <w:rFonts w:ascii="Arial" w:hAnsi="Arial"/>
                <w:noProof/>
                <w:sz w:val="20"/>
              </w:rPr>
              <w:t>Загриженост пораждат и надзорните механизми за ЦК от трети държави, които извършват дейност в ЕС: i) прилагането на разпоредбите на Регламента за европейската пазарна инфраструктура за еквивалентност и признаване показа някои недостатъци, по-специално по отношение на текущия надзор на признатите ЦК от трети държави; ii) голяма е вероятността за разминавания между надзорните цели и целите на централните банки в рамките на колегиите в контекста на ЦК от трети държави, когато участват органи извън ЕС; iii) евентуални промени в правилата на ЦК от трети държави и/или в нормативната им уредба там биха могли да породят неравнопоставени условия на конкуренция между ЦК от ЕС и ЦК от трети страни, както и възможност за регулаторен или надзорен арбитраж, тъй като понастоящем няма механизъм, който да гарантира, че ЕС автоматично бива уведомяван за такива промени.</w:t>
            </w:r>
            <w:r>
              <w:rPr>
                <w:noProof/>
              </w:rPr>
              <w:t xml:space="preserve"> </w:t>
            </w:r>
            <w:r>
              <w:rPr>
                <w:rFonts w:ascii="Arial" w:hAnsi="Arial"/>
                <w:noProof/>
                <w:sz w:val="20"/>
              </w:rPr>
              <w:t>Понастоящем клирингът на значителен обем сделки с деривати в евро и на други сделки, които в ЕС подлежат на задължителен клиринг, се извършва от ЦК от Обединеното кралство. Излизането на Обединеното кралство от ЕС засилва изложените опасения предвид дела на тези сделки, чийто клиринг се извършва от ЦК извън юрисдикцията на ЕС.</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Очаква се с инициативата да се повиши съгласуваността на надзорните механизми за установените в ЕС ЦК, включително чрез подходящо отчитане на специфичната роля на емитиращата централна банка, както и способността на ЕС да наблюдава, установява и ограничава рисковете, които пораждат ЦК от трети държави. </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С Регламента за европейската пазарна инфраструктура се урежда надзорът на установените в ЕС ЦК и режимът за ЦК от трети държави, които предоставят клирингови услуги в ЕС. Един по-съгласуван надзор на равнище ЕС ще допринесе за преодоляването на следните проблеми: i) системните рискове, пораждани от изключително сложни и взаимосвързани ЦК, които извършват трансгранична дейност извън обхвата на националните юрисдикции; и ii) рисковете, дължащи се на различаващите се надзорни практики, които рискове отделните държави членки не могат да премахнат сами. От своя страна, един по-интензивен надзор на равнище ЕС на системно значимите ЦК от трети държави представлява по-подходящ отговор на заплахите за финансовата стабилност на ЕС като цяло.</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Б. Решения</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Какви законодателни и незаконодателни варианти на политиката са разгледани?</w:t>
            </w:r>
            <w:r>
              <w:rPr>
                <w:rFonts w:ascii="Tahoma" w:hAnsi="Tahoma"/>
                <w:noProof/>
                <w:sz w:val="20"/>
              </w:rPr>
              <w:t xml:space="preserve"> </w:t>
            </w:r>
            <w:r>
              <w:rPr>
                <w:rFonts w:ascii="Tahoma" w:hAnsi="Tahoma"/>
                <w:b/>
                <w:noProof/>
                <w:sz w:val="20"/>
              </w:rPr>
              <w:t xml:space="preserve">Има ли предпочитан вариант? Защо?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По отношение на съгласуваността на надзорните механизми за установените в ЕС ЦК бяха разгледани следните три варианта: 1) запазване на статуквото (т.е. без да се предприемат действия); 2) създаване на Европейски надзорен механизъм; и 3) създаване на единен надзорен орган на ЕС. Предпочитаният вариант е вариант 2, при който националните надзорни органи запазват до голяма степен надзорните си правомощия във връзка с фискалната отговорност, като същевременно се създава механизъм за по-</w:t>
            </w:r>
            <w:r>
              <w:rPr>
                <w:rFonts w:ascii="Arial" w:hAnsi="Arial"/>
                <w:noProof/>
                <w:sz w:val="20"/>
              </w:rPr>
              <w:lastRenderedPageBreak/>
              <w:t>централизиран надзор от страна на ЕС в области от взаимен интерес и за засилено участие на емитиращите централни банки в надзорния процес. Този вариант е най-подходящият и с оглед на целта</w:t>
            </w:r>
            <w:r>
              <w:rPr>
                <w:noProof/>
              </w:rPr>
              <w:t xml:space="preserve"> </w:t>
            </w:r>
            <w:r>
              <w:rPr>
                <w:rFonts w:ascii="Arial" w:hAnsi="Arial"/>
                <w:noProof/>
                <w:sz w:val="20"/>
              </w:rPr>
              <w:t>за увеличаване на съгласуваността на надзорните механизми за ЦК от ЕС, като същевременно се избегнат недостатъците на вариант 3.</w:t>
            </w:r>
          </w:p>
          <w:p>
            <w:pPr>
              <w:spacing w:after="0"/>
              <w:rPr>
                <w:rFonts w:ascii="Arial" w:hAnsi="Arial" w:cs="Arial"/>
                <w:noProof/>
                <w:sz w:val="20"/>
              </w:rPr>
            </w:pPr>
            <w:r>
              <w:rPr>
                <w:rFonts w:ascii="Arial" w:hAnsi="Arial"/>
                <w:noProof/>
                <w:sz w:val="20"/>
              </w:rPr>
              <w:t>По отношение на ограничаването на породените от ЦК от трети държави рискове бяха разгледани три варианта. При вариант 1 се запазва статуквото (т.е. не се предприемат действия). При вариант 2 от ЦК от трети държави ще се изисква да бъдат установени и лицензирани в ЕС, за да предоставят услуги на контрагенти или места на търговия от ЕС, или клирингови услуги в парични единици на ЕС.</w:t>
            </w:r>
            <w:r>
              <w:rPr>
                <w:noProof/>
              </w:rPr>
              <w:t xml:space="preserve"> </w:t>
            </w:r>
            <w:r>
              <w:rPr>
                <w:rFonts w:ascii="Arial" w:hAnsi="Arial"/>
                <w:noProof/>
                <w:sz w:val="20"/>
              </w:rPr>
              <w:t>При вариант 3 степента и интензивността на надзора от ЕС биха били пропорционални и в зависимост от рисковете, които ЦК от трети държави пораждат за ЕС. Биха могли да се зададат различни критерии или прагове: i) ЦК с по-малко въздействие биха могли да подлежат на засилено прилагане на режима на Регламента за европейската пазарна инфраструктура за еквивалентност и признаване; а ii) за ЦК със средно до силно въздействие би могло да се приложи плъзгаща се cкàла на допълнителни надзорни изисквания. В оценката на въздействието се заключава, че вариант 3 е най-подходящ за постигане на целта</w:t>
            </w:r>
            <w:r>
              <w:rPr>
                <w:noProof/>
              </w:rPr>
              <w:t xml:space="preserve"> </w:t>
            </w:r>
            <w:r>
              <w:rPr>
                <w:rFonts w:ascii="Arial" w:hAnsi="Arial"/>
                <w:noProof/>
                <w:sz w:val="20"/>
              </w:rPr>
              <w:t xml:space="preserve">за повишаване на способността на ЕС да наблюдава, установява и ограничава рисковете, породени от ЦК от трети държави. </w:t>
            </w:r>
          </w:p>
        </w:tc>
      </w:tr>
      <w:tr>
        <w:tc>
          <w:tcPr>
            <w:tcW w:w="10188" w:type="dxa"/>
            <w:shd w:val="clear" w:color="auto" w:fill="CCCCCC"/>
          </w:tcPr>
          <w:p>
            <w:pPr>
              <w:spacing w:after="0"/>
              <w:rPr>
                <w:rFonts w:ascii="Tahoma" w:hAnsi="Tahoma" w:cs="Tahoma"/>
                <w:noProof/>
                <w:sz w:val="20"/>
              </w:rPr>
            </w:pPr>
            <w:r>
              <w:rPr>
                <w:rFonts w:ascii="Tahoma" w:hAnsi="Tahoma"/>
                <w:b/>
                <w:noProof/>
                <w:sz w:val="20"/>
              </w:rPr>
              <w:lastRenderedPageBreak/>
              <w:t xml:space="preserve">Кой подкрепя отделните варианти? </w:t>
            </w:r>
          </w:p>
        </w:tc>
      </w:tr>
      <w:tr>
        <w:tc>
          <w:tcPr>
            <w:tcW w:w="10188" w:type="dxa"/>
            <w:shd w:val="clear" w:color="auto" w:fill="auto"/>
          </w:tcPr>
          <w:p>
            <w:pPr>
              <w:spacing w:after="0"/>
              <w:rPr>
                <w:rFonts w:ascii="Arial" w:hAnsi="Arial" w:cs="Arial"/>
                <w:noProof/>
                <w:sz w:val="20"/>
                <w:highlight w:val="yellow"/>
              </w:rPr>
            </w:pPr>
            <w:r>
              <w:rPr>
                <w:rFonts w:ascii="Arial" w:hAnsi="Arial"/>
                <w:noProof/>
                <w:sz w:val="20"/>
              </w:rPr>
              <w:t xml:space="preserve">Становищата на заинтересованите страни бяха получени в резултат на три проведени от Комисията обществени консултации: през 2015 г. — относно прегледа на Регламента за европейската пазарна инфраструктура, през 2017 г. — относно средносрочния преглед на съюза на капиталовите пазари (СКП), и отново през 2017 г. — относно работата на Европейските надзорни органи (ЕНО). По отношение на надзора на установените в ЕС ЦК, респондентите, сред които повечето от дружествата, подчертаха необходимостта от засилено сближаване в областта на надзора на равнище ЕС, за да се отрази системният характер на ЦК, като същевременно се гарантира адекватна роля на националните органи и емитиращите централни банки. По отношение на надзора на ЦК от трети държави, ЕОЦКП и публичните органи подкрепиха засилване на съществуващия процес на признаване, а няколко заинтересовани страни, включително представители на сектора, предупредиха за рисковете от фрагментиране на пазара.   </w:t>
            </w:r>
          </w:p>
        </w:tc>
      </w:tr>
      <w:tr>
        <w:tc>
          <w:tcPr>
            <w:tcW w:w="10188" w:type="dxa"/>
            <w:tcBorders>
              <w:bottom w:val="single" w:sz="4" w:space="0" w:color="auto"/>
            </w:tcBorders>
            <w:shd w:val="clear" w:color="auto" w:fill="CCCCCC"/>
          </w:tcPr>
          <w:p>
            <w:pPr>
              <w:spacing w:after="0"/>
              <w:jc w:val="center"/>
              <w:rPr>
                <w:rFonts w:ascii="Tahoma" w:hAnsi="Tahoma" w:cs="Tahoma"/>
                <w:b/>
                <w:noProof/>
              </w:rPr>
            </w:pPr>
            <w:r>
              <w:rPr>
                <w:rFonts w:ascii="Tahoma" w:hAnsi="Tahoma"/>
                <w:b/>
                <w:noProof/>
              </w:rPr>
              <w:t>В. Въздействие на предпочитания вариант</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Какви са ползите</w:t>
            </w:r>
            <w:r>
              <w:rPr>
                <w:rFonts w:ascii="Tahoma" w:hAnsi="Tahoma"/>
                <w:noProof/>
                <w:sz w:val="20"/>
              </w:rPr>
              <w:t xml:space="preserve"> </w:t>
            </w:r>
            <w:r>
              <w:rPr>
                <w:rFonts w:ascii="Tahoma" w:hAnsi="Tahoma"/>
                <w:b/>
                <w:noProof/>
                <w:sz w:val="20"/>
              </w:rPr>
              <w:t>от предпочитания вариант (ако има такъв; в противен случай — от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По отношение на съгласуваността на механизмите за надзор на установените в ЕС ЦК, с предпочитания вариант ще се подобри съгласуваността на надзорните механизми, като същевременно не се наруши съгласуваността на специфичните области на отговорност във връзка с надзора и свързаната с тях национална фискална отговорност. С този вариант ще се осигури и подходящо участие на емитиращите централни банки в обхвата на техните отговорности, а на ЦК и пазарните участници ще се предостави по-голяма яснота и предвидимост за начина, по който ЦК се надзирават в рамките на ЕС. С предпочитания вариант се рационализират ключовите елементи на надзора на ЦК, което следва да доведе до намаляване на разходите както за надзорните органи, така и за ЦК.</w:t>
            </w:r>
          </w:p>
          <w:p>
            <w:pPr>
              <w:spacing w:after="0"/>
              <w:rPr>
                <w:rFonts w:ascii="Arial" w:hAnsi="Arial" w:cs="Arial"/>
                <w:noProof/>
                <w:sz w:val="20"/>
              </w:rPr>
            </w:pPr>
            <w:r>
              <w:rPr>
                <w:rFonts w:ascii="Arial" w:hAnsi="Arial"/>
                <w:noProof/>
                <w:sz w:val="20"/>
              </w:rPr>
              <w:t xml:space="preserve">С цел да се ограничат породените от ЦК от трети държави рискове, при предпочитания вариант на органите на ЕС се предоставя възможност за по-добро наблюдаване и ограничаване на тези рискове, както и за укрепване на цялостната стабилност на финансовата система на ЕС. </w:t>
            </w:r>
          </w:p>
          <w:p>
            <w:pPr>
              <w:spacing w:after="0"/>
              <w:rPr>
                <w:rFonts w:ascii="Arial" w:hAnsi="Arial" w:cs="Arial"/>
                <w:noProof/>
                <w:sz w:val="20"/>
              </w:rPr>
            </w:pPr>
            <w:r>
              <w:rPr>
                <w:rFonts w:ascii="Arial" w:hAnsi="Arial"/>
                <w:noProof/>
                <w:sz w:val="20"/>
              </w:rPr>
              <w:t>С предпочитания вариант се ограничава допълнително по принцип ниският (но с изключително силно въздействие) риск от неизпълнение на даден ЦК чрез засилване на капацитета на съответните органи в ЕС да предотвратяват натрупването на системен риск в ЦК от ЕС, а освен това се ограничава привнасянето на неблагоприятни финансови проблеми чрез ЦК от трети държави.</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Предвид съгласуваността на надзорните механизми за установените в ЕС ЦК предпочитаният вариант включва създаването на нов европейски надзорен механизъм за ЦК, което не се очаква да се отрази на бюджета на ЕС, тъй като допълнителните разходи ще се покриват от надзорните такси, начислени на ЦК от ЕС. Тези такси ще бъдат обаче пропорционални на тяхната дейност и ще представляват само незначителна част от техния оборот. Поради това предпочитаният вариант не се очаква да се отрази значително на разходите за клиринг нито на клиринговите членове, нито на техните преки и непреки клиенти. </w:t>
            </w:r>
          </w:p>
          <w:p>
            <w:pPr>
              <w:spacing w:after="0"/>
              <w:rPr>
                <w:rFonts w:ascii="Arial" w:hAnsi="Arial" w:cs="Arial"/>
                <w:noProof/>
                <w:sz w:val="20"/>
              </w:rPr>
            </w:pPr>
            <w:r>
              <w:rPr>
                <w:rFonts w:ascii="Arial" w:hAnsi="Arial" w:cs="Arial"/>
                <w:noProof/>
                <w:sz w:val="20"/>
              </w:rPr>
              <w:t>Аналогично, промените с цел ограничаване на рисковете, свързани с ЦК от трети държави, също не би трябвало да имат отражение върху бюджета на ЕС, тъй като всички допълнителни ресурси за Европейския механизъм ще се финансират чрез събирането на надзорни такси от ЦК от трети държави. Освен свързаните с надзора разходи, по-голямата част от разходите за клиринговите контрагенти (клиринговите членове и техните клиенти) ще са свързани с въвеждането на политика на местонахождение, приложима за ЦК от ниво 2, която ще се прилага въз основа на</w:t>
            </w:r>
            <w:r>
              <w:rPr>
                <w:noProof/>
              </w:rPr>
              <w:t xml:space="preserve"> </w:t>
            </w:r>
            <w:r>
              <w:rPr>
                <w:rFonts w:ascii="Arial" w:hAnsi="Arial" w:cs="Arial"/>
                <w:noProof/>
                <w:sz w:val="20"/>
              </w:rPr>
              <w:t>обективни критерии.</w:t>
            </w:r>
            <w:r>
              <w:rPr>
                <w:noProof/>
              </w:rPr>
              <w:t xml:space="preserve">   </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after="0"/>
              <w:rPr>
                <w:rFonts w:ascii="Arial" w:hAnsi="Arial" w:cs="Arial"/>
                <w:i/>
                <w:noProof/>
                <w:sz w:val="20"/>
              </w:rPr>
            </w:pPr>
            <w:r>
              <w:rPr>
                <w:rFonts w:ascii="Arial" w:hAnsi="Arial"/>
                <w:noProof/>
                <w:sz w:val="20"/>
              </w:rPr>
              <w:t>Разходите, свързани със засиления надзор на ЦК от ЕС и от трети държави, евентуално биха могли да бъдат прехвърлени върху крайните клиенти на ЦК, включително предприятията, МСП и микропредприятията. В нетно изражение, възможното увеличение на разходите за клиринг вероятно няма да бъдат значителни, особено в сравнение с ползата от предложението. Предприятията, МСП и микропредприятията ще извлекат полза от засилването на капацитета на органите в ЕС да предотвратяват натрупването на системен риск в ЦК от ЕС и да намаляват преноса на финансови проблеми чрез ЦК от трети държави. Изясняването на надзорните механизми за ЦК от ЕС и от трети държави в съчетание със скорошната инициатива на Комисията „EMIR REFIT“ за намаляване на несъразмерните разходи за по-малките контрагенти следва да насърчи още повече използването на централен клиринг и да увеличи трансграничните сделки в рамките на ЕС, с което ще се увеличи капацитетът на МСП за достъп до финансови инструменти, чрез които да хеджират рисковете или да инвестират.</w:t>
            </w:r>
          </w:p>
        </w:tc>
      </w:tr>
      <w:tr>
        <w:tc>
          <w:tcPr>
            <w:tcW w:w="10188" w:type="dxa"/>
            <w:tcBorders>
              <w:bottom w:val="single" w:sz="4" w:space="0" w:color="auto"/>
            </w:tcBorders>
            <w:shd w:val="clear" w:color="auto" w:fill="E6E6E6"/>
          </w:tcPr>
          <w:p>
            <w:pPr>
              <w:spacing w:after="0"/>
              <w:rPr>
                <w:rFonts w:ascii="Tahoma" w:hAnsi="Tahoma" w:cs="Tahoma"/>
                <w:b/>
                <w:i/>
                <w:noProof/>
                <w:sz w:val="20"/>
              </w:rPr>
            </w:pPr>
            <w:r>
              <w:rPr>
                <w:rFonts w:ascii="Tahoma" w:hAnsi="Tahoma"/>
                <w:b/>
                <w:noProof/>
                <w:sz w:val="20"/>
              </w:rPr>
              <w:t>Ще има ли значително въздействие върху</w:t>
            </w:r>
            <w:r>
              <w:rPr>
                <w:rFonts w:ascii="Tahoma" w:hAnsi="Tahoma"/>
                <w:noProof/>
                <w:sz w:val="20"/>
              </w:rPr>
              <w:t xml:space="preserve"> </w:t>
            </w:r>
            <w:r>
              <w:rPr>
                <w:rFonts w:ascii="Tahoma" w:hAnsi="Tahoma"/>
                <w:b/>
                <w:noProof/>
                <w:sz w:val="20"/>
              </w:rPr>
              <w:t>националните бюджети и администрации?</w:t>
            </w:r>
            <w:r>
              <w:rPr>
                <w:rFonts w:ascii="Tahoma" w:hAnsi="Tahoma"/>
                <w:noProof/>
                <w:sz w:val="20"/>
              </w:rPr>
              <w:t xml:space="preserve"> </w:t>
            </w:r>
          </w:p>
        </w:tc>
      </w:tr>
      <w:tr>
        <w:tc>
          <w:tcPr>
            <w:tcW w:w="10188" w:type="dxa"/>
            <w:shd w:val="clear" w:color="auto" w:fill="auto"/>
          </w:tcPr>
          <w:p>
            <w:pPr>
              <w:spacing w:after="0"/>
              <w:rPr>
                <w:rFonts w:ascii="Arial" w:hAnsi="Arial" w:cs="Arial"/>
                <w:noProof/>
                <w:sz w:val="20"/>
              </w:rPr>
            </w:pPr>
            <w:r>
              <w:rPr>
                <w:rFonts w:ascii="Arial" w:hAnsi="Arial"/>
                <w:noProof/>
                <w:sz w:val="20"/>
              </w:rPr>
              <w:t>Не. Разгледаните изменения не следва да доведат до съществени разходи за националните бюджети и администрации.</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Ще има ли друго значително въздействие?</w:t>
            </w:r>
            <w:r>
              <w:rPr>
                <w:rFonts w:ascii="Tahoma" w:hAnsi="Tahoma"/>
                <w:noProof/>
                <w:sz w:val="20"/>
              </w:rPr>
              <w:t xml:space="preserve"> </w:t>
            </w:r>
            <w:r>
              <w:rPr>
                <w:rFonts w:ascii="Tahoma" w:hAnsi="Tahoma"/>
                <w:noProof/>
                <w:sz w:val="20"/>
                <w:u w:val="single"/>
              </w:rPr>
              <w:t xml:space="preserve"> </w:t>
            </w:r>
          </w:p>
        </w:tc>
      </w:tr>
      <w:tr>
        <w:tc>
          <w:tcPr>
            <w:tcW w:w="10188" w:type="dxa"/>
            <w:tcBorders>
              <w:bottom w:val="single" w:sz="4" w:space="0" w:color="auto"/>
            </w:tcBorders>
            <w:shd w:val="clear" w:color="auto" w:fill="auto"/>
          </w:tcPr>
          <w:p>
            <w:pPr>
              <w:spacing w:after="0"/>
              <w:rPr>
                <w:rFonts w:ascii="Arial" w:hAnsi="Arial" w:cs="Arial"/>
                <w:noProof/>
                <w:sz w:val="20"/>
              </w:rPr>
            </w:pPr>
            <w:r>
              <w:rPr>
                <w:rFonts w:ascii="Arial" w:hAnsi="Arial"/>
                <w:noProof/>
                <w:sz w:val="20"/>
              </w:rPr>
              <w:t xml:space="preserve">Не.  </w:t>
            </w:r>
          </w:p>
        </w:tc>
      </w:tr>
      <w:tr>
        <w:tc>
          <w:tcPr>
            <w:tcW w:w="10188" w:type="dxa"/>
            <w:tcBorders>
              <w:bottom w:val="single" w:sz="4" w:space="0" w:color="auto"/>
            </w:tcBorders>
            <w:shd w:val="clear" w:color="auto" w:fill="C0C0C0"/>
          </w:tcPr>
          <w:p>
            <w:pPr>
              <w:spacing w:after="0"/>
              <w:jc w:val="center"/>
              <w:rPr>
                <w:rFonts w:ascii="Tahoma" w:hAnsi="Tahoma" w:cs="Tahoma"/>
                <w:b/>
                <w:noProof/>
              </w:rPr>
            </w:pPr>
            <w:r>
              <w:rPr>
                <w:rFonts w:ascii="Tahoma" w:hAnsi="Tahoma"/>
                <w:b/>
                <w:noProof/>
              </w:rPr>
              <w:t>Г. Последващи действия</w:t>
            </w:r>
          </w:p>
        </w:tc>
      </w:tr>
      <w:tr>
        <w:tc>
          <w:tcPr>
            <w:tcW w:w="10188" w:type="dxa"/>
            <w:tcBorders>
              <w:bottom w:val="single" w:sz="4" w:space="0" w:color="auto"/>
            </w:tcBorders>
            <w:shd w:val="clear" w:color="auto" w:fill="E6E6E6"/>
          </w:tcPr>
          <w:p>
            <w:pPr>
              <w:spacing w:after="0"/>
              <w:rPr>
                <w:rFonts w:ascii="Tahoma" w:hAnsi="Tahoma" w:cs="Tahoma"/>
                <w:noProof/>
                <w:sz w:val="20"/>
              </w:rPr>
            </w:pPr>
            <w:r>
              <w:rPr>
                <w:rFonts w:ascii="Tahoma" w:hAnsi="Tahoma"/>
                <w:b/>
                <w:noProof/>
                <w:sz w:val="20"/>
              </w:rPr>
              <w:t xml:space="preserve">Кога ще се извърши преглед на политиката? </w:t>
            </w:r>
            <w:r>
              <w:rPr>
                <w:rFonts w:ascii="Tahoma" w:hAnsi="Tahoma"/>
                <w:noProof/>
                <w:sz w:val="20"/>
              </w:rPr>
              <w:t xml:space="preserve"> </w:t>
            </w:r>
          </w:p>
        </w:tc>
      </w:tr>
      <w:tr>
        <w:tc>
          <w:tcPr>
            <w:tcW w:w="10188" w:type="dxa"/>
            <w:tcBorders>
              <w:bottom w:val="single" w:sz="4" w:space="0" w:color="auto"/>
            </w:tcBorders>
            <w:shd w:val="clear" w:color="auto" w:fill="auto"/>
          </w:tcPr>
          <w:p>
            <w:pPr>
              <w:spacing w:after="0"/>
              <w:rPr>
                <w:rFonts w:ascii="Arial" w:hAnsi="Arial" w:cs="Arial"/>
                <w:b/>
                <w:noProof/>
                <w:sz w:val="20"/>
              </w:rPr>
            </w:pPr>
            <w:r>
              <w:rPr>
                <w:rFonts w:ascii="Arial" w:hAnsi="Arial"/>
                <w:noProof/>
                <w:sz w:val="20"/>
              </w:rPr>
              <w:t xml:space="preserve">Регламентът за европейската пазарна инфраструктура следва да бъде оценен цялостно с особен акцент върху това доколко ефективно и ефикасно се постигат с предложените надзорни механизми първоначалните му цели. Тази оценка следва да се осъществи най-малко 5 години след прилагането на тези изменения. </w:t>
            </w:r>
          </w:p>
        </w:tc>
      </w:tr>
    </w:tbl>
    <w:p>
      <w:pPr>
        <w:rPr>
          <w:noProof/>
        </w:rPr>
      </w:pPr>
      <w:bookmarkStart w:id="2" w:name="_Toc425860951"/>
      <w:bookmarkStart w:id="3" w:name="_Toc425861051"/>
      <w:bookmarkStart w:id="4" w:name="_Toc425861121"/>
      <w:bookmarkStart w:id="5" w:name="_Toc425869896"/>
      <w:bookmarkStart w:id="6" w:name="_Toc425860952"/>
      <w:bookmarkStart w:id="7" w:name="_Toc425861052"/>
      <w:bookmarkStart w:id="8" w:name="_Toc425861122"/>
      <w:bookmarkStart w:id="9" w:name="_Toc425869897"/>
      <w:bookmarkStart w:id="10" w:name="_Toc401848614"/>
      <w:bookmarkStart w:id="11" w:name="_Toc402183499"/>
      <w:bookmarkStart w:id="12" w:name="_Toc411439303"/>
      <w:bookmarkStart w:id="13" w:name="_Toc412736413"/>
      <w:bookmarkStart w:id="14" w:name="_Toc413053046"/>
      <w:bookmarkStart w:id="15" w:name="_Toc413138174"/>
      <w:bookmarkStart w:id="16" w:name="_Toc413139238"/>
      <w:bookmarkStart w:id="17" w:name="_Toc413139459"/>
      <w:bookmarkStart w:id="18" w:name="_Toc413139764"/>
      <w:bookmarkStart w:id="19" w:name="_Toc414268562"/>
      <w:bookmarkStart w:id="20" w:name="_Toc414453413"/>
      <w:bookmarkStart w:id="21" w:name="_Toc414466884"/>
      <w:bookmarkStart w:id="22" w:name="_Toc415131680"/>
      <w:bookmarkStart w:id="23" w:name="_Toc415654190"/>
      <w:bookmarkStart w:id="24" w:name="_Toc416265125"/>
      <w:bookmarkStart w:id="25" w:name="_Toc416265394"/>
      <w:bookmarkStart w:id="26" w:name="_Toc401848620"/>
      <w:bookmarkStart w:id="27" w:name="_Toc402183505"/>
      <w:bookmarkStart w:id="28" w:name="_Toc411439309"/>
      <w:bookmarkStart w:id="29" w:name="_Toc412736419"/>
      <w:bookmarkStart w:id="30" w:name="_Toc413053052"/>
      <w:bookmarkStart w:id="31" w:name="_Toc413138180"/>
      <w:bookmarkStart w:id="32" w:name="_Toc413139244"/>
      <w:bookmarkStart w:id="33" w:name="_Toc413139465"/>
      <w:bookmarkStart w:id="34" w:name="_Toc413139770"/>
      <w:bookmarkStart w:id="35" w:name="_Toc414268568"/>
      <w:bookmarkStart w:id="36" w:name="_Toc414453419"/>
      <w:bookmarkStart w:id="37" w:name="_Toc414466890"/>
      <w:bookmarkStart w:id="38" w:name="_Toc415131686"/>
      <w:bookmarkStart w:id="39" w:name="_Toc415654196"/>
      <w:bookmarkStart w:id="40" w:name="_Toc416265131"/>
      <w:bookmarkStart w:id="41" w:name="_Toc416265400"/>
      <w:bookmarkStart w:id="42" w:name="_Toc425860962"/>
      <w:bookmarkStart w:id="43" w:name="_Toc425861062"/>
      <w:bookmarkStart w:id="44" w:name="_Toc425861132"/>
      <w:bookmarkStart w:id="45" w:name="_Toc425869907"/>
      <w:bookmarkStart w:id="46" w:name="_Toc425860966"/>
      <w:bookmarkStart w:id="47" w:name="_Toc425861066"/>
      <w:bookmarkStart w:id="48" w:name="_Toc425861136"/>
      <w:bookmarkStart w:id="49" w:name="_Toc425869911"/>
      <w:bookmarkStart w:id="50" w:name="_Toc365634732"/>
      <w:bookmarkStart w:id="51" w:name="_Toc365637929"/>
      <w:bookmarkStart w:id="52" w:name="_Toc365638021"/>
      <w:bookmarkStart w:id="53" w:name="_Toc365638124"/>
      <w:bookmarkStart w:id="54" w:name="_Toc365638215"/>
      <w:bookmarkStart w:id="55" w:name="_Toc365638306"/>
      <w:bookmarkStart w:id="56" w:name="_Toc365634733"/>
      <w:bookmarkStart w:id="57" w:name="_Toc365637930"/>
      <w:bookmarkStart w:id="58" w:name="_Toc365638022"/>
      <w:bookmarkStart w:id="59" w:name="_Toc365638125"/>
      <w:bookmarkStart w:id="60" w:name="_Toc365638216"/>
      <w:bookmarkStart w:id="61" w:name="_Toc365638307"/>
      <w:bookmarkStart w:id="62" w:name="_Toc365634734"/>
      <w:bookmarkStart w:id="63" w:name="_Toc365637931"/>
      <w:bookmarkStart w:id="64" w:name="_Toc365638023"/>
      <w:bookmarkStart w:id="65" w:name="_Toc365638126"/>
      <w:bookmarkStart w:id="66" w:name="_Toc365638217"/>
      <w:bookmarkStart w:id="67" w:name="_Toc365638308"/>
      <w:bookmarkStart w:id="68" w:name="_Toc365634738"/>
      <w:bookmarkStart w:id="69" w:name="_Toc365637935"/>
      <w:bookmarkStart w:id="70" w:name="_Toc365638027"/>
      <w:bookmarkStart w:id="71" w:name="_Toc365638130"/>
      <w:bookmarkStart w:id="72" w:name="_Toc365638221"/>
      <w:bookmarkStart w:id="73" w:name="_Toc365638312"/>
      <w:bookmarkStart w:id="74" w:name="_Toc365634740"/>
      <w:bookmarkStart w:id="75" w:name="_Toc365637937"/>
      <w:bookmarkStart w:id="76" w:name="_Toc365638029"/>
      <w:bookmarkStart w:id="77" w:name="_Toc365638132"/>
      <w:bookmarkStart w:id="78" w:name="_Toc365638223"/>
      <w:bookmarkStart w:id="79" w:name="_Toc365638314"/>
      <w:bookmarkStart w:id="80" w:name="_Toc365634741"/>
      <w:bookmarkStart w:id="81" w:name="_Toc365637938"/>
      <w:bookmarkStart w:id="82" w:name="_Toc365638030"/>
      <w:bookmarkStart w:id="83" w:name="_Toc365638133"/>
      <w:bookmarkStart w:id="84" w:name="_Toc365638224"/>
      <w:bookmarkStart w:id="85" w:name="_Toc365638315"/>
      <w:bookmarkStart w:id="86" w:name="_Toc365634742"/>
      <w:bookmarkStart w:id="87" w:name="_Toc365637939"/>
      <w:bookmarkStart w:id="88" w:name="_Toc365638031"/>
      <w:bookmarkStart w:id="89" w:name="_Toc365638134"/>
      <w:bookmarkStart w:id="90" w:name="_Toc365638225"/>
      <w:bookmarkStart w:id="91" w:name="_Toc365638316"/>
      <w:bookmarkStart w:id="92" w:name="_Toc365634748"/>
      <w:bookmarkStart w:id="93" w:name="_Toc365637945"/>
      <w:bookmarkStart w:id="94" w:name="_Toc365638037"/>
      <w:bookmarkStart w:id="95" w:name="_Toc365638140"/>
      <w:bookmarkStart w:id="96" w:name="_Toc365638231"/>
      <w:bookmarkStart w:id="97" w:name="_Toc365638322"/>
      <w:bookmarkStart w:id="98" w:name="_Toc365634749"/>
      <w:bookmarkStart w:id="99" w:name="_Toc365637946"/>
      <w:bookmarkStart w:id="100" w:name="_Toc365638038"/>
      <w:bookmarkStart w:id="101" w:name="_Toc365638141"/>
      <w:bookmarkStart w:id="102" w:name="_Toc365638232"/>
      <w:bookmarkStart w:id="103" w:name="_Toc365638323"/>
      <w:bookmarkStart w:id="104" w:name="_Toc365634754"/>
      <w:bookmarkStart w:id="105" w:name="_Toc365637951"/>
      <w:bookmarkStart w:id="106" w:name="_Toc365638043"/>
      <w:bookmarkStart w:id="107" w:name="_Toc365638146"/>
      <w:bookmarkStart w:id="108" w:name="_Toc365638237"/>
      <w:bookmarkStart w:id="109" w:name="_Toc365638328"/>
      <w:bookmarkStart w:id="110" w:name="_Toc365634757"/>
      <w:bookmarkStart w:id="111" w:name="_Toc365637954"/>
      <w:bookmarkStart w:id="112" w:name="_Toc365638046"/>
      <w:bookmarkStart w:id="113" w:name="_Toc365638149"/>
      <w:bookmarkStart w:id="114" w:name="_Toc365638240"/>
      <w:bookmarkStart w:id="115" w:name="_Toc365638331"/>
      <w:bookmarkStart w:id="116" w:name="_Toc365629685"/>
      <w:bookmarkStart w:id="117" w:name="_Toc365634758"/>
      <w:bookmarkStart w:id="118" w:name="_Toc365637955"/>
      <w:bookmarkStart w:id="119" w:name="_Toc365638047"/>
      <w:bookmarkStart w:id="120" w:name="_Toc365638150"/>
      <w:bookmarkStart w:id="121" w:name="_Toc365638241"/>
      <w:bookmarkStart w:id="122" w:name="_Toc365638332"/>
      <w:bookmarkStart w:id="123" w:name="_Toc365629688"/>
      <w:bookmarkStart w:id="124" w:name="_Toc365634761"/>
      <w:bookmarkStart w:id="125" w:name="_Toc365637958"/>
      <w:bookmarkStart w:id="126" w:name="_Toc365638050"/>
      <w:bookmarkStart w:id="127" w:name="_Toc365638153"/>
      <w:bookmarkStart w:id="128" w:name="_Toc365638244"/>
      <w:bookmarkStart w:id="129" w:name="_Toc365638335"/>
      <w:bookmarkStart w:id="130" w:name="_Toc365629689"/>
      <w:bookmarkStart w:id="131" w:name="_Toc365634762"/>
      <w:bookmarkStart w:id="132" w:name="_Toc365637959"/>
      <w:bookmarkStart w:id="133" w:name="_Toc365638051"/>
      <w:bookmarkStart w:id="134" w:name="_Toc365638154"/>
      <w:bookmarkStart w:id="135" w:name="_Toc365638245"/>
      <w:bookmarkStart w:id="136" w:name="_Toc365638336"/>
      <w:bookmarkStart w:id="137" w:name="_Toc365629690"/>
      <w:bookmarkStart w:id="138" w:name="_Toc365634763"/>
      <w:bookmarkStart w:id="139" w:name="_Toc365637960"/>
      <w:bookmarkStart w:id="140" w:name="_Toc365638052"/>
      <w:bookmarkStart w:id="141" w:name="_Toc365638155"/>
      <w:bookmarkStart w:id="142" w:name="_Toc365638246"/>
      <w:bookmarkStart w:id="143" w:name="_Toc365638337"/>
      <w:bookmarkStart w:id="144" w:name="_Toc365629691"/>
      <w:bookmarkStart w:id="145" w:name="_Toc365634764"/>
      <w:bookmarkStart w:id="146" w:name="_Toc365637961"/>
      <w:bookmarkStart w:id="147" w:name="_Toc365638053"/>
      <w:bookmarkStart w:id="148" w:name="_Toc365638156"/>
      <w:bookmarkStart w:id="149" w:name="_Toc365638247"/>
      <w:bookmarkStart w:id="150" w:name="_Toc365638338"/>
      <w:bookmarkStart w:id="151" w:name="_Toc365629692"/>
      <w:bookmarkStart w:id="152" w:name="_Toc365634765"/>
      <w:bookmarkStart w:id="153" w:name="_Toc365637962"/>
      <w:bookmarkStart w:id="154" w:name="_Toc365638054"/>
      <w:bookmarkStart w:id="155" w:name="_Toc365638157"/>
      <w:bookmarkStart w:id="156" w:name="_Toc365638248"/>
      <w:bookmarkStart w:id="157" w:name="_Toc365638339"/>
      <w:bookmarkStart w:id="158" w:name="_Toc365629698"/>
      <w:bookmarkStart w:id="159" w:name="_Toc365634771"/>
      <w:bookmarkStart w:id="160" w:name="_Toc365637968"/>
      <w:bookmarkStart w:id="161" w:name="_Toc365638060"/>
      <w:bookmarkStart w:id="162" w:name="_Toc365638163"/>
      <w:bookmarkStart w:id="163" w:name="_Toc365638254"/>
      <w:bookmarkStart w:id="164" w:name="_Toc365638345"/>
      <w:bookmarkStart w:id="165" w:name="_Toc365629699"/>
      <w:bookmarkStart w:id="166" w:name="_Toc365634772"/>
      <w:bookmarkStart w:id="167" w:name="_Toc365637969"/>
      <w:bookmarkStart w:id="168" w:name="_Toc365638061"/>
      <w:bookmarkStart w:id="169" w:name="_Toc365638164"/>
      <w:bookmarkStart w:id="170" w:name="_Toc365638255"/>
      <w:bookmarkStart w:id="171" w:name="_Toc365638346"/>
      <w:bookmarkStart w:id="172" w:name="_Toc365629709"/>
      <w:bookmarkStart w:id="173" w:name="_Toc365634782"/>
      <w:bookmarkStart w:id="174" w:name="_Toc365637979"/>
      <w:bookmarkStart w:id="175" w:name="_Toc365638071"/>
      <w:bookmarkStart w:id="176" w:name="_Toc365638174"/>
      <w:bookmarkStart w:id="177" w:name="_Toc365638265"/>
      <w:bookmarkStart w:id="178" w:name="_Toc365638356"/>
      <w:bookmarkStart w:id="179" w:name="_Toc393878190"/>
      <w:bookmarkStart w:id="180" w:name="_Toc396322098"/>
      <w:bookmarkStart w:id="181" w:name="_Toc396322309"/>
      <w:bookmarkStart w:id="182" w:name="_Toc396409130"/>
      <w:bookmarkStart w:id="183" w:name="_Toc396409355"/>
      <w:bookmarkStart w:id="184" w:name="_Toc396484040"/>
      <w:bookmarkStart w:id="185" w:name="_Toc400121137"/>
      <w:bookmarkStart w:id="186" w:name="_Toc401848630"/>
      <w:bookmarkStart w:id="187" w:name="_Toc402183516"/>
      <w:bookmarkStart w:id="188" w:name="_Toc411439316"/>
      <w:bookmarkStart w:id="189" w:name="_Toc412736426"/>
      <w:bookmarkStart w:id="190" w:name="_Toc413053059"/>
      <w:bookmarkStart w:id="191" w:name="_Toc413138187"/>
      <w:bookmarkStart w:id="192" w:name="_Toc413139251"/>
      <w:bookmarkStart w:id="193" w:name="_Toc413139472"/>
      <w:bookmarkStart w:id="194" w:name="_Toc413139777"/>
      <w:bookmarkStart w:id="195" w:name="_Toc414268575"/>
      <w:bookmarkStart w:id="196" w:name="_Toc414453426"/>
      <w:bookmarkStart w:id="197" w:name="_Toc414466897"/>
      <w:bookmarkStart w:id="198" w:name="_Toc415131693"/>
      <w:bookmarkStart w:id="199" w:name="_Toc415654203"/>
      <w:bookmarkStart w:id="200" w:name="_Toc416265138"/>
      <w:bookmarkStart w:id="201" w:name="_Toc416265407"/>
      <w:bookmarkStart w:id="202" w:name="_Toc393878202"/>
      <w:bookmarkStart w:id="203" w:name="_Toc396322109"/>
      <w:bookmarkStart w:id="204" w:name="_Toc396322320"/>
      <w:bookmarkStart w:id="205" w:name="_Toc396409141"/>
      <w:bookmarkStart w:id="206" w:name="_Toc396409366"/>
      <w:bookmarkStart w:id="207" w:name="_Toc396484051"/>
      <w:bookmarkStart w:id="208" w:name="_Toc400121148"/>
      <w:bookmarkStart w:id="209" w:name="_Toc401848641"/>
      <w:bookmarkStart w:id="210" w:name="_Toc402183527"/>
      <w:bookmarkStart w:id="211" w:name="_Toc411439326"/>
      <w:bookmarkStart w:id="212" w:name="_Toc412736436"/>
      <w:bookmarkStart w:id="213" w:name="_Toc413053069"/>
      <w:bookmarkStart w:id="214" w:name="_Toc413138197"/>
      <w:bookmarkStart w:id="215" w:name="_Toc413139261"/>
      <w:bookmarkStart w:id="216" w:name="_Toc413139482"/>
      <w:bookmarkStart w:id="217" w:name="_Toc413139787"/>
      <w:bookmarkStart w:id="218" w:name="_Toc414268589"/>
      <w:bookmarkStart w:id="219" w:name="_Toc414453440"/>
      <w:bookmarkStart w:id="220" w:name="_Toc414466911"/>
      <w:bookmarkStart w:id="221" w:name="_Toc415131707"/>
      <w:bookmarkStart w:id="222" w:name="_Toc415654217"/>
      <w:bookmarkStart w:id="223" w:name="_Toc416265152"/>
      <w:bookmarkStart w:id="224" w:name="_Toc416265421"/>
      <w:bookmarkStart w:id="225" w:name="_Toc425860981"/>
      <w:bookmarkStart w:id="226" w:name="_Toc425861081"/>
      <w:bookmarkStart w:id="227" w:name="_Toc425861151"/>
      <w:bookmarkStart w:id="228" w:name="_Toc425869926"/>
      <w:bookmarkStart w:id="229" w:name="_Toc425860984"/>
      <w:bookmarkStart w:id="230" w:name="_Toc425861084"/>
      <w:bookmarkStart w:id="231" w:name="_Toc425861154"/>
      <w:bookmarkStart w:id="232" w:name="_Toc4258699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4331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D72132"/>
    <w:multiLevelType w:val="hybridMultilevel"/>
    <w:tmpl w:val="FD0417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49094C"/>
    <w:multiLevelType w:val="hybridMultilevel"/>
    <w:tmpl w:val="C7A69FB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1648C0"/>
    <w:multiLevelType w:val="hybridMultilevel"/>
    <w:tmpl w:val="727A40EE"/>
    <w:lvl w:ilvl="0" w:tplc="492A33A0">
      <w:start w:val="1"/>
      <w:numFmt w:val="decimal"/>
      <w:lvlText w:val="%1."/>
      <w:lvlJc w:val="left"/>
      <w:pPr>
        <w:ind w:left="360" w:hanging="360"/>
      </w:pPr>
    </w:lvl>
    <w:lvl w:ilvl="1" w:tplc="38FA3DF4">
      <w:start w:val="1"/>
      <w:numFmt w:val="decimal"/>
      <w:lvlText w:val="%2)"/>
      <w:lvlJc w:val="left"/>
      <w:pPr>
        <w:ind w:left="1080" w:hanging="360"/>
      </w:pPr>
      <w:rPr>
        <w:rFonts w:hint="default"/>
      </w:rPr>
    </w:lvl>
    <w:lvl w:ilvl="2" w:tplc="078A8612">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55841EF"/>
    <w:multiLevelType w:val="hybridMultilevel"/>
    <w:tmpl w:val="57F0039E"/>
    <w:lvl w:ilvl="0" w:tplc="7D4099A8">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05900B49"/>
    <w:multiLevelType w:val="hybridMultilevel"/>
    <w:tmpl w:val="540A6EAA"/>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7C7126"/>
    <w:multiLevelType w:val="hybridMultilevel"/>
    <w:tmpl w:val="24145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A01F5C"/>
    <w:multiLevelType w:val="hybridMultilevel"/>
    <w:tmpl w:val="9042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580DF7"/>
    <w:multiLevelType w:val="hybridMultilevel"/>
    <w:tmpl w:val="BD4CC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0B10491"/>
    <w:multiLevelType w:val="multilevel"/>
    <w:tmpl w:val="0809001F"/>
    <w:name w:val="0,109167"/>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29041EA"/>
    <w:multiLevelType w:val="hybridMultilevel"/>
    <w:tmpl w:val="2656171A"/>
    <w:lvl w:ilvl="0" w:tplc="AEF68F90">
      <w:start w:val="1"/>
      <w:numFmt w:val="bullet"/>
      <w:pStyle w:val="Bullet"/>
      <w:lvlText w:val=""/>
      <w:lvlJc w:val="left"/>
      <w:pPr>
        <w:tabs>
          <w:tab w:val="num" w:pos="1134"/>
        </w:tabs>
        <w:ind w:left="1134" w:hanging="283"/>
      </w:pPr>
      <w:rPr>
        <w:rFonts w:ascii="Symbol" w:hAnsi="Symbol" w:hint="default"/>
        <w:sz w:val="22"/>
      </w:rPr>
    </w:lvl>
    <w:lvl w:ilvl="1" w:tplc="04090003">
      <w:start w:val="1"/>
      <w:numFmt w:val="bullet"/>
      <w:pStyle w:val="IndentedHeading2"/>
      <w:lvlText w:val="o"/>
      <w:lvlJc w:val="left"/>
      <w:pPr>
        <w:tabs>
          <w:tab w:val="num" w:pos="2007"/>
        </w:tabs>
        <w:ind w:left="2007" w:hanging="360"/>
      </w:pPr>
      <w:rPr>
        <w:rFonts w:ascii="Courier New" w:hAnsi="Courier New" w:cs="Times New Roman" w:hint="default"/>
      </w:rPr>
    </w:lvl>
    <w:lvl w:ilvl="2" w:tplc="04090005">
      <w:start w:val="1"/>
      <w:numFmt w:val="bullet"/>
      <w:pStyle w:val="IndentedHeading3"/>
      <w:lvlText w:val=""/>
      <w:lvlJc w:val="left"/>
      <w:pPr>
        <w:tabs>
          <w:tab w:val="num" w:pos="2727"/>
        </w:tabs>
        <w:ind w:left="2727" w:hanging="360"/>
      </w:pPr>
      <w:rPr>
        <w:rFonts w:ascii="Wingdings" w:hAnsi="Wingdings" w:hint="default"/>
      </w:rPr>
    </w:lvl>
    <w:lvl w:ilvl="3" w:tplc="04090001">
      <w:start w:val="1"/>
      <w:numFmt w:val="bullet"/>
      <w:pStyle w:val="IndentedHeading4"/>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547533"/>
    <w:multiLevelType w:val="hybridMultilevel"/>
    <w:tmpl w:val="F05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F3197E"/>
    <w:multiLevelType w:val="hybridMultilevel"/>
    <w:tmpl w:val="6B5870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F734306"/>
    <w:multiLevelType w:val="multilevel"/>
    <w:tmpl w:val="20D27972"/>
    <w:lvl w:ilvl="0">
      <w:start w:val="1"/>
      <w:numFmt w:val="decimal"/>
      <w:pStyle w:val="Heading1"/>
      <w:lvlText w:val="%1."/>
      <w:lvlJc w:val="left"/>
      <w:pPr>
        <w:tabs>
          <w:tab w:val="num" w:pos="480"/>
        </w:tabs>
        <w:ind w:left="480" w:hanging="480"/>
      </w:pPr>
      <w:rPr>
        <w:rFonts w:ascii="Times New Roman Bold" w:hAnsi="Times New Roman Bold" w:hint="default"/>
        <w:b/>
        <w:i w:val="0"/>
        <w:sz w:val="24"/>
      </w:rPr>
    </w:lvl>
    <w:lvl w:ilvl="1">
      <w:start w:val="1"/>
      <w:numFmt w:val="decimal"/>
      <w:pStyle w:val="Heading2"/>
      <w:lvlText w:val="%1.%2."/>
      <w:lvlJc w:val="left"/>
      <w:pPr>
        <w:tabs>
          <w:tab w:val="num" w:pos="1200"/>
        </w:tabs>
        <w:ind w:left="12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pStyle w:val="Heading3"/>
      <w:lvlText w:val=""/>
      <w:lvlJc w:val="left"/>
      <w:pPr>
        <w:tabs>
          <w:tab w:val="num" w:pos="360"/>
        </w:tabs>
        <w:ind w:left="0" w:firstLine="0"/>
      </w:pPr>
      <w:rPr>
        <w:rFonts w:hint="default"/>
      </w:rPr>
    </w:lvl>
    <w:lvl w:ilvl="3">
      <w:numFmt w:val="none"/>
      <w:pStyle w:val="Heading4"/>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FC46615"/>
    <w:multiLevelType w:val="hybridMultilevel"/>
    <w:tmpl w:val="478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A50438"/>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F50111"/>
    <w:multiLevelType w:val="hybridMultilevel"/>
    <w:tmpl w:val="7A06CBF2"/>
    <w:lvl w:ilvl="0" w:tplc="0809000F">
      <w:start w:val="1"/>
      <w:numFmt w:val="decimal"/>
      <w:lvlText w:val="%1."/>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
    <w:nsid w:val="21FA2835"/>
    <w:multiLevelType w:val="hybridMultilevel"/>
    <w:tmpl w:val="6CEAAE8C"/>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0">
    <w:nsid w:val="22DD3599"/>
    <w:multiLevelType w:val="multilevel"/>
    <w:tmpl w:val="4EAA5BA6"/>
    <w:lvl w:ilvl="0">
      <w:numFmt w:val="decimal"/>
      <w:pStyle w:val="ListNumber"/>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0D6688"/>
    <w:multiLevelType w:val="hybridMultilevel"/>
    <w:tmpl w:val="5F3E5A70"/>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nsid w:val="282C4A6E"/>
    <w:multiLevelType w:val="hybridMultilevel"/>
    <w:tmpl w:val="31BE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F76E7A"/>
    <w:multiLevelType w:val="singleLevel"/>
    <w:tmpl w:val="C74C5A32"/>
    <w:lvl w:ilvl="0">
      <w:numFmt w:val="decimal"/>
      <w:pStyle w:val="Bullet1"/>
      <w:lvlText w:val=""/>
      <w:lvlJc w:val="left"/>
    </w:lvl>
  </w:abstractNum>
  <w:abstractNum w:abstractNumId="24">
    <w:nsid w:val="2B75631B"/>
    <w:multiLevelType w:val="singleLevel"/>
    <w:tmpl w:val="A4DC141A"/>
    <w:lvl w:ilvl="0">
      <w:numFmt w:val="decimal"/>
      <w:pStyle w:val="ListBullet1"/>
      <w:lvlText w:val=""/>
      <w:lvlJc w:val="left"/>
    </w:lvl>
  </w:abstractNum>
  <w:abstractNum w:abstractNumId="25">
    <w:nsid w:val="2CAB4527"/>
    <w:multiLevelType w:val="multilevel"/>
    <w:tmpl w:val="26C24C12"/>
    <w:lvl w:ilvl="0">
      <w:numFmt w:val="decimal"/>
      <w:pStyle w:val="ListNumber3"/>
      <w:lvlText w:val=""/>
      <w:lvlJc w:val="left"/>
    </w:lvl>
    <w:lvl w:ilvl="1">
      <w:numFmt w:val="decimal"/>
      <w:pStyle w:val="ListNumber3Level2"/>
      <w:lvlText w:val=""/>
      <w:lvlJc w:val="left"/>
    </w:lvl>
    <w:lvl w:ilvl="2">
      <w:numFmt w:val="decimal"/>
      <w:pStyle w:val="ListNumber3Level3"/>
      <w:lvlText w:val=""/>
      <w:lvlJc w:val="left"/>
    </w:lvl>
    <w:lvl w:ilvl="3">
      <w:numFmt w:val="decimal"/>
      <w:pStyle w:val="ListNumber3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ED84BD9"/>
    <w:multiLevelType w:val="hybridMultilevel"/>
    <w:tmpl w:val="0C9C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7567BD"/>
    <w:multiLevelType w:val="hybridMultilevel"/>
    <w:tmpl w:val="F236C958"/>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9F7BBE"/>
    <w:multiLevelType w:val="hybridMultilevel"/>
    <w:tmpl w:val="027A660A"/>
    <w:lvl w:ilvl="0" w:tplc="217E480C">
      <w:start w:val="1"/>
      <w:numFmt w:val="bullet"/>
      <w:lvlText w:val="•"/>
      <w:lvlJc w:val="left"/>
      <w:pPr>
        <w:tabs>
          <w:tab w:val="num" w:pos="720"/>
        </w:tabs>
        <w:ind w:left="720" w:hanging="360"/>
      </w:pPr>
      <w:rPr>
        <w:rFonts w:ascii="Times New Roman" w:hAnsi="Times New Roman" w:hint="default"/>
      </w:rPr>
    </w:lvl>
    <w:lvl w:ilvl="1" w:tplc="61124670" w:tentative="1">
      <w:start w:val="1"/>
      <w:numFmt w:val="bullet"/>
      <w:lvlText w:val="•"/>
      <w:lvlJc w:val="left"/>
      <w:pPr>
        <w:tabs>
          <w:tab w:val="num" w:pos="1440"/>
        </w:tabs>
        <w:ind w:left="1440" w:hanging="360"/>
      </w:pPr>
      <w:rPr>
        <w:rFonts w:ascii="Times New Roman" w:hAnsi="Times New Roman" w:hint="default"/>
      </w:rPr>
    </w:lvl>
    <w:lvl w:ilvl="2" w:tplc="AE66FFA4" w:tentative="1">
      <w:start w:val="1"/>
      <w:numFmt w:val="bullet"/>
      <w:lvlText w:val="•"/>
      <w:lvlJc w:val="left"/>
      <w:pPr>
        <w:tabs>
          <w:tab w:val="num" w:pos="2160"/>
        </w:tabs>
        <w:ind w:left="2160" w:hanging="360"/>
      </w:pPr>
      <w:rPr>
        <w:rFonts w:ascii="Times New Roman" w:hAnsi="Times New Roman" w:hint="default"/>
      </w:rPr>
    </w:lvl>
    <w:lvl w:ilvl="3" w:tplc="0382E67C" w:tentative="1">
      <w:start w:val="1"/>
      <w:numFmt w:val="bullet"/>
      <w:lvlText w:val="•"/>
      <w:lvlJc w:val="left"/>
      <w:pPr>
        <w:tabs>
          <w:tab w:val="num" w:pos="2880"/>
        </w:tabs>
        <w:ind w:left="2880" w:hanging="360"/>
      </w:pPr>
      <w:rPr>
        <w:rFonts w:ascii="Times New Roman" w:hAnsi="Times New Roman" w:hint="default"/>
      </w:rPr>
    </w:lvl>
    <w:lvl w:ilvl="4" w:tplc="CBBEDCD2" w:tentative="1">
      <w:start w:val="1"/>
      <w:numFmt w:val="bullet"/>
      <w:lvlText w:val="•"/>
      <w:lvlJc w:val="left"/>
      <w:pPr>
        <w:tabs>
          <w:tab w:val="num" w:pos="3600"/>
        </w:tabs>
        <w:ind w:left="3600" w:hanging="360"/>
      </w:pPr>
      <w:rPr>
        <w:rFonts w:ascii="Times New Roman" w:hAnsi="Times New Roman" w:hint="default"/>
      </w:rPr>
    </w:lvl>
    <w:lvl w:ilvl="5" w:tplc="1BE2FBEA" w:tentative="1">
      <w:start w:val="1"/>
      <w:numFmt w:val="bullet"/>
      <w:lvlText w:val="•"/>
      <w:lvlJc w:val="left"/>
      <w:pPr>
        <w:tabs>
          <w:tab w:val="num" w:pos="4320"/>
        </w:tabs>
        <w:ind w:left="4320" w:hanging="360"/>
      </w:pPr>
      <w:rPr>
        <w:rFonts w:ascii="Times New Roman" w:hAnsi="Times New Roman" w:hint="default"/>
      </w:rPr>
    </w:lvl>
    <w:lvl w:ilvl="6" w:tplc="EDBE42C0" w:tentative="1">
      <w:start w:val="1"/>
      <w:numFmt w:val="bullet"/>
      <w:lvlText w:val="•"/>
      <w:lvlJc w:val="left"/>
      <w:pPr>
        <w:tabs>
          <w:tab w:val="num" w:pos="5040"/>
        </w:tabs>
        <w:ind w:left="5040" w:hanging="360"/>
      </w:pPr>
      <w:rPr>
        <w:rFonts w:ascii="Times New Roman" w:hAnsi="Times New Roman" w:hint="default"/>
      </w:rPr>
    </w:lvl>
    <w:lvl w:ilvl="7" w:tplc="0DDE61CE" w:tentative="1">
      <w:start w:val="1"/>
      <w:numFmt w:val="bullet"/>
      <w:lvlText w:val="•"/>
      <w:lvlJc w:val="left"/>
      <w:pPr>
        <w:tabs>
          <w:tab w:val="num" w:pos="5760"/>
        </w:tabs>
        <w:ind w:left="5760" w:hanging="360"/>
      </w:pPr>
      <w:rPr>
        <w:rFonts w:ascii="Times New Roman" w:hAnsi="Times New Roman" w:hint="default"/>
      </w:rPr>
    </w:lvl>
    <w:lvl w:ilvl="8" w:tplc="A7A4B36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2897D54"/>
    <w:multiLevelType w:val="hybridMultilevel"/>
    <w:tmpl w:val="BB5C5C7E"/>
    <w:lvl w:ilvl="0" w:tplc="0809000F">
      <w:numFmt w:val="decimal"/>
      <w:lvlText w:val=""/>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4293F3F"/>
    <w:multiLevelType w:val="singleLevel"/>
    <w:tmpl w:val="B074E4EC"/>
    <w:lvl w:ilvl="0">
      <w:numFmt w:val="decimal"/>
      <w:pStyle w:val="ListDash"/>
      <w:lvlText w:val=""/>
      <w:lvlJc w:val="left"/>
    </w:lvl>
  </w:abstractNum>
  <w:abstractNum w:abstractNumId="32">
    <w:nsid w:val="343E59FC"/>
    <w:multiLevelType w:val="hybridMultilevel"/>
    <w:tmpl w:val="CFFC80F8"/>
    <w:lvl w:ilvl="0" w:tplc="BE44C856">
      <w:start w:val="1"/>
      <w:numFmt w:val="lowerRoman"/>
      <w:lvlText w:val="(%1)"/>
      <w:lvlJc w:val="left"/>
      <w:pPr>
        <w:ind w:left="1353" w:hanging="360"/>
      </w:pPr>
      <w:rPr>
        <w:rFonts w:cs="Times New Roman"/>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33">
    <w:nsid w:val="358B6119"/>
    <w:multiLevelType w:val="multilevel"/>
    <w:tmpl w:val="A8BA546C"/>
    <w:lvl w:ilvl="0">
      <w:numFmt w:val="decimal"/>
      <w:pStyle w:val="ListNumber1"/>
      <w:lvlText w:val=""/>
      <w:lvlJc w:val="left"/>
    </w:lvl>
    <w:lvl w:ilvl="1">
      <w:numFmt w:val="decimal"/>
      <w:pStyle w:val="ListNumber1Level2"/>
      <w:lvlText w:val=""/>
      <w:lvlJc w:val="left"/>
    </w:lvl>
    <w:lvl w:ilvl="2">
      <w:numFmt w:val="decimal"/>
      <w:pStyle w:val="ListNumber1Level3"/>
      <w:lvlText w:val=""/>
      <w:lvlJc w:val="left"/>
    </w:lvl>
    <w:lvl w:ilvl="3">
      <w:numFmt w:val="decimal"/>
      <w:pStyle w:val="ListNumber1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8C6F57"/>
    <w:multiLevelType w:val="multilevel"/>
    <w:tmpl w:val="9822F168"/>
    <w:lvl w:ilvl="0">
      <w:start w:val="1"/>
      <w:numFmt w:val="decimal"/>
      <w:lvlText w:val="%1."/>
      <w:lvlJc w:val="left"/>
      <w:pPr>
        <w:tabs>
          <w:tab w:val="num" w:pos="851"/>
        </w:tabs>
        <w:ind w:left="851" w:hanging="851"/>
      </w:pPr>
      <w:rPr>
        <w:rFonts w:ascii="Times New Roman Bold" w:hAnsi="Times New Roman Bold" w:cs="Courier" w:hint="default"/>
        <w:b/>
        <w:bCs w:val="0"/>
        <w:i w:val="0"/>
        <w:caps w:val="0"/>
        <w:strike w:val="0"/>
        <w:dstrike w:val="0"/>
        <w:vanish w:val="0"/>
        <w:webHidden w:val="0"/>
        <w:color w:val="000000"/>
        <w:spacing w:val="0"/>
        <w:kern w:val="0"/>
        <w:position w:val="0"/>
        <w:sz w:val="24"/>
        <w:szCs w:val="24"/>
        <w:u w:val="none"/>
        <w:effect w:val="none"/>
        <w:vertAlign w:val="baseline"/>
        <w:specVanish w:val="0"/>
      </w:rPr>
    </w:lvl>
    <w:lvl w:ilvl="1">
      <w:start w:val="1"/>
      <w:numFmt w:val="decimal"/>
      <w:lvlText w:val="%1.%2"/>
      <w:lvlJc w:val="left"/>
      <w:pPr>
        <w:tabs>
          <w:tab w:val="num" w:pos="851"/>
        </w:tabs>
        <w:ind w:left="851" w:hanging="851"/>
      </w:pPr>
      <w:rPr>
        <w:rFonts w:ascii="Times New Roman Bold" w:hAnsi="Times New Roman Bold" w:cs="Courier" w:hint="default"/>
        <w:b/>
        <w:i w:val="0"/>
        <w:color w:val="auto"/>
        <w:sz w:val="24"/>
      </w:rPr>
    </w:lvl>
    <w:lvl w:ilvl="2">
      <w:start w:val="1"/>
      <w:numFmt w:val="decimal"/>
      <w:lvlText w:val="%1.%2.%3"/>
      <w:lvlJc w:val="left"/>
      <w:pPr>
        <w:tabs>
          <w:tab w:val="num" w:pos="851"/>
        </w:tabs>
        <w:ind w:left="851" w:hanging="851"/>
      </w:pPr>
      <w:rPr>
        <w:rFonts w:ascii="Times New Roman Bold" w:hAnsi="Times New Roman Bold" w:cs="Courier" w:hint="default"/>
        <w:b/>
        <w:i/>
        <w:sz w:val="24"/>
      </w:rPr>
    </w:lvl>
    <w:lvl w:ilvl="3">
      <w:start w:val="1"/>
      <w:numFmt w:val="decimal"/>
      <w:lvlText w:val="%1.%2.%3.%4"/>
      <w:lvlJc w:val="left"/>
      <w:pPr>
        <w:tabs>
          <w:tab w:val="num" w:pos="851"/>
        </w:tabs>
        <w:ind w:left="851" w:hanging="851"/>
      </w:pPr>
      <w:rPr>
        <w:rFonts w:ascii="Courier" w:hAnsi="Courier" w:cs="Courier" w:hint="default"/>
        <w:b w:val="0"/>
        <w:i/>
        <w:sz w:val="24"/>
      </w:rPr>
    </w:lvl>
    <w:lvl w:ilvl="4">
      <w:start w:val="1"/>
      <w:numFmt w:val="decimal"/>
      <w:lvlText w:val="%1.%2.%3.%4.%5"/>
      <w:lvlJc w:val="left"/>
      <w:pPr>
        <w:tabs>
          <w:tab w:val="num" w:pos="1008"/>
        </w:tabs>
        <w:ind w:left="1008" w:hanging="1008"/>
      </w:pPr>
      <w:rPr>
        <w:rFonts w:cs="Courier"/>
      </w:rPr>
    </w:lvl>
    <w:lvl w:ilvl="5">
      <w:start w:val="1"/>
      <w:numFmt w:val="decimal"/>
      <w:lvlText w:val="%1.%2.%3.%4.%5.%6"/>
      <w:lvlJc w:val="left"/>
      <w:pPr>
        <w:tabs>
          <w:tab w:val="num" w:pos="1152"/>
        </w:tabs>
        <w:ind w:left="1152" w:hanging="1152"/>
      </w:pPr>
      <w:rPr>
        <w:rFonts w:cs="Courier"/>
      </w:rPr>
    </w:lvl>
    <w:lvl w:ilvl="6">
      <w:start w:val="1"/>
      <w:numFmt w:val="decimal"/>
      <w:lvlText w:val="%1.%2.%3.%4.%5.%6.%7"/>
      <w:lvlJc w:val="left"/>
      <w:pPr>
        <w:tabs>
          <w:tab w:val="num" w:pos="1296"/>
        </w:tabs>
        <w:ind w:left="1296" w:hanging="1296"/>
      </w:pPr>
      <w:rPr>
        <w:rFonts w:cs="Courier"/>
      </w:rPr>
    </w:lvl>
    <w:lvl w:ilvl="7">
      <w:start w:val="1"/>
      <w:numFmt w:val="decimal"/>
      <w:lvlText w:val="%1.%2.%3.%4.%5.%6.%7.%8"/>
      <w:lvlJc w:val="left"/>
      <w:pPr>
        <w:tabs>
          <w:tab w:val="num" w:pos="1440"/>
        </w:tabs>
        <w:ind w:left="1440" w:hanging="1440"/>
      </w:pPr>
      <w:rPr>
        <w:rFonts w:cs="Courier"/>
      </w:rPr>
    </w:lvl>
    <w:lvl w:ilvl="8">
      <w:start w:val="1"/>
      <w:numFmt w:val="decimal"/>
      <w:lvlText w:val="%1.%2.%3.%4.%5.%6.%7.%8.%9"/>
      <w:lvlJc w:val="left"/>
      <w:pPr>
        <w:tabs>
          <w:tab w:val="num" w:pos="1584"/>
        </w:tabs>
        <w:ind w:left="1584" w:hanging="1584"/>
      </w:pPr>
      <w:rPr>
        <w:rFonts w:cs="Courier"/>
      </w:rPr>
    </w:lvl>
  </w:abstractNum>
  <w:abstractNum w:abstractNumId="35">
    <w:nsid w:val="3AFB6DC8"/>
    <w:multiLevelType w:val="singleLevel"/>
    <w:tmpl w:val="D97CFDF8"/>
    <w:lvl w:ilvl="0">
      <w:numFmt w:val="decimal"/>
      <w:pStyle w:val="ListBullet2"/>
      <w:lvlText w:val=""/>
      <w:lvlJc w:val="left"/>
    </w:lvl>
  </w:abstractNum>
  <w:abstractNum w:abstractNumId="36">
    <w:nsid w:val="3B4F780D"/>
    <w:multiLevelType w:val="multilevel"/>
    <w:tmpl w:val="B10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F00E18"/>
    <w:multiLevelType w:val="singleLevel"/>
    <w:tmpl w:val="4E1A982C"/>
    <w:lvl w:ilvl="0">
      <w:numFmt w:val="decimal"/>
      <w:pStyle w:val="ListBullet"/>
      <w:lvlText w:val=""/>
      <w:lvlJc w:val="left"/>
    </w:lvl>
  </w:abstractNum>
  <w:abstractNum w:abstractNumId="38">
    <w:nsid w:val="46113D4F"/>
    <w:multiLevelType w:val="singleLevel"/>
    <w:tmpl w:val="A3323CB8"/>
    <w:lvl w:ilvl="0">
      <w:numFmt w:val="decimal"/>
      <w:pStyle w:val="ListDash3"/>
      <w:lvlText w:val=""/>
      <w:lvlJc w:val="left"/>
    </w:lvl>
  </w:abstractNum>
  <w:abstractNum w:abstractNumId="39">
    <w:nsid w:val="46CC47E1"/>
    <w:multiLevelType w:val="hybridMultilevel"/>
    <w:tmpl w:val="A01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96207CF"/>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BD76B2"/>
    <w:multiLevelType w:val="multilevel"/>
    <w:tmpl w:val="601C6DB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593082"/>
    <w:multiLevelType w:val="singleLevel"/>
    <w:tmpl w:val="EDE069AC"/>
    <w:name w:val="Bullet 1"/>
    <w:lvl w:ilvl="0">
      <w:numFmt w:val="decimal"/>
      <w:pStyle w:val="Bullet0"/>
      <w:lvlText w:val=""/>
      <w:lvlJc w:val="left"/>
    </w:lvl>
  </w:abstractNum>
  <w:abstractNum w:abstractNumId="43">
    <w:nsid w:val="54D10AB0"/>
    <w:multiLevelType w:val="singleLevel"/>
    <w:tmpl w:val="5B50620E"/>
    <w:lvl w:ilvl="0">
      <w:numFmt w:val="decimal"/>
      <w:pStyle w:val="ListDash4"/>
      <w:lvlText w:val=""/>
      <w:lvlJc w:val="left"/>
    </w:lvl>
  </w:abstractNum>
  <w:abstractNum w:abstractNumId="44">
    <w:nsid w:val="55BF3D2E"/>
    <w:multiLevelType w:val="hybridMultilevel"/>
    <w:tmpl w:val="8A66D5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576B6C27"/>
    <w:multiLevelType w:val="hybridMultilevel"/>
    <w:tmpl w:val="D68EA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94B6127"/>
    <w:multiLevelType w:val="hybridMultilevel"/>
    <w:tmpl w:val="DD44205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7">
    <w:nsid w:val="5B2C6F90"/>
    <w:multiLevelType w:val="hybridMultilevel"/>
    <w:tmpl w:val="591ACF9E"/>
    <w:lvl w:ilvl="0" w:tplc="BE2E7CB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0D6286"/>
    <w:multiLevelType w:val="singleLevel"/>
    <w:tmpl w:val="B0567122"/>
    <w:lvl w:ilvl="0">
      <w:numFmt w:val="decimal"/>
      <w:pStyle w:val="ListDash2"/>
      <w:lvlText w:val=""/>
      <w:lvlJc w:val="left"/>
    </w:lvl>
  </w:abstractNum>
  <w:abstractNum w:abstractNumId="49">
    <w:nsid w:val="6057433F"/>
    <w:multiLevelType w:val="singleLevel"/>
    <w:tmpl w:val="3D5ECD48"/>
    <w:lvl w:ilvl="0">
      <w:numFmt w:val="decimal"/>
      <w:pStyle w:val="ListDash1"/>
      <w:lvlText w:val=""/>
      <w:lvlJc w:val="left"/>
    </w:lvl>
  </w:abstractNum>
  <w:abstractNum w:abstractNumId="50">
    <w:nsid w:val="620F2440"/>
    <w:multiLevelType w:val="singleLevel"/>
    <w:tmpl w:val="6860A420"/>
    <w:lvl w:ilvl="0">
      <w:numFmt w:val="decimal"/>
      <w:pStyle w:val="ListBullet3"/>
      <w:lvlText w:val=""/>
      <w:lvlJc w:val="left"/>
    </w:lvl>
  </w:abstractNum>
  <w:abstractNum w:abstractNumId="51">
    <w:nsid w:val="64987A49"/>
    <w:multiLevelType w:val="hybridMultilevel"/>
    <w:tmpl w:val="1E28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DF118C0"/>
    <w:multiLevelType w:val="singleLevel"/>
    <w:tmpl w:val="B90C8B88"/>
    <w:lvl w:ilvl="0">
      <w:numFmt w:val="decimal"/>
      <w:pStyle w:val="ListBullet4"/>
      <w:lvlText w:val=""/>
      <w:lvlJc w:val="left"/>
    </w:lvl>
  </w:abstractNum>
  <w:abstractNum w:abstractNumId="53">
    <w:nsid w:val="706B072C"/>
    <w:multiLevelType w:val="hybridMultilevel"/>
    <w:tmpl w:val="B7BC1D9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4">
    <w:nsid w:val="712144E3"/>
    <w:multiLevelType w:val="hybridMultilevel"/>
    <w:tmpl w:val="0FDE0F4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5">
    <w:nsid w:val="722304D7"/>
    <w:multiLevelType w:val="multilevel"/>
    <w:tmpl w:val="9DE2758E"/>
    <w:lvl w:ilvl="0">
      <w:numFmt w:val="decimal"/>
      <w:pStyle w:val="ListNumber4"/>
      <w:lvlText w:val=""/>
      <w:lvlJc w:val="left"/>
    </w:lvl>
    <w:lvl w:ilvl="1">
      <w:numFmt w:val="decimal"/>
      <w:pStyle w:val="ListNumber4Level2"/>
      <w:lvlText w:val=""/>
      <w:lvlJc w:val="left"/>
    </w:lvl>
    <w:lvl w:ilvl="2">
      <w:numFmt w:val="decimal"/>
      <w:pStyle w:val="ListNumber4Level3"/>
      <w:lvlText w:val=""/>
      <w:lvlJc w:val="left"/>
    </w:lvl>
    <w:lvl w:ilvl="3">
      <w:numFmt w:val="decimal"/>
      <w:pStyle w:val="ListNumber4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362880"/>
    <w:multiLevelType w:val="hybridMultilevel"/>
    <w:tmpl w:val="D0D0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6783A2A"/>
    <w:multiLevelType w:val="hybridMultilevel"/>
    <w:tmpl w:val="3B44074E"/>
    <w:lvl w:ilvl="0" w:tplc="08090019">
      <w:start w:val="1"/>
      <w:numFmt w:val="lowerLetter"/>
      <w:lvlText w:val="%1."/>
      <w:lvlJc w:val="left"/>
      <w:pPr>
        <w:ind w:left="786"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58">
    <w:nsid w:val="76C40A01"/>
    <w:multiLevelType w:val="hybridMultilevel"/>
    <w:tmpl w:val="0CAC6F2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9">
    <w:nsid w:val="7CB20CD3"/>
    <w:multiLevelType w:val="hybridMultilevel"/>
    <w:tmpl w:val="8518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37"/>
  </w:num>
  <w:num w:numId="5">
    <w:abstractNumId w:val="24"/>
  </w:num>
  <w:num w:numId="6">
    <w:abstractNumId w:val="35"/>
  </w:num>
  <w:num w:numId="7">
    <w:abstractNumId w:val="50"/>
  </w:num>
  <w:num w:numId="8">
    <w:abstractNumId w:val="52"/>
  </w:num>
  <w:num w:numId="9">
    <w:abstractNumId w:val="31"/>
  </w:num>
  <w:num w:numId="10">
    <w:abstractNumId w:val="49"/>
  </w:num>
  <w:num w:numId="11">
    <w:abstractNumId w:val="48"/>
  </w:num>
  <w:num w:numId="12">
    <w:abstractNumId w:val="38"/>
  </w:num>
  <w:num w:numId="13">
    <w:abstractNumId w:val="43"/>
  </w:num>
  <w:num w:numId="14">
    <w:abstractNumId w:val="20"/>
  </w:num>
  <w:num w:numId="15">
    <w:abstractNumId w:val="33"/>
  </w:num>
  <w:num w:numId="16">
    <w:abstractNumId w:val="12"/>
  </w:num>
  <w:num w:numId="17">
    <w:abstractNumId w:val="25"/>
  </w:num>
  <w:num w:numId="18">
    <w:abstractNumId w:val="55"/>
  </w:num>
  <w:num w:numId="19">
    <w:abstractNumId w:val="23"/>
  </w:num>
  <w:num w:numId="20">
    <w:abstractNumId w:val="10"/>
  </w:num>
  <w:num w:numId="21">
    <w:abstractNumId w:val="42"/>
  </w:num>
  <w:num w:numId="22">
    <w:abstractNumId w:val="58"/>
  </w:num>
  <w:num w:numId="23">
    <w:abstractNumId w:val="17"/>
  </w:num>
  <w:num w:numId="24">
    <w:abstractNumId w:val="17"/>
  </w:num>
  <w:num w:numId="25">
    <w:abstractNumId w:val="41"/>
  </w:num>
  <w:num w:numId="26">
    <w:abstractNumId w:val="15"/>
  </w:num>
  <w:num w:numId="27">
    <w:abstractNumId w:val="53"/>
  </w:num>
  <w:num w:numId="28">
    <w:abstractNumId w:val="18"/>
  </w:num>
  <w:num w:numId="29">
    <w:abstractNumId w:val="4"/>
  </w:num>
  <w:num w:numId="30">
    <w:abstractNumId w:val="40"/>
  </w:num>
  <w:num w:numId="31">
    <w:abstractNumId w:val="2"/>
  </w:num>
  <w:num w:numId="32">
    <w:abstractNumId w:val="9"/>
  </w:num>
  <w:num w:numId="33">
    <w:abstractNumId w:val="21"/>
  </w:num>
  <w:num w:numId="34">
    <w:abstractNumId w:val="19"/>
  </w:num>
  <w:num w:numId="35">
    <w:abstractNumId w:val="59"/>
  </w:num>
  <w:num w:numId="36">
    <w:abstractNumId w:val="29"/>
  </w:num>
  <w:num w:numId="37">
    <w:abstractNumId w:val="15"/>
  </w:num>
  <w:num w:numId="38">
    <w:abstractNumId w:val="8"/>
  </w:num>
  <w:num w:numId="39">
    <w:abstractNumId w:val="27"/>
  </w:num>
  <w:num w:numId="40">
    <w:abstractNumId w:val="13"/>
  </w:num>
  <w:num w:numId="41">
    <w:abstractNumId w:val="7"/>
  </w:num>
  <w:num w:numId="42">
    <w:abstractNumId w:val="1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0"/>
  </w:num>
  <w:num w:numId="48">
    <w:abstractNumId w:val="15"/>
  </w:num>
  <w:num w:numId="49">
    <w:abstractNumId w:val="28"/>
  </w:num>
  <w:num w:numId="50">
    <w:abstractNumId w:val="47"/>
  </w:num>
  <w:num w:numId="51">
    <w:abstractNumId w:val="3"/>
  </w:num>
  <w:num w:numId="52">
    <w:abstractNumId w:val="46"/>
  </w:num>
  <w:num w:numId="53">
    <w:abstractNumId w:val="54"/>
  </w:num>
  <w:num w:numId="54">
    <w:abstractNumId w:val="6"/>
  </w:num>
  <w:num w:numId="55">
    <w:abstractNumId w:val="15"/>
  </w:num>
  <w:num w:numId="56">
    <w:abstractNumId w:val="16"/>
  </w:num>
  <w:num w:numId="57">
    <w:abstractNumId w:val="11"/>
  </w:num>
  <w:num w:numId="58">
    <w:abstractNumId w:val="51"/>
  </w:num>
  <w:num w:numId="59">
    <w:abstractNumId w:val="57"/>
  </w:num>
  <w:num w:numId="60">
    <w:abstractNumId w:val="56"/>
  </w:num>
  <w:num w:numId="61">
    <w:abstractNumId w:val="36"/>
  </w:num>
  <w:num w:numId="62">
    <w:abstractNumId w:val="44"/>
  </w:num>
  <w:num w:numId="6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5"/>
  </w:num>
  <w:num w:numId="65">
    <w:abstractNumId w:val="15"/>
    <w:lvlOverride w:ilvl="0">
      <w:startOverride w:val="8"/>
    </w:lvlOverride>
    <w:lvlOverride w:ilvl="1">
      <w:startOverride w:val="1"/>
    </w:lvlOverride>
    <w:lvlOverride w:ilvl="2"/>
    <w:lvlOverride w:ilvl="3"/>
    <w:lvlOverride w:ilvl="4"/>
    <w:lvlOverride w:ilvl="5"/>
    <w:lvlOverride w:ilvl="6"/>
    <w:lvlOverride w:ilvl="7"/>
    <w:lvlOverride w:ilvl="8"/>
  </w:num>
  <w:num w:numId="66">
    <w:abstractNumId w:val="15"/>
  </w:num>
  <w:num w:numId="67">
    <w:abstractNumId w:val="4"/>
  </w:num>
  <w:num w:numId="68">
    <w:abstractNumId w:val="4"/>
  </w:num>
  <w:num w:numId="69">
    <w:abstractNumId w:val="4"/>
  </w:num>
  <w:num w:numId="70">
    <w:abstractNumId w:val="15"/>
  </w:num>
  <w:num w:numId="71">
    <w:abstractNumId w:val="4"/>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4"/>
  </w:num>
  <w:num w:numId="82">
    <w:abstractNumId w:val="15"/>
  </w:num>
  <w:num w:numId="83">
    <w:abstractNumId w:val="26"/>
  </w:num>
  <w:num w:numId="84">
    <w:abstractNumId w:val="26"/>
  </w:num>
  <w:num w:numId="85">
    <w:abstractNumId w:val="26"/>
  </w:num>
  <w:num w:numId="8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7">
    <w:abstractNumId w:val="20"/>
  </w:num>
  <w:num w:numId="88">
    <w:abstractNumId w:val="20"/>
  </w:num>
  <w:num w:numId="89">
    <w:abstractNumId w:val="14"/>
  </w:num>
  <w:num w:numId="90">
    <w:abstractNumId w:val="39"/>
  </w:num>
  <w:num w:numId="91">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7E7148291C394403BCCBD326C446C8AA"/>
    <w:docVar w:name="LW_CROSSREFERENCE" w:val="{COM(2017) 331 final}_x000b_{SWD(2017) 246 final}"/>
    <w:docVar w:name="LW_DocType" w:val="REP"/>
    <w:docVar w:name="LW_EMISSION" w:val="13.6.2017"/>
    <w:docVar w:name="LW_EMISSION_ISODATE" w:val="2017-06-13"/>
    <w:docVar w:name="LW_EMISSION_LOCATION" w:val="STR"/>
    <w:docVar w:name="LW_EMISSION_PREFIX" w:val="Страсбург,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7?) \u8470? 1095/2010 \u1079?\u1072? \u1089?\u1098?\u1079?\u1076?\u1072?\u1074?\u1072?\u1085?\u1077? \u1085?\u1072? \u1045?\u1074?\u1088?\u1086?\u1087?\u1077?\u1081?\u1089?\u1082?\u1080? \u1085?\u1072?\u1076?\u1079?\u1086?\u1088?\u1077?\u1085? \u1086?\u1088?\u1075?\u1072?\u1085? (\u1045?\u1074?\u1088?\u1086?\u1087?\u1077?\u1081?\u1089?\u1082?\u1080? \u1086?\u1088?\u1075?\u1072?\u1085? \u1079?\u1072? \u1094?\u1077?\u1085?\u1085?\u1080? \u1082?\u1085?\u1080?\u1078?\u1072? \u1080? \u1087?\u1072?\u1079?\u1072?\u1088?\u1080?) \u1080? \u1085?\u1072? \u1056?\u1077?\u1075?\u1083?\u1072?\u1084?\u1077?\u1085?\u1090? (\u1045?\u1057?) \u8470? 648/2012 \u1087?\u1086? \u1086?\u1090?\u1085?\u1086?\u1096?\u1077?\u1085?\u1080?\u1077? \u1085?\u1072? \u1087?\u1088?\u1086?\u1094?\u1077?\u1076?\u1091?\u1088?\u1080?\u1090?\u1077? \u1080? \u1091?\u1095?\u1072?\u1089?\u1090?\u1074?\u1072?\u1097?\u1080?\u1090?\u1077? \u1086?\u1088?\u1075?\u1072?\u1085?\u1080? \u1087?\u1088?\u1080? \u1083?\u1080?\u1094?\u1077?\u1085?\u1079?\u1080?\u1088?\u1072?\u1085?\u1077?\u1090?\u1086? \u1085?\u1072? \u1062?\u1050?, \u1082?\u1072?\u1082?\u1090?\u1086? \u1080? \u1085?\u1072? \u1080?\u1079?\u1080?\u1089?\u1082?\u1074?\u1072?\u1085?\u1080?\u1103?\u1090?\u1072? \u1079?\u1072? \u1087?\u1088?\u1080?\u1079?\u1085?\u1072?\u1074?\u1072?\u1085?\u1077? \u1085?\u1072? \u1062?\u1050? \u1086?\u1090? \u1090?\u1088?\u1077?\u1090?\u1080? \u1076?\u1098?\u1088?\u1078?\u1072?\u1074?\u1080?"/>
    <w:docVar w:name="LW_PART_NBR" w:val="1"/>
    <w:docVar w:name="LW_PART_NBR_TOTAL" w:val="1"/>
    <w:docVar w:name="LW_REF.INST.NEW" w:val="SWD"/>
    <w:docVar w:name="LW_REF.INST.NEW_ADOPTED" w:val="final"/>
    <w:docVar w:name="LW_REF.INST.NEW_TEXT" w:val="(2017) 247"/>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64"/>
      </w:numPr>
      <w:spacing w:before="240"/>
      <w:outlineLvl w:val="0"/>
    </w:pPr>
    <w:rPr>
      <w:b/>
      <w:smallCaps/>
    </w:rPr>
  </w:style>
  <w:style w:type="paragraph" w:styleId="Heading2">
    <w:name w:val="heading 2"/>
    <w:basedOn w:val="Normal"/>
    <w:next w:val="Text2"/>
    <w:link w:val="Heading2Char"/>
    <w:qFormat/>
    <w:pPr>
      <w:keepNext/>
      <w:numPr>
        <w:ilvl w:val="1"/>
        <w:numId w:val="64"/>
      </w:numPr>
      <w:spacing w:line="276" w:lineRule="auto"/>
      <w:outlineLvl w:val="1"/>
    </w:pPr>
    <w:rPr>
      <w:b/>
      <w:bCs/>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rPr>
      <w:sz w:val="24"/>
      <w:lang w:eastAsia="bg-BG"/>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rPr>
  </w:style>
  <w:style w:type="paragraph" w:customStyle="1" w:styleId="Rfrenceinstitutionelle">
    <w:name w:val="Référence institutionelle"/>
    <w:basedOn w:val="Normal"/>
    <w:next w:val="Normal"/>
    <w:pPr>
      <w:ind w:left="5103"/>
      <w:jc w:val="left"/>
    </w:pPr>
    <w:rPr>
      <w:szCs w:val="24"/>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bg-BG"/>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bg-BG"/>
    </w:rPr>
  </w:style>
  <w:style w:type="character" w:customStyle="1" w:styleId="CommentSubjectChar">
    <w:name w:val="Comment Subject Char"/>
    <w:link w:val="CommentSubject"/>
    <w:uiPriority w:val="99"/>
    <w:semiHidden/>
    <w:rPr>
      <w:b/>
      <w:bCs/>
      <w:lang w:eastAsia="bg-BG"/>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character" w:customStyle="1" w:styleId="Heading1Char">
    <w:name w:val="Heading 1 Char"/>
    <w:link w:val="Heading1"/>
    <w:rPr>
      <w:b/>
      <w:smallCaps/>
      <w:sz w:val="24"/>
      <w:lang w:val="bg-BG"/>
    </w:rPr>
  </w:style>
  <w:style w:type="paragraph" w:customStyle="1" w:styleId="ColorfulList-Accent11">
    <w:name w:val="Colorful List - Accent 11"/>
    <w:basedOn w:val="CommentText"/>
    <w:qFormat/>
    <w:pPr>
      <w:spacing w:before="120" w:after="120"/>
    </w:pPr>
    <w:rPr>
      <w:sz w:val="24"/>
      <w:szCs w:val="24"/>
    </w:rPr>
  </w:style>
  <w:style w:type="character" w:customStyle="1" w:styleId="Heading2Char">
    <w:name w:val="Heading 2 Char"/>
    <w:link w:val="Heading2"/>
    <w:rPr>
      <w:b/>
      <w:bCs/>
      <w:sz w:val="24"/>
      <w:lang w:val="bg-BG" w:eastAsia="bg-BG"/>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style>
  <w:style w:type="paragraph" w:styleId="Revision">
    <w:name w:val="Revision"/>
    <w:hidden/>
    <w:uiPriority w:val="99"/>
    <w:semiHidden/>
    <w:rPr>
      <w:sz w:val="24"/>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64"/>
      </w:numPr>
      <w:spacing w:before="240"/>
      <w:outlineLvl w:val="0"/>
    </w:pPr>
    <w:rPr>
      <w:b/>
      <w:smallCaps/>
    </w:rPr>
  </w:style>
  <w:style w:type="paragraph" w:styleId="Heading2">
    <w:name w:val="heading 2"/>
    <w:basedOn w:val="Normal"/>
    <w:next w:val="Text2"/>
    <w:link w:val="Heading2Char"/>
    <w:qFormat/>
    <w:pPr>
      <w:keepNext/>
      <w:numPr>
        <w:ilvl w:val="1"/>
        <w:numId w:val="64"/>
      </w:numPr>
      <w:spacing w:line="276" w:lineRule="auto"/>
      <w:outlineLvl w:val="1"/>
    </w:pPr>
    <w:rPr>
      <w:b/>
      <w:bCs/>
    </w:rPr>
  </w:style>
  <w:style w:type="paragraph" w:styleId="Heading3">
    <w:name w:val="heading 3"/>
    <w:basedOn w:val="Normal"/>
    <w:next w:val="Text3"/>
    <w:qFormat/>
    <w:pPr>
      <w:keepNext/>
      <w:numPr>
        <w:ilvl w:val="2"/>
        <w:numId w:val="64"/>
      </w:numPr>
      <w:outlineLvl w:val="2"/>
    </w:pPr>
    <w:rPr>
      <w:i/>
    </w:rPr>
  </w:style>
  <w:style w:type="paragraph" w:styleId="Heading4">
    <w:name w:val="heading 4"/>
    <w:basedOn w:val="Normal"/>
    <w:next w:val="Text4"/>
    <w:qFormat/>
    <w:pPr>
      <w:keepNext/>
      <w:numPr>
        <w:ilvl w:val="3"/>
        <w:numId w:val="64"/>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 Char,Footnote,Fußnote,FSR footnote,lábléc,fn,Texto nota pie Car,notefranz,Footnote Text Char Char Char Char Char Char Char Char Char Char Char Char Char Char Char Char Char,Footnote Text Char1,Char"/>
    <w:basedOn w:val="Normal"/>
    <w:link w:val="FootnoteTextChar"/>
    <w:uiPriority w:val="99"/>
    <w:qFormat/>
    <w:pPr>
      <w:tabs>
        <w:tab w:val="left" w:pos="284"/>
      </w:tabs>
      <w:spacing w:after="0"/>
      <w:ind w:left="284" w:hanging="284"/>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rPr>
      <w:sz w:val="24"/>
      <w:lang w:eastAsia="bg-BG"/>
    </w:rPr>
  </w:style>
  <w:style w:type="paragraph" w:customStyle="1" w:styleId="Bullet1">
    <w:name w:val="Bullet 1"/>
    <w:basedOn w:val="Normal"/>
    <w:pPr>
      <w:numPr>
        <w:numId w:val="19"/>
      </w:numPr>
      <w:spacing w:before="120" w:after="120"/>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Emission">
    <w:name w:val="Emission"/>
    <w:basedOn w:val="Normal"/>
    <w:next w:val="Normal"/>
    <w:pPr>
      <w:spacing w:after="0"/>
      <w:ind w:left="5103"/>
      <w:jc w:val="left"/>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agedecouverture">
    <w:name w:val="Page de couverture"/>
    <w:basedOn w:val="Normal"/>
    <w:next w:val="Normal"/>
    <w:pPr>
      <w:spacing w:before="120" w:after="120"/>
    </w:pPr>
    <w:rPr>
      <w:szCs w:val="24"/>
    </w:rPr>
  </w:style>
  <w:style w:type="paragraph" w:customStyle="1" w:styleId="TypedudocumentPagedecouverture">
    <w:name w:val="Type du document (Page de couverture)"/>
    <w:basedOn w:val="Normal"/>
    <w:next w:val="Normal"/>
    <w:pPr>
      <w:spacing w:before="360" w:after="0"/>
      <w:jc w:val="center"/>
    </w:pPr>
    <w:rPr>
      <w:b/>
      <w:szCs w:val="24"/>
    </w:rPr>
  </w:style>
  <w:style w:type="paragraph" w:customStyle="1" w:styleId="Prliminairetype">
    <w:name w:val="Préliminaire type"/>
    <w:basedOn w:val="Normal"/>
    <w:next w:val="Normal"/>
    <w:pPr>
      <w:spacing w:before="360" w:after="0"/>
      <w:jc w:val="center"/>
    </w:pPr>
    <w:rPr>
      <w:b/>
      <w:szCs w:val="24"/>
    </w:rPr>
  </w:style>
  <w:style w:type="paragraph" w:customStyle="1" w:styleId="Rfrenceinstitutionelle">
    <w:name w:val="Référence institutionelle"/>
    <w:basedOn w:val="Normal"/>
    <w:next w:val="Normal"/>
    <w:pPr>
      <w:ind w:left="5103"/>
      <w:jc w:val="left"/>
    </w:pPr>
    <w:rPr>
      <w:szCs w:val="24"/>
    </w:rPr>
  </w:style>
  <w:style w:type="character" w:styleId="Hyperlink">
    <w:name w:val="Hyperlink"/>
    <w:uiPriority w:val="99"/>
    <w:rPr>
      <w:rFonts w:cs="Times New Roman"/>
      <w:color w:val="0000FF"/>
      <w:u w:val="single"/>
      <w:shd w:val="clear" w:color="auto" w:fill="auto"/>
    </w:rPr>
  </w:style>
  <w:style w:type="numbering" w:styleId="111111">
    <w:name w:val="Outline List 2"/>
    <w:basedOn w:val="NoList"/>
    <w:pPr>
      <w:numPr>
        <w:numId w:val="20"/>
      </w:numPr>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FootnoteReference">
    <w:name w:val="footnote reference"/>
    <w:aliases w:val="Footnote Reference Number,Footnote Reference_LVL6,Footnote Reference_LVL61,Footnote Reference_LVL62,Footnote Reference_LVL63,Footnote Reference_LVL64,normal,Fußnotenzeichen3,Normal1,fr,SUPERS,EN Footnote Reference,number,ftref"/>
    <w:uiPriority w:val="99"/>
    <w:unhideWhenUsed/>
    <w:rPr>
      <w:vertAlign w:val="superscript"/>
    </w:rPr>
  </w:style>
  <w:style w:type="paragraph" w:customStyle="1" w:styleId="Bullet0">
    <w:name w:val="Bullet 0"/>
    <w:basedOn w:val="Normal"/>
    <w:pPr>
      <w:numPr>
        <w:numId w:val="21"/>
      </w:numPr>
      <w:spacing w:before="120" w:after="120"/>
    </w:pPr>
    <w:rPr>
      <w:szCs w:val="24"/>
    </w:rPr>
  </w:style>
  <w:style w:type="character" w:customStyle="1" w:styleId="FootnoteTextChar">
    <w:name w:val="Footnote Text Char"/>
    <w:aliases w:val="Footnote Text Char Char Char,Footnote Char,Fußnote Char,FSR footnote Char,lábléc Char,fn Char,Texto nota pie Car Char,notefranz Char,Footnote Text Char1 Char,Char Char1"/>
    <w:link w:val="FootnoteText"/>
    <w:uiPriority w:val="99"/>
    <w:rPr>
      <w:lang w:eastAsia="bg-BG"/>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lang w:eastAsia="bg-BG"/>
    </w:rPr>
  </w:style>
  <w:style w:type="character" w:customStyle="1" w:styleId="CommentSubjectChar">
    <w:name w:val="Comment Subject Char"/>
    <w:link w:val="CommentSubject"/>
    <w:uiPriority w:val="99"/>
    <w:semiHidden/>
    <w:rPr>
      <w:b/>
      <w:bCs/>
      <w:lang w:eastAsia="bg-BG"/>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character" w:customStyle="1" w:styleId="Heading1Char">
    <w:name w:val="Heading 1 Char"/>
    <w:link w:val="Heading1"/>
    <w:rPr>
      <w:b/>
      <w:smallCaps/>
      <w:sz w:val="24"/>
      <w:lang w:val="bg-BG"/>
    </w:rPr>
  </w:style>
  <w:style w:type="paragraph" w:customStyle="1" w:styleId="ColorfulList-Accent11">
    <w:name w:val="Colorful List - Accent 11"/>
    <w:basedOn w:val="CommentText"/>
    <w:qFormat/>
    <w:pPr>
      <w:spacing w:before="120" w:after="120"/>
    </w:pPr>
    <w:rPr>
      <w:sz w:val="24"/>
      <w:szCs w:val="24"/>
    </w:rPr>
  </w:style>
  <w:style w:type="character" w:customStyle="1" w:styleId="Heading2Char">
    <w:name w:val="Heading 2 Char"/>
    <w:link w:val="Heading2"/>
    <w:rPr>
      <w:b/>
      <w:bCs/>
      <w:sz w:val="24"/>
      <w:lang w:val="bg-BG" w:eastAsia="bg-BG"/>
    </w:rPr>
  </w:style>
  <w:style w:type="character" w:customStyle="1" w:styleId="BookTitle1">
    <w:name w:val="Book Title1"/>
    <w:uiPriority w:val="33"/>
    <w:qFormat/>
    <w:rPr>
      <w:b/>
      <w:bCs/>
      <w:smallCaps/>
      <w:spacing w:val="5"/>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Emphasis">
    <w:name w:val="Emphasis"/>
    <w:uiPriority w:val="20"/>
    <w:qFormat/>
    <w:rPr>
      <w:rFonts w:ascii="Times New Roman" w:hAnsi="Times New Roman" w:cs="Times New Roman" w:hint="default"/>
      <w:i w:val="0"/>
      <w:iCs w:val="0"/>
    </w:rPr>
  </w:style>
  <w:style w:type="character" w:customStyle="1" w:styleId="FootnoteTextChar2">
    <w:name w:val="Footnote Text Char2"/>
    <w:aliases w:val="Footnote Text Char Char Char1,Footnote Char1,Fußnote Char1,FSR footnote Char1,lábléc Char1,fn Char1,Texto nota pie Car Char1,notefranz Char1,Footnote Text Char1 Char1,Char Char"/>
    <w:uiPriority w:val="99"/>
    <w:semiHidden/>
    <w:locked/>
    <w:rPr>
      <w:sz w:val="18"/>
    </w:rPr>
  </w:style>
  <w:style w:type="paragraph" w:customStyle="1" w:styleId="IndentedHeading4">
    <w:name w:val="Indented Heading 4"/>
    <w:basedOn w:val="Heading4"/>
    <w:next w:val="Normal"/>
    <w:pPr>
      <w:numPr>
        <w:numId w:val="42"/>
      </w:numPr>
      <w:tabs>
        <w:tab w:val="clear" w:pos="3447"/>
        <w:tab w:val="num" w:pos="360"/>
        <w:tab w:val="num" w:pos="851"/>
      </w:tabs>
      <w:spacing w:before="120" w:after="120" w:line="300" w:lineRule="exact"/>
      <w:ind w:left="851" w:hanging="851"/>
    </w:pPr>
    <w:rPr>
      <w:rFonts w:eastAsia="MS Mincho" w:cs="Arial"/>
      <w:i/>
      <w:iCs/>
      <w:szCs w:val="16"/>
    </w:rPr>
  </w:style>
  <w:style w:type="paragraph" w:customStyle="1" w:styleId="IndentedHeading2">
    <w:name w:val="Indented Heading 2"/>
    <w:basedOn w:val="Heading2"/>
    <w:next w:val="Normal"/>
    <w:pPr>
      <w:numPr>
        <w:numId w:val="42"/>
      </w:numPr>
      <w:tabs>
        <w:tab w:val="clear" w:pos="2007"/>
        <w:tab w:val="num" w:pos="360"/>
        <w:tab w:val="num" w:pos="851"/>
      </w:tabs>
      <w:spacing w:before="360" w:after="120" w:line="300" w:lineRule="exact"/>
      <w:ind w:left="851" w:hanging="851"/>
    </w:pPr>
    <w:rPr>
      <w:rFonts w:eastAsia="MS Mincho" w:cs="Arial"/>
      <w:iCs/>
      <w:szCs w:val="28"/>
    </w:rPr>
  </w:style>
  <w:style w:type="paragraph" w:customStyle="1" w:styleId="IndentedHeading3">
    <w:name w:val="Indented Heading 3"/>
    <w:basedOn w:val="Heading3"/>
    <w:next w:val="Normal"/>
    <w:pPr>
      <w:numPr>
        <w:numId w:val="42"/>
      </w:numPr>
      <w:tabs>
        <w:tab w:val="clear" w:pos="2727"/>
        <w:tab w:val="num" w:pos="360"/>
        <w:tab w:val="num" w:pos="851"/>
      </w:tabs>
      <w:spacing w:before="240" w:after="120" w:line="300" w:lineRule="exact"/>
      <w:ind w:left="851" w:hanging="851"/>
    </w:pPr>
    <w:rPr>
      <w:rFonts w:eastAsia="MS Mincho" w:cs="Arial"/>
      <w:b/>
      <w:bCs/>
      <w:iCs/>
      <w:szCs w:val="26"/>
    </w:rPr>
  </w:style>
  <w:style w:type="character" w:customStyle="1" w:styleId="BulletChar">
    <w:name w:val="Bullet Char"/>
    <w:link w:val="Bullet"/>
    <w:locked/>
    <w:rPr>
      <w:sz w:val="24"/>
    </w:rPr>
  </w:style>
  <w:style w:type="paragraph" w:customStyle="1" w:styleId="Bullet">
    <w:name w:val="Bullet"/>
    <w:basedOn w:val="Normal"/>
    <w:link w:val="BulletChar"/>
    <w:pPr>
      <w:numPr>
        <w:numId w:val="42"/>
      </w:numPr>
      <w:spacing w:after="120" w:line="300" w:lineRule="exact"/>
    </w:pPr>
  </w:style>
  <w:style w:type="paragraph" w:styleId="Revision">
    <w:name w:val="Revision"/>
    <w:hidden/>
    <w:uiPriority w:val="99"/>
    <w:semiHidden/>
    <w:rPr>
      <w:sz w:val="24"/>
    </w:rPr>
  </w:style>
  <w:style w:type="character" w:customStyle="1" w:styleId="FootnoteCharacters">
    <w:name w:val="Footnote Characters"/>
    <w:rPr>
      <w:vertAlign w:val="superscript"/>
    </w:rPr>
  </w:style>
  <w:style w:type="paragraph" w:customStyle="1" w:styleId="TOCHeading10">
    <w:name w:val="TOC Heading1"/>
    <w:basedOn w:val="Normal"/>
    <w:next w:val="Normal"/>
    <w:qFormat/>
    <w:pPr>
      <w:keepNext/>
      <w:spacing w:before="240"/>
      <w:jc w:val="center"/>
    </w:pPr>
    <w:rPr>
      <w:b/>
    </w:rPr>
  </w:style>
  <w:style w:type="character" w:customStyle="1" w:styleId="BookTitle10">
    <w:name w:val="Book Title1"/>
    <w:uiPriority w:val="33"/>
    <w:qFormat/>
    <w:rPr>
      <w:b/>
      <w:bCs/>
      <w:smallCaps/>
      <w:spacing w:val="5"/>
    </w:rPr>
  </w:style>
  <w:style w:type="character" w:customStyle="1" w:styleId="affairetitle">
    <w:name w:val="affaire_title"/>
    <w:basedOn w:val="DefaultParagraphFont"/>
  </w:style>
  <w:style w:type="paragraph" w:customStyle="1" w:styleId="LegalNumPar">
    <w:name w:val="LegalNumPar"/>
    <w:basedOn w:val="Normal"/>
    <w:pPr>
      <w:numPr>
        <w:numId w:val="85"/>
      </w:numPr>
    </w:pPr>
  </w:style>
  <w:style w:type="paragraph" w:customStyle="1" w:styleId="LegalNumPar2">
    <w:name w:val="LegalNumPar2"/>
    <w:basedOn w:val="Normal"/>
    <w:pPr>
      <w:numPr>
        <w:ilvl w:val="1"/>
        <w:numId w:val="85"/>
      </w:numPr>
    </w:pPr>
  </w:style>
  <w:style w:type="paragraph" w:customStyle="1" w:styleId="LegalNumPar3">
    <w:name w:val="LegalNumPar3"/>
    <w:basedOn w:val="Normal"/>
    <w:pPr>
      <w:numPr>
        <w:ilvl w:val="2"/>
        <w:numId w:val="85"/>
      </w:numPr>
    </w:p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210">
      <w:bodyDiv w:val="1"/>
      <w:marLeft w:val="0"/>
      <w:marRight w:val="0"/>
      <w:marTop w:val="0"/>
      <w:marBottom w:val="0"/>
      <w:divBdr>
        <w:top w:val="none" w:sz="0" w:space="0" w:color="auto"/>
        <w:left w:val="none" w:sz="0" w:space="0" w:color="auto"/>
        <w:bottom w:val="none" w:sz="0" w:space="0" w:color="auto"/>
        <w:right w:val="none" w:sz="0" w:space="0" w:color="auto"/>
      </w:divBdr>
    </w:div>
    <w:div w:id="92017296">
      <w:bodyDiv w:val="1"/>
      <w:marLeft w:val="0"/>
      <w:marRight w:val="0"/>
      <w:marTop w:val="0"/>
      <w:marBottom w:val="0"/>
      <w:divBdr>
        <w:top w:val="none" w:sz="0" w:space="0" w:color="auto"/>
        <w:left w:val="none" w:sz="0" w:space="0" w:color="auto"/>
        <w:bottom w:val="none" w:sz="0" w:space="0" w:color="auto"/>
        <w:right w:val="none" w:sz="0" w:space="0" w:color="auto"/>
      </w:divBdr>
    </w:div>
    <w:div w:id="443888823">
      <w:bodyDiv w:val="1"/>
      <w:marLeft w:val="0"/>
      <w:marRight w:val="0"/>
      <w:marTop w:val="0"/>
      <w:marBottom w:val="0"/>
      <w:divBdr>
        <w:top w:val="none" w:sz="0" w:space="0" w:color="auto"/>
        <w:left w:val="none" w:sz="0" w:space="0" w:color="auto"/>
        <w:bottom w:val="none" w:sz="0" w:space="0" w:color="auto"/>
        <w:right w:val="none" w:sz="0" w:space="0" w:color="auto"/>
      </w:divBdr>
    </w:div>
    <w:div w:id="637304363">
      <w:bodyDiv w:val="1"/>
      <w:marLeft w:val="0"/>
      <w:marRight w:val="0"/>
      <w:marTop w:val="0"/>
      <w:marBottom w:val="0"/>
      <w:divBdr>
        <w:top w:val="none" w:sz="0" w:space="0" w:color="auto"/>
        <w:left w:val="none" w:sz="0" w:space="0" w:color="auto"/>
        <w:bottom w:val="none" w:sz="0" w:space="0" w:color="auto"/>
        <w:right w:val="none" w:sz="0" w:space="0" w:color="auto"/>
      </w:divBdr>
    </w:div>
    <w:div w:id="654577874">
      <w:bodyDiv w:val="1"/>
      <w:marLeft w:val="0"/>
      <w:marRight w:val="0"/>
      <w:marTop w:val="0"/>
      <w:marBottom w:val="0"/>
      <w:divBdr>
        <w:top w:val="none" w:sz="0" w:space="0" w:color="auto"/>
        <w:left w:val="none" w:sz="0" w:space="0" w:color="auto"/>
        <w:bottom w:val="none" w:sz="0" w:space="0" w:color="auto"/>
        <w:right w:val="none" w:sz="0" w:space="0" w:color="auto"/>
      </w:divBdr>
    </w:div>
    <w:div w:id="655300944">
      <w:bodyDiv w:val="1"/>
      <w:marLeft w:val="0"/>
      <w:marRight w:val="0"/>
      <w:marTop w:val="0"/>
      <w:marBottom w:val="0"/>
      <w:divBdr>
        <w:top w:val="none" w:sz="0" w:space="0" w:color="auto"/>
        <w:left w:val="none" w:sz="0" w:space="0" w:color="auto"/>
        <w:bottom w:val="none" w:sz="0" w:space="0" w:color="auto"/>
        <w:right w:val="none" w:sz="0" w:space="0" w:color="auto"/>
      </w:divBdr>
    </w:div>
    <w:div w:id="677191716">
      <w:bodyDiv w:val="1"/>
      <w:marLeft w:val="1134"/>
      <w:marRight w:val="1134"/>
      <w:marTop w:val="0"/>
      <w:marBottom w:val="0"/>
      <w:divBdr>
        <w:top w:val="none" w:sz="0" w:space="0" w:color="auto"/>
        <w:left w:val="none" w:sz="0" w:space="0" w:color="auto"/>
        <w:bottom w:val="none" w:sz="0" w:space="0" w:color="auto"/>
        <w:right w:val="none" w:sz="0" w:space="0" w:color="auto"/>
      </w:divBdr>
      <w:divsChild>
        <w:div w:id="1068573432">
          <w:marLeft w:val="0"/>
          <w:marRight w:val="0"/>
          <w:marTop w:val="0"/>
          <w:marBottom w:val="0"/>
          <w:divBdr>
            <w:top w:val="none" w:sz="0" w:space="0" w:color="auto"/>
            <w:left w:val="none" w:sz="0" w:space="0" w:color="auto"/>
            <w:bottom w:val="none" w:sz="0" w:space="0" w:color="auto"/>
            <w:right w:val="none" w:sz="0" w:space="0" w:color="auto"/>
          </w:divBdr>
          <w:divsChild>
            <w:div w:id="1836610406">
              <w:marLeft w:val="2700"/>
              <w:marRight w:val="2250"/>
              <w:marTop w:val="600"/>
              <w:marBottom w:val="0"/>
              <w:divBdr>
                <w:top w:val="none" w:sz="0" w:space="0" w:color="auto"/>
                <w:left w:val="none" w:sz="0" w:space="0" w:color="auto"/>
                <w:bottom w:val="none" w:sz="0" w:space="0" w:color="auto"/>
                <w:right w:val="none" w:sz="0" w:space="0" w:color="auto"/>
              </w:divBdr>
              <w:divsChild>
                <w:div w:id="13066227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18041160">
      <w:bodyDiv w:val="1"/>
      <w:marLeft w:val="0"/>
      <w:marRight w:val="0"/>
      <w:marTop w:val="0"/>
      <w:marBottom w:val="0"/>
      <w:divBdr>
        <w:top w:val="none" w:sz="0" w:space="0" w:color="auto"/>
        <w:left w:val="none" w:sz="0" w:space="0" w:color="auto"/>
        <w:bottom w:val="none" w:sz="0" w:space="0" w:color="auto"/>
        <w:right w:val="none" w:sz="0" w:space="0" w:color="auto"/>
      </w:divBdr>
      <w:divsChild>
        <w:div w:id="1256597685">
          <w:marLeft w:val="547"/>
          <w:marRight w:val="0"/>
          <w:marTop w:val="86"/>
          <w:marBottom w:val="0"/>
          <w:divBdr>
            <w:top w:val="none" w:sz="0" w:space="0" w:color="auto"/>
            <w:left w:val="none" w:sz="0" w:space="0" w:color="auto"/>
            <w:bottom w:val="none" w:sz="0" w:space="0" w:color="auto"/>
            <w:right w:val="none" w:sz="0" w:space="0" w:color="auto"/>
          </w:divBdr>
        </w:div>
        <w:div w:id="2089227261">
          <w:marLeft w:val="547"/>
          <w:marRight w:val="0"/>
          <w:marTop w:val="86"/>
          <w:marBottom w:val="0"/>
          <w:divBdr>
            <w:top w:val="none" w:sz="0" w:space="0" w:color="auto"/>
            <w:left w:val="none" w:sz="0" w:space="0" w:color="auto"/>
            <w:bottom w:val="none" w:sz="0" w:space="0" w:color="auto"/>
            <w:right w:val="none" w:sz="0" w:space="0" w:color="auto"/>
          </w:divBdr>
        </w:div>
      </w:divsChild>
    </w:div>
    <w:div w:id="1018773427">
      <w:bodyDiv w:val="1"/>
      <w:marLeft w:val="0"/>
      <w:marRight w:val="0"/>
      <w:marTop w:val="0"/>
      <w:marBottom w:val="0"/>
      <w:divBdr>
        <w:top w:val="none" w:sz="0" w:space="0" w:color="auto"/>
        <w:left w:val="none" w:sz="0" w:space="0" w:color="auto"/>
        <w:bottom w:val="none" w:sz="0" w:space="0" w:color="auto"/>
        <w:right w:val="none" w:sz="0" w:space="0" w:color="auto"/>
      </w:divBdr>
    </w:div>
    <w:div w:id="1031877622">
      <w:bodyDiv w:val="1"/>
      <w:marLeft w:val="0"/>
      <w:marRight w:val="0"/>
      <w:marTop w:val="0"/>
      <w:marBottom w:val="0"/>
      <w:divBdr>
        <w:top w:val="none" w:sz="0" w:space="0" w:color="auto"/>
        <w:left w:val="none" w:sz="0" w:space="0" w:color="auto"/>
        <w:bottom w:val="none" w:sz="0" w:space="0" w:color="auto"/>
        <w:right w:val="none" w:sz="0" w:space="0" w:color="auto"/>
      </w:divBdr>
    </w:div>
    <w:div w:id="1033119742">
      <w:bodyDiv w:val="1"/>
      <w:marLeft w:val="0"/>
      <w:marRight w:val="0"/>
      <w:marTop w:val="0"/>
      <w:marBottom w:val="0"/>
      <w:divBdr>
        <w:top w:val="none" w:sz="0" w:space="0" w:color="auto"/>
        <w:left w:val="none" w:sz="0" w:space="0" w:color="auto"/>
        <w:bottom w:val="none" w:sz="0" w:space="0" w:color="auto"/>
        <w:right w:val="none" w:sz="0" w:space="0" w:color="auto"/>
      </w:divBdr>
    </w:div>
    <w:div w:id="1064329025">
      <w:bodyDiv w:val="1"/>
      <w:marLeft w:val="0"/>
      <w:marRight w:val="0"/>
      <w:marTop w:val="0"/>
      <w:marBottom w:val="0"/>
      <w:divBdr>
        <w:top w:val="none" w:sz="0" w:space="0" w:color="auto"/>
        <w:left w:val="none" w:sz="0" w:space="0" w:color="auto"/>
        <w:bottom w:val="none" w:sz="0" w:space="0" w:color="auto"/>
        <w:right w:val="none" w:sz="0" w:space="0" w:color="auto"/>
      </w:divBdr>
    </w:div>
    <w:div w:id="1076123918">
      <w:bodyDiv w:val="1"/>
      <w:marLeft w:val="0"/>
      <w:marRight w:val="0"/>
      <w:marTop w:val="0"/>
      <w:marBottom w:val="0"/>
      <w:divBdr>
        <w:top w:val="none" w:sz="0" w:space="0" w:color="auto"/>
        <w:left w:val="none" w:sz="0" w:space="0" w:color="auto"/>
        <w:bottom w:val="none" w:sz="0" w:space="0" w:color="auto"/>
        <w:right w:val="none" w:sz="0" w:space="0" w:color="auto"/>
      </w:divBdr>
    </w:div>
    <w:div w:id="1113131218">
      <w:bodyDiv w:val="1"/>
      <w:marLeft w:val="1134"/>
      <w:marRight w:val="1134"/>
      <w:marTop w:val="0"/>
      <w:marBottom w:val="0"/>
      <w:divBdr>
        <w:top w:val="none" w:sz="0" w:space="0" w:color="auto"/>
        <w:left w:val="none" w:sz="0" w:space="0" w:color="auto"/>
        <w:bottom w:val="none" w:sz="0" w:space="0" w:color="auto"/>
        <w:right w:val="none" w:sz="0" w:space="0" w:color="auto"/>
      </w:divBdr>
      <w:divsChild>
        <w:div w:id="1920677383">
          <w:marLeft w:val="0"/>
          <w:marRight w:val="0"/>
          <w:marTop w:val="0"/>
          <w:marBottom w:val="0"/>
          <w:divBdr>
            <w:top w:val="none" w:sz="0" w:space="0" w:color="auto"/>
            <w:left w:val="none" w:sz="0" w:space="0" w:color="auto"/>
            <w:bottom w:val="none" w:sz="0" w:space="0" w:color="auto"/>
            <w:right w:val="none" w:sz="0" w:space="0" w:color="auto"/>
          </w:divBdr>
          <w:divsChild>
            <w:div w:id="540290721">
              <w:marLeft w:val="2700"/>
              <w:marRight w:val="2250"/>
              <w:marTop w:val="600"/>
              <w:marBottom w:val="0"/>
              <w:divBdr>
                <w:top w:val="none" w:sz="0" w:space="0" w:color="auto"/>
                <w:left w:val="none" w:sz="0" w:space="0" w:color="auto"/>
                <w:bottom w:val="none" w:sz="0" w:space="0" w:color="auto"/>
                <w:right w:val="none" w:sz="0" w:space="0" w:color="auto"/>
              </w:divBdr>
              <w:divsChild>
                <w:div w:id="426774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9616526">
      <w:bodyDiv w:val="1"/>
      <w:marLeft w:val="0"/>
      <w:marRight w:val="0"/>
      <w:marTop w:val="0"/>
      <w:marBottom w:val="0"/>
      <w:divBdr>
        <w:top w:val="none" w:sz="0" w:space="0" w:color="auto"/>
        <w:left w:val="none" w:sz="0" w:space="0" w:color="auto"/>
        <w:bottom w:val="none" w:sz="0" w:space="0" w:color="auto"/>
        <w:right w:val="none" w:sz="0" w:space="0" w:color="auto"/>
      </w:divBdr>
    </w:div>
    <w:div w:id="1164583892">
      <w:bodyDiv w:val="1"/>
      <w:marLeft w:val="0"/>
      <w:marRight w:val="0"/>
      <w:marTop w:val="0"/>
      <w:marBottom w:val="0"/>
      <w:divBdr>
        <w:top w:val="none" w:sz="0" w:space="0" w:color="auto"/>
        <w:left w:val="none" w:sz="0" w:space="0" w:color="auto"/>
        <w:bottom w:val="none" w:sz="0" w:space="0" w:color="auto"/>
        <w:right w:val="none" w:sz="0" w:space="0" w:color="auto"/>
      </w:divBdr>
    </w:div>
    <w:div w:id="1211460841">
      <w:bodyDiv w:val="1"/>
      <w:marLeft w:val="0"/>
      <w:marRight w:val="0"/>
      <w:marTop w:val="0"/>
      <w:marBottom w:val="0"/>
      <w:divBdr>
        <w:top w:val="none" w:sz="0" w:space="0" w:color="auto"/>
        <w:left w:val="none" w:sz="0" w:space="0" w:color="auto"/>
        <w:bottom w:val="none" w:sz="0" w:space="0" w:color="auto"/>
        <w:right w:val="none" w:sz="0" w:space="0" w:color="auto"/>
      </w:divBdr>
    </w:div>
    <w:div w:id="1246572626">
      <w:bodyDiv w:val="1"/>
      <w:marLeft w:val="0"/>
      <w:marRight w:val="0"/>
      <w:marTop w:val="0"/>
      <w:marBottom w:val="0"/>
      <w:divBdr>
        <w:top w:val="none" w:sz="0" w:space="0" w:color="auto"/>
        <w:left w:val="none" w:sz="0" w:space="0" w:color="auto"/>
        <w:bottom w:val="none" w:sz="0" w:space="0" w:color="auto"/>
        <w:right w:val="none" w:sz="0" w:space="0" w:color="auto"/>
      </w:divBdr>
    </w:div>
    <w:div w:id="1267814202">
      <w:bodyDiv w:val="1"/>
      <w:marLeft w:val="1134"/>
      <w:marRight w:val="1134"/>
      <w:marTop w:val="0"/>
      <w:marBottom w:val="0"/>
      <w:divBdr>
        <w:top w:val="none" w:sz="0" w:space="0" w:color="auto"/>
        <w:left w:val="none" w:sz="0" w:space="0" w:color="auto"/>
        <w:bottom w:val="none" w:sz="0" w:space="0" w:color="auto"/>
        <w:right w:val="none" w:sz="0" w:space="0" w:color="auto"/>
      </w:divBdr>
      <w:divsChild>
        <w:div w:id="1020820287">
          <w:marLeft w:val="0"/>
          <w:marRight w:val="0"/>
          <w:marTop w:val="0"/>
          <w:marBottom w:val="0"/>
          <w:divBdr>
            <w:top w:val="none" w:sz="0" w:space="0" w:color="auto"/>
            <w:left w:val="none" w:sz="0" w:space="0" w:color="auto"/>
            <w:bottom w:val="none" w:sz="0" w:space="0" w:color="auto"/>
            <w:right w:val="none" w:sz="0" w:space="0" w:color="auto"/>
          </w:divBdr>
          <w:divsChild>
            <w:div w:id="625355831">
              <w:marLeft w:val="2700"/>
              <w:marRight w:val="2250"/>
              <w:marTop w:val="600"/>
              <w:marBottom w:val="0"/>
              <w:divBdr>
                <w:top w:val="none" w:sz="0" w:space="0" w:color="auto"/>
                <w:left w:val="none" w:sz="0" w:space="0" w:color="auto"/>
                <w:bottom w:val="none" w:sz="0" w:space="0" w:color="auto"/>
                <w:right w:val="none" w:sz="0" w:space="0" w:color="auto"/>
              </w:divBdr>
              <w:divsChild>
                <w:div w:id="8786654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71282363">
      <w:bodyDiv w:val="1"/>
      <w:marLeft w:val="0"/>
      <w:marRight w:val="0"/>
      <w:marTop w:val="0"/>
      <w:marBottom w:val="0"/>
      <w:divBdr>
        <w:top w:val="none" w:sz="0" w:space="0" w:color="auto"/>
        <w:left w:val="none" w:sz="0" w:space="0" w:color="auto"/>
        <w:bottom w:val="none" w:sz="0" w:space="0" w:color="auto"/>
        <w:right w:val="none" w:sz="0" w:space="0" w:color="auto"/>
      </w:divBdr>
    </w:div>
    <w:div w:id="1296989924">
      <w:bodyDiv w:val="1"/>
      <w:marLeft w:val="0"/>
      <w:marRight w:val="0"/>
      <w:marTop w:val="0"/>
      <w:marBottom w:val="0"/>
      <w:divBdr>
        <w:top w:val="none" w:sz="0" w:space="0" w:color="auto"/>
        <w:left w:val="none" w:sz="0" w:space="0" w:color="auto"/>
        <w:bottom w:val="none" w:sz="0" w:space="0" w:color="auto"/>
        <w:right w:val="none" w:sz="0" w:space="0" w:color="auto"/>
      </w:divBdr>
    </w:div>
    <w:div w:id="1537155038">
      <w:bodyDiv w:val="1"/>
      <w:marLeft w:val="0"/>
      <w:marRight w:val="0"/>
      <w:marTop w:val="0"/>
      <w:marBottom w:val="0"/>
      <w:divBdr>
        <w:top w:val="none" w:sz="0" w:space="0" w:color="auto"/>
        <w:left w:val="none" w:sz="0" w:space="0" w:color="auto"/>
        <w:bottom w:val="none" w:sz="0" w:space="0" w:color="auto"/>
        <w:right w:val="none" w:sz="0" w:space="0" w:color="auto"/>
      </w:divBdr>
    </w:div>
    <w:div w:id="1686244330">
      <w:bodyDiv w:val="1"/>
      <w:marLeft w:val="0"/>
      <w:marRight w:val="0"/>
      <w:marTop w:val="0"/>
      <w:marBottom w:val="0"/>
      <w:divBdr>
        <w:top w:val="none" w:sz="0" w:space="0" w:color="auto"/>
        <w:left w:val="none" w:sz="0" w:space="0" w:color="auto"/>
        <w:bottom w:val="none" w:sz="0" w:space="0" w:color="auto"/>
        <w:right w:val="none" w:sz="0" w:space="0" w:color="auto"/>
      </w:divBdr>
    </w:div>
    <w:div w:id="1709528369">
      <w:bodyDiv w:val="1"/>
      <w:marLeft w:val="0"/>
      <w:marRight w:val="0"/>
      <w:marTop w:val="0"/>
      <w:marBottom w:val="0"/>
      <w:divBdr>
        <w:top w:val="none" w:sz="0" w:space="0" w:color="auto"/>
        <w:left w:val="none" w:sz="0" w:space="0" w:color="auto"/>
        <w:bottom w:val="none" w:sz="0" w:space="0" w:color="auto"/>
        <w:right w:val="none" w:sz="0" w:space="0" w:color="auto"/>
      </w:divBdr>
    </w:div>
    <w:div w:id="1767261610">
      <w:bodyDiv w:val="1"/>
      <w:marLeft w:val="0"/>
      <w:marRight w:val="0"/>
      <w:marTop w:val="0"/>
      <w:marBottom w:val="0"/>
      <w:divBdr>
        <w:top w:val="none" w:sz="0" w:space="0" w:color="auto"/>
        <w:left w:val="none" w:sz="0" w:space="0" w:color="auto"/>
        <w:bottom w:val="none" w:sz="0" w:space="0" w:color="auto"/>
        <w:right w:val="none" w:sz="0" w:space="0" w:color="auto"/>
      </w:divBdr>
    </w:div>
    <w:div w:id="1801410804">
      <w:bodyDiv w:val="1"/>
      <w:marLeft w:val="0"/>
      <w:marRight w:val="0"/>
      <w:marTop w:val="0"/>
      <w:marBottom w:val="0"/>
      <w:divBdr>
        <w:top w:val="none" w:sz="0" w:space="0" w:color="auto"/>
        <w:left w:val="none" w:sz="0" w:space="0" w:color="auto"/>
        <w:bottom w:val="none" w:sz="0" w:space="0" w:color="auto"/>
        <w:right w:val="none" w:sz="0" w:space="0" w:color="auto"/>
      </w:divBdr>
    </w:div>
    <w:div w:id="1856915198">
      <w:bodyDiv w:val="1"/>
      <w:marLeft w:val="0"/>
      <w:marRight w:val="0"/>
      <w:marTop w:val="0"/>
      <w:marBottom w:val="0"/>
      <w:divBdr>
        <w:top w:val="none" w:sz="0" w:space="0" w:color="auto"/>
        <w:left w:val="none" w:sz="0" w:space="0" w:color="auto"/>
        <w:bottom w:val="none" w:sz="0" w:space="0" w:color="auto"/>
        <w:right w:val="none" w:sz="0" w:space="0" w:color="auto"/>
      </w:divBdr>
    </w:div>
    <w:div w:id="1923754512">
      <w:bodyDiv w:val="1"/>
      <w:marLeft w:val="0"/>
      <w:marRight w:val="0"/>
      <w:marTop w:val="0"/>
      <w:marBottom w:val="0"/>
      <w:divBdr>
        <w:top w:val="none" w:sz="0" w:space="0" w:color="auto"/>
        <w:left w:val="none" w:sz="0" w:space="0" w:color="auto"/>
        <w:bottom w:val="none" w:sz="0" w:space="0" w:color="auto"/>
        <w:right w:val="none" w:sz="0" w:space="0" w:color="auto"/>
      </w:divBdr>
    </w:div>
    <w:div w:id="1971323417">
      <w:bodyDiv w:val="1"/>
      <w:marLeft w:val="0"/>
      <w:marRight w:val="0"/>
      <w:marTop w:val="0"/>
      <w:marBottom w:val="0"/>
      <w:divBdr>
        <w:top w:val="none" w:sz="0" w:space="0" w:color="auto"/>
        <w:left w:val="none" w:sz="0" w:space="0" w:color="auto"/>
        <w:bottom w:val="none" w:sz="0" w:space="0" w:color="auto"/>
        <w:right w:val="none" w:sz="0" w:space="0" w:color="auto"/>
      </w:divBdr>
    </w:div>
    <w:div w:id="1979067369">
      <w:bodyDiv w:val="1"/>
      <w:marLeft w:val="0"/>
      <w:marRight w:val="0"/>
      <w:marTop w:val="0"/>
      <w:marBottom w:val="0"/>
      <w:divBdr>
        <w:top w:val="none" w:sz="0" w:space="0" w:color="auto"/>
        <w:left w:val="none" w:sz="0" w:space="0" w:color="auto"/>
        <w:bottom w:val="none" w:sz="0" w:space="0" w:color="auto"/>
        <w:right w:val="none" w:sz="0" w:space="0" w:color="auto"/>
      </w:divBdr>
    </w:div>
    <w:div w:id="2087993385">
      <w:bodyDiv w:val="1"/>
      <w:marLeft w:val="0"/>
      <w:marRight w:val="0"/>
      <w:marTop w:val="0"/>
      <w:marBottom w:val="0"/>
      <w:divBdr>
        <w:top w:val="none" w:sz="0" w:space="0" w:color="auto"/>
        <w:left w:val="none" w:sz="0" w:space="0" w:color="auto"/>
        <w:bottom w:val="none" w:sz="0" w:space="0" w:color="auto"/>
        <w:right w:val="none" w:sz="0" w:space="0" w:color="auto"/>
      </w:divBdr>
      <w:divsChild>
        <w:div w:id="163131326">
          <w:marLeft w:val="547"/>
          <w:marRight w:val="0"/>
          <w:marTop w:val="86"/>
          <w:marBottom w:val="0"/>
          <w:divBdr>
            <w:top w:val="none" w:sz="0" w:space="0" w:color="auto"/>
            <w:left w:val="none" w:sz="0" w:space="0" w:color="auto"/>
            <w:bottom w:val="none" w:sz="0" w:space="0" w:color="auto"/>
            <w:right w:val="none" w:sz="0" w:space="0" w:color="auto"/>
          </w:divBdr>
        </w:div>
        <w:div w:id="2002855411">
          <w:marLeft w:val="547"/>
          <w:marRight w:val="0"/>
          <w:marTop w:val="86"/>
          <w:marBottom w:val="0"/>
          <w:divBdr>
            <w:top w:val="none" w:sz="0" w:space="0" w:color="auto"/>
            <w:left w:val="none" w:sz="0" w:space="0" w:color="auto"/>
            <w:bottom w:val="none" w:sz="0" w:space="0" w:color="auto"/>
            <w:right w:val="none" w:sz="0" w:space="0" w:color="auto"/>
          </w:divBdr>
        </w:div>
      </w:divsChild>
    </w:div>
    <w:div w:id="210456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00B4-1130-4F8C-AC1B-DFAA3E07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1791</Words>
  <Characters>10156</Characters>
  <Application>Microsoft Office Word</Application>
  <DocSecurity>0</DocSecurity>
  <PresentationFormat>Microsoft Word 14.0</PresentationFormat>
  <Lines>151</Lines>
  <Paragraphs>40</Paragraphs>
  <ScaleCrop>false</ScaleCrop>
  <HeadingPairs>
    <vt:vector size="2" baseType="variant">
      <vt:variant>
        <vt:lpstr>Title</vt:lpstr>
      </vt:variant>
      <vt:variant>
        <vt:i4>1</vt:i4>
      </vt:variant>
    </vt:vector>
  </HeadingPairs>
  <TitlesOfParts>
    <vt:vector size="1" baseType="lpstr">
      <vt:lpstr>28082015 Impact Assessment for CCP recovery and resolution proposal</vt:lpstr>
    </vt:vector>
  </TitlesOfParts>
  <Manager/>
  <Company/>
  <LinksUpToDate>false</LinksUpToDate>
  <CharactersWithSpaces>11907</CharactersWithSpaces>
  <SharedDoc>false</SharedDoc>
  <HLinks>
    <vt:vector size="606" baseType="variant">
      <vt:variant>
        <vt:i4>1900559</vt:i4>
      </vt:variant>
      <vt:variant>
        <vt:i4>264</vt:i4>
      </vt:variant>
      <vt:variant>
        <vt:i4>0</vt:i4>
      </vt:variant>
      <vt:variant>
        <vt:i4>5</vt:i4>
      </vt:variant>
      <vt:variant>
        <vt:lpwstr>http://www.bis.org/press/p140901.htm</vt:lpwstr>
      </vt:variant>
      <vt:variant>
        <vt:lpwstr/>
      </vt:variant>
      <vt:variant>
        <vt:i4>1179697</vt:i4>
      </vt:variant>
      <vt:variant>
        <vt:i4>248</vt:i4>
      </vt:variant>
      <vt:variant>
        <vt:i4>0</vt:i4>
      </vt:variant>
      <vt:variant>
        <vt:i4>5</vt:i4>
      </vt:variant>
      <vt:variant>
        <vt:lpwstr/>
      </vt:variant>
      <vt:variant>
        <vt:lpwstr>_Toc412736457</vt:lpwstr>
      </vt:variant>
      <vt:variant>
        <vt:i4>1179697</vt:i4>
      </vt:variant>
      <vt:variant>
        <vt:i4>242</vt:i4>
      </vt:variant>
      <vt:variant>
        <vt:i4>0</vt:i4>
      </vt:variant>
      <vt:variant>
        <vt:i4>5</vt:i4>
      </vt:variant>
      <vt:variant>
        <vt:lpwstr/>
      </vt:variant>
      <vt:variant>
        <vt:lpwstr>_Toc412736456</vt:lpwstr>
      </vt:variant>
      <vt:variant>
        <vt:i4>1179697</vt:i4>
      </vt:variant>
      <vt:variant>
        <vt:i4>236</vt:i4>
      </vt:variant>
      <vt:variant>
        <vt:i4>0</vt:i4>
      </vt:variant>
      <vt:variant>
        <vt:i4>5</vt:i4>
      </vt:variant>
      <vt:variant>
        <vt:lpwstr/>
      </vt:variant>
      <vt:variant>
        <vt:lpwstr>_Toc412736455</vt:lpwstr>
      </vt:variant>
      <vt:variant>
        <vt:i4>1179697</vt:i4>
      </vt:variant>
      <vt:variant>
        <vt:i4>230</vt:i4>
      </vt:variant>
      <vt:variant>
        <vt:i4>0</vt:i4>
      </vt:variant>
      <vt:variant>
        <vt:i4>5</vt:i4>
      </vt:variant>
      <vt:variant>
        <vt:lpwstr/>
      </vt:variant>
      <vt:variant>
        <vt:lpwstr>_Toc412736454</vt:lpwstr>
      </vt:variant>
      <vt:variant>
        <vt:i4>1179697</vt:i4>
      </vt:variant>
      <vt:variant>
        <vt:i4>224</vt:i4>
      </vt:variant>
      <vt:variant>
        <vt:i4>0</vt:i4>
      </vt:variant>
      <vt:variant>
        <vt:i4>5</vt:i4>
      </vt:variant>
      <vt:variant>
        <vt:lpwstr/>
      </vt:variant>
      <vt:variant>
        <vt:lpwstr>_Toc412736453</vt:lpwstr>
      </vt:variant>
      <vt:variant>
        <vt:i4>1179697</vt:i4>
      </vt:variant>
      <vt:variant>
        <vt:i4>218</vt:i4>
      </vt:variant>
      <vt:variant>
        <vt:i4>0</vt:i4>
      </vt:variant>
      <vt:variant>
        <vt:i4>5</vt:i4>
      </vt:variant>
      <vt:variant>
        <vt:lpwstr/>
      </vt:variant>
      <vt:variant>
        <vt:lpwstr>_Toc412736452</vt:lpwstr>
      </vt:variant>
      <vt:variant>
        <vt:i4>1179697</vt:i4>
      </vt:variant>
      <vt:variant>
        <vt:i4>212</vt:i4>
      </vt:variant>
      <vt:variant>
        <vt:i4>0</vt:i4>
      </vt:variant>
      <vt:variant>
        <vt:i4>5</vt:i4>
      </vt:variant>
      <vt:variant>
        <vt:lpwstr/>
      </vt:variant>
      <vt:variant>
        <vt:lpwstr>_Toc412736451</vt:lpwstr>
      </vt:variant>
      <vt:variant>
        <vt:i4>1179697</vt:i4>
      </vt:variant>
      <vt:variant>
        <vt:i4>206</vt:i4>
      </vt:variant>
      <vt:variant>
        <vt:i4>0</vt:i4>
      </vt:variant>
      <vt:variant>
        <vt:i4>5</vt:i4>
      </vt:variant>
      <vt:variant>
        <vt:lpwstr/>
      </vt:variant>
      <vt:variant>
        <vt:lpwstr>_Toc412736450</vt:lpwstr>
      </vt:variant>
      <vt:variant>
        <vt:i4>1245233</vt:i4>
      </vt:variant>
      <vt:variant>
        <vt:i4>200</vt:i4>
      </vt:variant>
      <vt:variant>
        <vt:i4>0</vt:i4>
      </vt:variant>
      <vt:variant>
        <vt:i4>5</vt:i4>
      </vt:variant>
      <vt:variant>
        <vt:lpwstr/>
      </vt:variant>
      <vt:variant>
        <vt:lpwstr>_Toc412736449</vt:lpwstr>
      </vt:variant>
      <vt:variant>
        <vt:i4>1245233</vt:i4>
      </vt:variant>
      <vt:variant>
        <vt:i4>194</vt:i4>
      </vt:variant>
      <vt:variant>
        <vt:i4>0</vt:i4>
      </vt:variant>
      <vt:variant>
        <vt:i4>5</vt:i4>
      </vt:variant>
      <vt:variant>
        <vt:lpwstr/>
      </vt:variant>
      <vt:variant>
        <vt:lpwstr>_Toc412736448</vt:lpwstr>
      </vt:variant>
      <vt:variant>
        <vt:i4>1245233</vt:i4>
      </vt:variant>
      <vt:variant>
        <vt:i4>188</vt:i4>
      </vt:variant>
      <vt:variant>
        <vt:i4>0</vt:i4>
      </vt:variant>
      <vt:variant>
        <vt:i4>5</vt:i4>
      </vt:variant>
      <vt:variant>
        <vt:lpwstr/>
      </vt:variant>
      <vt:variant>
        <vt:lpwstr>_Toc412736447</vt:lpwstr>
      </vt:variant>
      <vt:variant>
        <vt:i4>1245233</vt:i4>
      </vt:variant>
      <vt:variant>
        <vt:i4>182</vt:i4>
      </vt:variant>
      <vt:variant>
        <vt:i4>0</vt:i4>
      </vt:variant>
      <vt:variant>
        <vt:i4>5</vt:i4>
      </vt:variant>
      <vt:variant>
        <vt:lpwstr/>
      </vt:variant>
      <vt:variant>
        <vt:lpwstr>_Toc412736446</vt:lpwstr>
      </vt:variant>
      <vt:variant>
        <vt:i4>1245233</vt:i4>
      </vt:variant>
      <vt:variant>
        <vt:i4>176</vt:i4>
      </vt:variant>
      <vt:variant>
        <vt:i4>0</vt:i4>
      </vt:variant>
      <vt:variant>
        <vt:i4>5</vt:i4>
      </vt:variant>
      <vt:variant>
        <vt:lpwstr/>
      </vt:variant>
      <vt:variant>
        <vt:lpwstr>_Toc412736445</vt:lpwstr>
      </vt:variant>
      <vt:variant>
        <vt:i4>1245233</vt:i4>
      </vt:variant>
      <vt:variant>
        <vt:i4>170</vt:i4>
      </vt:variant>
      <vt:variant>
        <vt:i4>0</vt:i4>
      </vt:variant>
      <vt:variant>
        <vt:i4>5</vt:i4>
      </vt:variant>
      <vt:variant>
        <vt:lpwstr/>
      </vt:variant>
      <vt:variant>
        <vt:lpwstr>_Toc412736444</vt:lpwstr>
      </vt:variant>
      <vt:variant>
        <vt:i4>1245233</vt:i4>
      </vt:variant>
      <vt:variant>
        <vt:i4>164</vt:i4>
      </vt:variant>
      <vt:variant>
        <vt:i4>0</vt:i4>
      </vt:variant>
      <vt:variant>
        <vt:i4>5</vt:i4>
      </vt:variant>
      <vt:variant>
        <vt:lpwstr/>
      </vt:variant>
      <vt:variant>
        <vt:lpwstr>_Toc412736443</vt:lpwstr>
      </vt:variant>
      <vt:variant>
        <vt:i4>1245233</vt:i4>
      </vt:variant>
      <vt:variant>
        <vt:i4>158</vt:i4>
      </vt:variant>
      <vt:variant>
        <vt:i4>0</vt:i4>
      </vt:variant>
      <vt:variant>
        <vt:i4>5</vt:i4>
      </vt:variant>
      <vt:variant>
        <vt:lpwstr/>
      </vt:variant>
      <vt:variant>
        <vt:lpwstr>_Toc412736442</vt:lpwstr>
      </vt:variant>
      <vt:variant>
        <vt:i4>1245233</vt:i4>
      </vt:variant>
      <vt:variant>
        <vt:i4>152</vt:i4>
      </vt:variant>
      <vt:variant>
        <vt:i4>0</vt:i4>
      </vt:variant>
      <vt:variant>
        <vt:i4>5</vt:i4>
      </vt:variant>
      <vt:variant>
        <vt:lpwstr/>
      </vt:variant>
      <vt:variant>
        <vt:lpwstr>_Toc412736441</vt:lpwstr>
      </vt:variant>
      <vt:variant>
        <vt:i4>1245233</vt:i4>
      </vt:variant>
      <vt:variant>
        <vt:i4>146</vt:i4>
      </vt:variant>
      <vt:variant>
        <vt:i4>0</vt:i4>
      </vt:variant>
      <vt:variant>
        <vt:i4>5</vt:i4>
      </vt:variant>
      <vt:variant>
        <vt:lpwstr/>
      </vt:variant>
      <vt:variant>
        <vt:lpwstr>_Toc412736440</vt:lpwstr>
      </vt:variant>
      <vt:variant>
        <vt:i4>1310769</vt:i4>
      </vt:variant>
      <vt:variant>
        <vt:i4>140</vt:i4>
      </vt:variant>
      <vt:variant>
        <vt:i4>0</vt:i4>
      </vt:variant>
      <vt:variant>
        <vt:i4>5</vt:i4>
      </vt:variant>
      <vt:variant>
        <vt:lpwstr/>
      </vt:variant>
      <vt:variant>
        <vt:lpwstr>_Toc412736439</vt:lpwstr>
      </vt:variant>
      <vt:variant>
        <vt:i4>1310769</vt:i4>
      </vt:variant>
      <vt:variant>
        <vt:i4>134</vt:i4>
      </vt:variant>
      <vt:variant>
        <vt:i4>0</vt:i4>
      </vt:variant>
      <vt:variant>
        <vt:i4>5</vt:i4>
      </vt:variant>
      <vt:variant>
        <vt:lpwstr/>
      </vt:variant>
      <vt:variant>
        <vt:lpwstr>_Toc412736438</vt:lpwstr>
      </vt:variant>
      <vt:variant>
        <vt:i4>1310769</vt:i4>
      </vt:variant>
      <vt:variant>
        <vt:i4>128</vt:i4>
      </vt:variant>
      <vt:variant>
        <vt:i4>0</vt:i4>
      </vt:variant>
      <vt:variant>
        <vt:i4>5</vt:i4>
      </vt:variant>
      <vt:variant>
        <vt:lpwstr/>
      </vt:variant>
      <vt:variant>
        <vt:lpwstr>_Toc412736437</vt:lpwstr>
      </vt:variant>
      <vt:variant>
        <vt:i4>1310769</vt:i4>
      </vt:variant>
      <vt:variant>
        <vt:i4>122</vt:i4>
      </vt:variant>
      <vt:variant>
        <vt:i4>0</vt:i4>
      </vt:variant>
      <vt:variant>
        <vt:i4>5</vt:i4>
      </vt:variant>
      <vt:variant>
        <vt:lpwstr/>
      </vt:variant>
      <vt:variant>
        <vt:lpwstr>_Toc412736435</vt:lpwstr>
      </vt:variant>
      <vt:variant>
        <vt:i4>1310769</vt:i4>
      </vt:variant>
      <vt:variant>
        <vt:i4>116</vt:i4>
      </vt:variant>
      <vt:variant>
        <vt:i4>0</vt:i4>
      </vt:variant>
      <vt:variant>
        <vt:i4>5</vt:i4>
      </vt:variant>
      <vt:variant>
        <vt:lpwstr/>
      </vt:variant>
      <vt:variant>
        <vt:lpwstr>_Toc412736434</vt:lpwstr>
      </vt:variant>
      <vt:variant>
        <vt:i4>1310769</vt:i4>
      </vt:variant>
      <vt:variant>
        <vt:i4>110</vt:i4>
      </vt:variant>
      <vt:variant>
        <vt:i4>0</vt:i4>
      </vt:variant>
      <vt:variant>
        <vt:i4>5</vt:i4>
      </vt:variant>
      <vt:variant>
        <vt:lpwstr/>
      </vt:variant>
      <vt:variant>
        <vt:lpwstr>_Toc412736433</vt:lpwstr>
      </vt:variant>
      <vt:variant>
        <vt:i4>1310769</vt:i4>
      </vt:variant>
      <vt:variant>
        <vt:i4>104</vt:i4>
      </vt:variant>
      <vt:variant>
        <vt:i4>0</vt:i4>
      </vt:variant>
      <vt:variant>
        <vt:i4>5</vt:i4>
      </vt:variant>
      <vt:variant>
        <vt:lpwstr/>
      </vt:variant>
      <vt:variant>
        <vt:lpwstr>_Toc412736432</vt:lpwstr>
      </vt:variant>
      <vt:variant>
        <vt:i4>1310769</vt:i4>
      </vt:variant>
      <vt:variant>
        <vt:i4>98</vt:i4>
      </vt:variant>
      <vt:variant>
        <vt:i4>0</vt:i4>
      </vt:variant>
      <vt:variant>
        <vt:i4>5</vt:i4>
      </vt:variant>
      <vt:variant>
        <vt:lpwstr/>
      </vt:variant>
      <vt:variant>
        <vt:lpwstr>_Toc412736431</vt:lpwstr>
      </vt:variant>
      <vt:variant>
        <vt:i4>1310769</vt:i4>
      </vt:variant>
      <vt:variant>
        <vt:i4>92</vt:i4>
      </vt:variant>
      <vt:variant>
        <vt:i4>0</vt:i4>
      </vt:variant>
      <vt:variant>
        <vt:i4>5</vt:i4>
      </vt:variant>
      <vt:variant>
        <vt:lpwstr/>
      </vt:variant>
      <vt:variant>
        <vt:lpwstr>_Toc412736430</vt:lpwstr>
      </vt:variant>
      <vt:variant>
        <vt:i4>1376305</vt:i4>
      </vt:variant>
      <vt:variant>
        <vt:i4>86</vt:i4>
      </vt:variant>
      <vt:variant>
        <vt:i4>0</vt:i4>
      </vt:variant>
      <vt:variant>
        <vt:i4>5</vt:i4>
      </vt:variant>
      <vt:variant>
        <vt:lpwstr/>
      </vt:variant>
      <vt:variant>
        <vt:lpwstr>_Toc412736429</vt:lpwstr>
      </vt:variant>
      <vt:variant>
        <vt:i4>1376305</vt:i4>
      </vt:variant>
      <vt:variant>
        <vt:i4>80</vt:i4>
      </vt:variant>
      <vt:variant>
        <vt:i4>0</vt:i4>
      </vt:variant>
      <vt:variant>
        <vt:i4>5</vt:i4>
      </vt:variant>
      <vt:variant>
        <vt:lpwstr/>
      </vt:variant>
      <vt:variant>
        <vt:lpwstr>_Toc412736425</vt:lpwstr>
      </vt:variant>
      <vt:variant>
        <vt:i4>1376305</vt:i4>
      </vt:variant>
      <vt:variant>
        <vt:i4>74</vt:i4>
      </vt:variant>
      <vt:variant>
        <vt:i4>0</vt:i4>
      </vt:variant>
      <vt:variant>
        <vt:i4>5</vt:i4>
      </vt:variant>
      <vt:variant>
        <vt:lpwstr/>
      </vt:variant>
      <vt:variant>
        <vt:lpwstr>_Toc412736424</vt:lpwstr>
      </vt:variant>
      <vt:variant>
        <vt:i4>1376305</vt:i4>
      </vt:variant>
      <vt:variant>
        <vt:i4>68</vt:i4>
      </vt:variant>
      <vt:variant>
        <vt:i4>0</vt:i4>
      </vt:variant>
      <vt:variant>
        <vt:i4>5</vt:i4>
      </vt:variant>
      <vt:variant>
        <vt:lpwstr/>
      </vt:variant>
      <vt:variant>
        <vt:lpwstr>_Toc412736423</vt:lpwstr>
      </vt:variant>
      <vt:variant>
        <vt:i4>1376305</vt:i4>
      </vt:variant>
      <vt:variant>
        <vt:i4>62</vt:i4>
      </vt:variant>
      <vt:variant>
        <vt:i4>0</vt:i4>
      </vt:variant>
      <vt:variant>
        <vt:i4>5</vt:i4>
      </vt:variant>
      <vt:variant>
        <vt:lpwstr/>
      </vt:variant>
      <vt:variant>
        <vt:lpwstr>_Toc412736422</vt:lpwstr>
      </vt:variant>
      <vt:variant>
        <vt:i4>1376305</vt:i4>
      </vt:variant>
      <vt:variant>
        <vt:i4>56</vt:i4>
      </vt:variant>
      <vt:variant>
        <vt:i4>0</vt:i4>
      </vt:variant>
      <vt:variant>
        <vt:i4>5</vt:i4>
      </vt:variant>
      <vt:variant>
        <vt:lpwstr/>
      </vt:variant>
      <vt:variant>
        <vt:lpwstr>_Toc412736421</vt:lpwstr>
      </vt:variant>
      <vt:variant>
        <vt:i4>1376305</vt:i4>
      </vt:variant>
      <vt:variant>
        <vt:i4>50</vt:i4>
      </vt:variant>
      <vt:variant>
        <vt:i4>0</vt:i4>
      </vt:variant>
      <vt:variant>
        <vt:i4>5</vt:i4>
      </vt:variant>
      <vt:variant>
        <vt:lpwstr/>
      </vt:variant>
      <vt:variant>
        <vt:lpwstr>_Toc412736420</vt:lpwstr>
      </vt:variant>
      <vt:variant>
        <vt:i4>1441841</vt:i4>
      </vt:variant>
      <vt:variant>
        <vt:i4>44</vt:i4>
      </vt:variant>
      <vt:variant>
        <vt:i4>0</vt:i4>
      </vt:variant>
      <vt:variant>
        <vt:i4>5</vt:i4>
      </vt:variant>
      <vt:variant>
        <vt:lpwstr/>
      </vt:variant>
      <vt:variant>
        <vt:lpwstr>_Toc412736418</vt:lpwstr>
      </vt:variant>
      <vt:variant>
        <vt:i4>1441841</vt:i4>
      </vt:variant>
      <vt:variant>
        <vt:i4>38</vt:i4>
      </vt:variant>
      <vt:variant>
        <vt:i4>0</vt:i4>
      </vt:variant>
      <vt:variant>
        <vt:i4>5</vt:i4>
      </vt:variant>
      <vt:variant>
        <vt:lpwstr/>
      </vt:variant>
      <vt:variant>
        <vt:lpwstr>_Toc412736417</vt:lpwstr>
      </vt:variant>
      <vt:variant>
        <vt:i4>1441841</vt:i4>
      </vt:variant>
      <vt:variant>
        <vt:i4>32</vt:i4>
      </vt:variant>
      <vt:variant>
        <vt:i4>0</vt:i4>
      </vt:variant>
      <vt:variant>
        <vt:i4>5</vt:i4>
      </vt:variant>
      <vt:variant>
        <vt:lpwstr/>
      </vt:variant>
      <vt:variant>
        <vt:lpwstr>_Toc412736416</vt:lpwstr>
      </vt:variant>
      <vt:variant>
        <vt:i4>1441841</vt:i4>
      </vt:variant>
      <vt:variant>
        <vt:i4>26</vt:i4>
      </vt:variant>
      <vt:variant>
        <vt:i4>0</vt:i4>
      </vt:variant>
      <vt:variant>
        <vt:i4>5</vt:i4>
      </vt:variant>
      <vt:variant>
        <vt:lpwstr/>
      </vt:variant>
      <vt:variant>
        <vt:lpwstr>_Toc412736415</vt:lpwstr>
      </vt:variant>
      <vt:variant>
        <vt:i4>1441841</vt:i4>
      </vt:variant>
      <vt:variant>
        <vt:i4>20</vt:i4>
      </vt:variant>
      <vt:variant>
        <vt:i4>0</vt:i4>
      </vt:variant>
      <vt:variant>
        <vt:i4>5</vt:i4>
      </vt:variant>
      <vt:variant>
        <vt:lpwstr/>
      </vt:variant>
      <vt:variant>
        <vt:lpwstr>_Toc412736414</vt:lpwstr>
      </vt:variant>
      <vt:variant>
        <vt:i4>1441841</vt:i4>
      </vt:variant>
      <vt:variant>
        <vt:i4>14</vt:i4>
      </vt:variant>
      <vt:variant>
        <vt:i4>0</vt:i4>
      </vt:variant>
      <vt:variant>
        <vt:i4>5</vt:i4>
      </vt:variant>
      <vt:variant>
        <vt:lpwstr/>
      </vt:variant>
      <vt:variant>
        <vt:lpwstr>_Toc412736412</vt:lpwstr>
      </vt:variant>
      <vt:variant>
        <vt:i4>1441841</vt:i4>
      </vt:variant>
      <vt:variant>
        <vt:i4>8</vt:i4>
      </vt:variant>
      <vt:variant>
        <vt:i4>0</vt:i4>
      </vt:variant>
      <vt:variant>
        <vt:i4>5</vt:i4>
      </vt:variant>
      <vt:variant>
        <vt:lpwstr/>
      </vt:variant>
      <vt:variant>
        <vt:lpwstr>_Toc412736411</vt:lpwstr>
      </vt:variant>
      <vt:variant>
        <vt:i4>1441841</vt:i4>
      </vt:variant>
      <vt:variant>
        <vt:i4>2</vt:i4>
      </vt:variant>
      <vt:variant>
        <vt:i4>0</vt:i4>
      </vt:variant>
      <vt:variant>
        <vt:i4>5</vt:i4>
      </vt:variant>
      <vt:variant>
        <vt:lpwstr/>
      </vt:variant>
      <vt:variant>
        <vt:lpwstr>_Toc412736410</vt:lpwstr>
      </vt:variant>
      <vt:variant>
        <vt:i4>8061028</vt:i4>
      </vt:variant>
      <vt:variant>
        <vt:i4>195</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524318</vt:i4>
      </vt:variant>
      <vt:variant>
        <vt:i4>192</vt:i4>
      </vt:variant>
      <vt:variant>
        <vt:i4>0</vt:i4>
      </vt:variant>
      <vt:variant>
        <vt:i4>5</vt:i4>
      </vt:variant>
      <vt:variant>
        <vt:lpwstr>http://ec.europa.eu/internal_market/consultations/2012/nonbanks_en.htm</vt:lpwstr>
      </vt:variant>
      <vt:variant>
        <vt:lpwstr/>
      </vt:variant>
      <vt:variant>
        <vt:i4>5111819</vt:i4>
      </vt:variant>
      <vt:variant>
        <vt:i4>189</vt:i4>
      </vt:variant>
      <vt:variant>
        <vt:i4>0</vt:i4>
      </vt:variant>
      <vt:variant>
        <vt:i4>5</vt:i4>
      </vt:variant>
      <vt:variant>
        <vt:lpwstr>http://www2.isda.org/attachment/NTc5Nw==/CCP_loss_allocation_waterfall_0807.pdf</vt:lpwstr>
      </vt:variant>
      <vt:variant>
        <vt:lpwstr/>
      </vt:variant>
      <vt:variant>
        <vt:i4>5111819</vt:i4>
      </vt:variant>
      <vt:variant>
        <vt:i4>186</vt:i4>
      </vt:variant>
      <vt:variant>
        <vt:i4>0</vt:i4>
      </vt:variant>
      <vt:variant>
        <vt:i4>5</vt:i4>
      </vt:variant>
      <vt:variant>
        <vt:lpwstr>http://www2.isda.org/attachment/NTc5Nw==/CCP_loss_allocation_waterfall_0807.pdf</vt:lpwstr>
      </vt:variant>
      <vt:variant>
        <vt:lpwstr/>
      </vt:variant>
      <vt:variant>
        <vt:i4>4587545</vt:i4>
      </vt:variant>
      <vt:variant>
        <vt:i4>183</vt:i4>
      </vt:variant>
      <vt:variant>
        <vt:i4>0</vt:i4>
      </vt:variant>
      <vt:variant>
        <vt:i4>5</vt:i4>
      </vt:variant>
      <vt:variant>
        <vt:lpwstr>http://www.financialstabilityboard.org/publications/c_131025_1.htm</vt:lpwstr>
      </vt:variant>
      <vt:variant>
        <vt:lpwstr/>
      </vt:variant>
      <vt:variant>
        <vt:i4>4653075</vt:i4>
      </vt:variant>
      <vt:variant>
        <vt:i4>180</vt:i4>
      </vt:variant>
      <vt:variant>
        <vt:i4>0</vt:i4>
      </vt:variant>
      <vt:variant>
        <vt:i4>5</vt:i4>
      </vt:variant>
      <vt:variant>
        <vt:lpwstr>http://www.imf.org/external/pubs/ft/gfsr/2010/01/</vt:lpwstr>
      </vt:variant>
      <vt:variant>
        <vt:lpwstr/>
      </vt:variant>
      <vt:variant>
        <vt:i4>327800</vt:i4>
      </vt:variant>
      <vt:variant>
        <vt:i4>177</vt:i4>
      </vt:variant>
      <vt:variant>
        <vt:i4>0</vt:i4>
      </vt:variant>
      <vt:variant>
        <vt:i4>5</vt:i4>
      </vt:variant>
      <vt:variant>
        <vt:lpwstr>http://www.bankofengland.co.uk/publications/Pages/fsr/fs_paper19.aspx</vt:lpwstr>
      </vt:variant>
      <vt:variant>
        <vt:lpwstr/>
      </vt:variant>
      <vt:variant>
        <vt:i4>1835009</vt:i4>
      </vt:variant>
      <vt:variant>
        <vt:i4>174</vt:i4>
      </vt:variant>
      <vt:variant>
        <vt:i4>0</vt:i4>
      </vt:variant>
      <vt:variant>
        <vt:i4>5</vt:i4>
      </vt:variant>
      <vt:variant>
        <vt:lpwstr>http://ec.europa.eu/internal_market/securities/isd/mifid2/index_en.htm</vt:lpwstr>
      </vt:variant>
      <vt:variant>
        <vt:lpwstr/>
      </vt:variant>
      <vt:variant>
        <vt:i4>3997759</vt:i4>
      </vt:variant>
      <vt:variant>
        <vt:i4>171</vt:i4>
      </vt:variant>
      <vt:variant>
        <vt:i4>0</vt:i4>
      </vt:variant>
      <vt:variant>
        <vt:i4>5</vt:i4>
      </vt:variant>
      <vt:variant>
        <vt:lpwstr>http://ec.europa.eu/internal_market/finances/docs/general/20140515-erfra-working-document_en.pdf</vt:lpwstr>
      </vt:variant>
      <vt:variant>
        <vt:lpwstr/>
      </vt:variant>
      <vt:variant>
        <vt:i4>7078014</vt:i4>
      </vt:variant>
      <vt:variant>
        <vt:i4>168</vt:i4>
      </vt:variant>
      <vt:variant>
        <vt:i4>0</vt:i4>
      </vt:variant>
      <vt:variant>
        <vt:i4>5</vt:i4>
      </vt:variant>
      <vt:variant>
        <vt:lpwstr>http://www.ecb.europa.eu/press/key/date/2014/html/sp140917.en.html</vt:lpwstr>
      </vt:variant>
      <vt:variant>
        <vt:lpwstr/>
      </vt:variant>
      <vt:variant>
        <vt:i4>4063268</vt:i4>
      </vt:variant>
      <vt:variant>
        <vt:i4>165</vt:i4>
      </vt:variant>
      <vt:variant>
        <vt:i4>0</vt:i4>
      </vt:variant>
      <vt:variant>
        <vt:i4>5</vt:i4>
      </vt:variant>
      <vt:variant>
        <vt:lpwstr>http://www.bankofengland.co.uk/publications/Documents/fsr/2013/fsrfull1306.pdf</vt:lpwstr>
      </vt:variant>
      <vt:variant>
        <vt:lpwstr/>
      </vt:variant>
      <vt:variant>
        <vt:i4>7995489</vt:i4>
      </vt:variant>
      <vt:variant>
        <vt:i4>162</vt:i4>
      </vt:variant>
      <vt:variant>
        <vt:i4>0</vt:i4>
      </vt:variant>
      <vt:variant>
        <vt:i4>5</vt:i4>
      </vt:variant>
      <vt:variant>
        <vt:lpwstr>http://www2.isda.org/functional-areas/research/studies/</vt:lpwstr>
      </vt:variant>
      <vt:variant>
        <vt:lpwstr/>
      </vt:variant>
      <vt:variant>
        <vt:i4>4587605</vt:i4>
      </vt:variant>
      <vt:variant>
        <vt:i4>159</vt:i4>
      </vt:variant>
      <vt:variant>
        <vt:i4>0</vt:i4>
      </vt:variant>
      <vt:variant>
        <vt:i4>5</vt:i4>
      </vt:variant>
      <vt:variant>
        <vt:lpwstr>http://www.bis.org/statistics/dt1920a.pdf</vt:lpwstr>
      </vt:variant>
      <vt:variant>
        <vt:lpwstr/>
      </vt:variant>
      <vt:variant>
        <vt:i4>3276901</vt:i4>
      </vt:variant>
      <vt:variant>
        <vt:i4>156</vt:i4>
      </vt:variant>
      <vt:variant>
        <vt:i4>0</vt:i4>
      </vt:variant>
      <vt:variant>
        <vt:i4>5</vt:i4>
      </vt:variant>
      <vt:variant>
        <vt:lpwstr>http://www.bis.org/</vt:lpwstr>
      </vt:variant>
      <vt:variant>
        <vt:lpwstr/>
      </vt:variant>
      <vt:variant>
        <vt:i4>7602285</vt:i4>
      </vt:variant>
      <vt:variant>
        <vt:i4>153</vt:i4>
      </vt:variant>
      <vt:variant>
        <vt:i4>0</vt:i4>
      </vt:variant>
      <vt:variant>
        <vt:i4>5</vt:i4>
      </vt:variant>
      <vt:variant>
        <vt:lpwstr>http://www.treasury.gov/initiatives/Documents/Finalruledisclaimer7-18-2011.pdf</vt:lpwstr>
      </vt:variant>
      <vt:variant>
        <vt:lpwstr/>
      </vt:variant>
      <vt:variant>
        <vt:i4>7995495</vt:i4>
      </vt:variant>
      <vt:variant>
        <vt:i4>150</vt:i4>
      </vt:variant>
      <vt:variant>
        <vt:i4>0</vt:i4>
      </vt:variant>
      <vt:variant>
        <vt:i4>5</vt:i4>
      </vt:variant>
      <vt:variant>
        <vt:lpwstr>http://www.federalreserve.gov/newsevents/press/bcreg/bcreg20130403a.pdf</vt:lpwstr>
      </vt:variant>
      <vt:variant>
        <vt:lpwstr/>
      </vt:variant>
      <vt:variant>
        <vt:i4>852062</vt:i4>
      </vt:variant>
      <vt:variant>
        <vt:i4>147</vt:i4>
      </vt:variant>
      <vt:variant>
        <vt:i4>0</vt:i4>
      </vt:variant>
      <vt:variant>
        <vt:i4>5</vt:i4>
      </vt:variant>
      <vt:variant>
        <vt:lpwstr>http://www.treasury.gov/initiatives/fsoc/Documents/Nonbank Designations - Final Rule and Guidance.pdf</vt:lpwstr>
      </vt:variant>
      <vt:variant>
        <vt:lpwstr/>
      </vt:variant>
      <vt:variant>
        <vt:i4>6619169</vt:i4>
      </vt:variant>
      <vt:variant>
        <vt:i4>123</vt:i4>
      </vt:variant>
      <vt:variant>
        <vt:i4>0</vt:i4>
      </vt:variant>
      <vt:variant>
        <vt:i4>5</vt:i4>
      </vt:variant>
      <vt:variant>
        <vt:lpwstr>http://www.bis.org/publ/bcbs200.pdf</vt:lpwstr>
      </vt:variant>
      <vt:variant>
        <vt:lpwstr/>
      </vt:variant>
      <vt:variant>
        <vt:i4>3670046</vt:i4>
      </vt:variant>
      <vt:variant>
        <vt:i4>120</vt:i4>
      </vt:variant>
      <vt:variant>
        <vt:i4>0</vt:i4>
      </vt:variant>
      <vt:variant>
        <vt:i4>5</vt:i4>
      </vt:variant>
      <vt:variant>
        <vt:lpwstr>http://www.financialstabilityboard.org/publications/r_130411a.pdf</vt:lpwstr>
      </vt:variant>
      <vt:variant>
        <vt:lpwstr/>
      </vt:variant>
      <vt:variant>
        <vt:i4>4915209</vt:i4>
      </vt:variant>
      <vt:variant>
        <vt:i4>117</vt:i4>
      </vt:variant>
      <vt:variant>
        <vt:i4>0</vt:i4>
      </vt:variant>
      <vt:variant>
        <vt:i4>5</vt:i4>
      </vt:variant>
      <vt:variant>
        <vt:lpwstr>http://www.bis.org/publ/cpss101a.pdf</vt:lpwstr>
      </vt:variant>
      <vt:variant>
        <vt:lpwstr/>
      </vt:variant>
      <vt:variant>
        <vt:i4>7078015</vt:i4>
      </vt:variant>
      <vt:variant>
        <vt:i4>114</vt:i4>
      </vt:variant>
      <vt:variant>
        <vt:i4>0</vt:i4>
      </vt:variant>
      <vt:variant>
        <vt:i4>5</vt:i4>
      </vt:variant>
      <vt:variant>
        <vt:lpwstr>http://www.financialstabilityboard.org/wp-content/uploads/FSB-Chair-letter-to-G20-February-2015.pdf</vt:lpwstr>
      </vt:variant>
      <vt:variant>
        <vt:lpwstr/>
      </vt:variant>
      <vt:variant>
        <vt:i4>1704015</vt:i4>
      </vt:variant>
      <vt:variant>
        <vt:i4>111</vt:i4>
      </vt:variant>
      <vt:variant>
        <vt:i4>0</vt:i4>
      </vt:variant>
      <vt:variant>
        <vt:i4>5</vt:i4>
      </vt:variant>
      <vt:variant>
        <vt:lpwstr>http://www.cmegroup.com/education/files/balancing-ccp-and-member-contributions-with-exposures.pdf</vt:lpwstr>
      </vt:variant>
      <vt:variant>
        <vt:lpwstr/>
      </vt:variant>
      <vt:variant>
        <vt:i4>2686999</vt:i4>
      </vt:variant>
      <vt:variant>
        <vt:i4>108</vt:i4>
      </vt:variant>
      <vt:variant>
        <vt:i4>0</vt:i4>
      </vt:variant>
      <vt:variant>
        <vt:i4>5</vt:i4>
      </vt:variant>
      <vt:variant>
        <vt:lpwstr>http://secure-area.lchclearnet.com/images/CCP_Risk_Management_Recovery_-_Resolution.pdf</vt:lpwstr>
      </vt:variant>
      <vt:variant>
        <vt:lpwstr/>
      </vt:variant>
      <vt:variant>
        <vt:i4>2359338</vt:i4>
      </vt:variant>
      <vt:variant>
        <vt:i4>105</vt:i4>
      </vt:variant>
      <vt:variant>
        <vt:i4>0</vt:i4>
      </vt:variant>
      <vt:variant>
        <vt:i4>5</vt:i4>
      </vt:variant>
      <vt:variant>
        <vt:lpwstr>http://www.financialstabilityboard.org/wp-content/uploads/TLAC-Condoc-6-Nov-2014-FINAL.pdf</vt:lpwstr>
      </vt:variant>
      <vt:variant>
        <vt:lpwstr/>
      </vt:variant>
      <vt:variant>
        <vt:i4>1441822</vt:i4>
      </vt:variant>
      <vt:variant>
        <vt:i4>102</vt:i4>
      </vt:variant>
      <vt:variant>
        <vt:i4>0</vt:i4>
      </vt:variant>
      <vt:variant>
        <vt:i4>5</vt:i4>
      </vt:variant>
      <vt:variant>
        <vt:lpwstr>http://www.bis.org/cpmi/publ/d121.pdf</vt:lpwstr>
      </vt:variant>
      <vt:variant>
        <vt:lpwstr/>
      </vt:variant>
      <vt:variant>
        <vt:i4>327729</vt:i4>
      </vt:variant>
      <vt:variant>
        <vt:i4>99</vt:i4>
      </vt:variant>
      <vt:variant>
        <vt:i4>0</vt:i4>
      </vt:variant>
      <vt:variant>
        <vt:i4>5</vt:i4>
      </vt:variant>
      <vt:variant>
        <vt:lpwstr>http://www.financialstabilityboard.org/wp-content/uploads/r_141015.pdf</vt:lpwstr>
      </vt:variant>
      <vt:variant>
        <vt:lpwstr/>
      </vt:variant>
      <vt:variant>
        <vt:i4>4915209</vt:i4>
      </vt:variant>
      <vt:variant>
        <vt:i4>96</vt:i4>
      </vt:variant>
      <vt:variant>
        <vt:i4>0</vt:i4>
      </vt:variant>
      <vt:variant>
        <vt:i4>5</vt:i4>
      </vt:variant>
      <vt:variant>
        <vt:lpwstr>http://www.bis.org/publ/cpss101a.pdf</vt:lpwstr>
      </vt:variant>
      <vt:variant>
        <vt:lpwstr/>
      </vt:variant>
      <vt:variant>
        <vt:i4>5111899</vt:i4>
      </vt:variant>
      <vt:variant>
        <vt:i4>93</vt:i4>
      </vt:variant>
      <vt:variant>
        <vt:i4>0</vt:i4>
      </vt:variant>
      <vt:variant>
        <vt:i4>5</vt:i4>
      </vt:variant>
      <vt:variant>
        <vt:lpwstr>https://www.eba.europa.eu/documents/10180/751477/EBA-CP-2014-16++%28CP+on+draft+RTS+on+Content+Res++Plans+and+Assessment+of+Resolvability%29.docx.pdf</vt:lpwstr>
      </vt:variant>
      <vt:variant>
        <vt:lpwstr/>
      </vt:variant>
      <vt:variant>
        <vt:i4>3997759</vt:i4>
      </vt:variant>
      <vt:variant>
        <vt:i4>90</vt:i4>
      </vt:variant>
      <vt:variant>
        <vt:i4>0</vt:i4>
      </vt:variant>
      <vt:variant>
        <vt:i4>5</vt:i4>
      </vt:variant>
      <vt:variant>
        <vt:lpwstr>http://ec.europa.eu/internal_market/finances/docs/general/20140515-erfra-working-document_en.pdf</vt:lpwstr>
      </vt:variant>
      <vt:variant>
        <vt:lpwstr/>
      </vt:variant>
      <vt:variant>
        <vt:i4>6225953</vt:i4>
      </vt:variant>
      <vt:variant>
        <vt:i4>84</vt:i4>
      </vt:variant>
      <vt:variant>
        <vt:i4>0</vt:i4>
      </vt:variant>
      <vt:variant>
        <vt:i4>5</vt:i4>
      </vt:variant>
      <vt:variant>
        <vt:lpwstr>http://www.ecb.europa.eu/press/key/date/2014/html/sp140519_1.en.html</vt:lpwstr>
      </vt:variant>
      <vt:variant>
        <vt:lpwstr/>
      </vt:variant>
      <vt:variant>
        <vt:i4>7995433</vt:i4>
      </vt:variant>
      <vt:variant>
        <vt:i4>81</vt:i4>
      </vt:variant>
      <vt:variant>
        <vt:i4>0</vt:i4>
      </vt:variant>
      <vt:variant>
        <vt:i4>5</vt:i4>
      </vt:variant>
      <vt:variant>
        <vt:lpwstr>http://www.bankofengland.co.uk/publications/Documents/fmi/fmiap1403.pdf</vt:lpwstr>
      </vt:variant>
      <vt:variant>
        <vt:lpwstr/>
      </vt:variant>
      <vt:variant>
        <vt:i4>2687085</vt:i4>
      </vt:variant>
      <vt:variant>
        <vt:i4>78</vt:i4>
      </vt:variant>
      <vt:variant>
        <vt:i4>0</vt:i4>
      </vt:variant>
      <vt:variant>
        <vt:i4>5</vt:i4>
      </vt:variant>
      <vt:variant>
        <vt:lpwstr>http://www.bankofengland.co.uk/financialstability/Documents/fmi/fmisupervision.pdf</vt:lpwstr>
      </vt:variant>
      <vt:variant>
        <vt:lpwstr/>
      </vt:variant>
      <vt:variant>
        <vt:i4>7471145</vt:i4>
      </vt:variant>
      <vt:variant>
        <vt:i4>75</vt:i4>
      </vt:variant>
      <vt:variant>
        <vt:i4>0</vt:i4>
      </vt:variant>
      <vt:variant>
        <vt:i4>5</vt:i4>
      </vt:variant>
      <vt:variant>
        <vt:lpwstr>http://ec.europa.eu/internal_market/bank/docs/crisis-management/2012_eu_framework/impact_assessment_final_en.pdf</vt:lpwstr>
      </vt:variant>
      <vt:variant>
        <vt:lpwstr/>
      </vt:variant>
      <vt:variant>
        <vt:i4>3997759</vt:i4>
      </vt:variant>
      <vt:variant>
        <vt:i4>72</vt:i4>
      </vt:variant>
      <vt:variant>
        <vt:i4>0</vt:i4>
      </vt:variant>
      <vt:variant>
        <vt:i4>5</vt:i4>
      </vt:variant>
      <vt:variant>
        <vt:lpwstr>http://ec.europa.eu/internal_market/finances/docs/general/20140515-erfra-working-document_en.pdf</vt:lpwstr>
      </vt:variant>
      <vt:variant>
        <vt:lpwstr/>
      </vt:variant>
      <vt:variant>
        <vt:i4>2883620</vt:i4>
      </vt:variant>
      <vt:variant>
        <vt:i4>69</vt:i4>
      </vt:variant>
      <vt:variant>
        <vt:i4>0</vt:i4>
      </vt:variant>
      <vt:variant>
        <vt:i4>5</vt:i4>
      </vt:variant>
      <vt:variant>
        <vt:lpwstr>http://www.jpmorganchase.com/corporate/About-JPMC/document/resolution-plan-ccps.pdf?M=22b2d037-ca48-42e1-a49e-53a5e0667db4</vt:lpwstr>
      </vt:variant>
      <vt:variant>
        <vt:lpwstr/>
      </vt:variant>
      <vt:variant>
        <vt:i4>3997759</vt:i4>
      </vt:variant>
      <vt:variant>
        <vt:i4>66</vt:i4>
      </vt:variant>
      <vt:variant>
        <vt:i4>0</vt:i4>
      </vt:variant>
      <vt:variant>
        <vt:i4>5</vt:i4>
      </vt:variant>
      <vt:variant>
        <vt:lpwstr>http://ec.europa.eu/internal_market/finances/docs/general/20140515-erfra-working-document_en.pdf</vt:lpwstr>
      </vt:variant>
      <vt:variant>
        <vt:lpwstr/>
      </vt:variant>
      <vt:variant>
        <vt:i4>8061028</vt:i4>
      </vt:variant>
      <vt:variant>
        <vt:i4>63</vt:i4>
      </vt:variant>
      <vt:variant>
        <vt:i4>0</vt:i4>
      </vt:variant>
      <vt:variant>
        <vt:i4>5</vt:i4>
      </vt:variant>
      <vt:variant>
        <vt:lpwstr>http://www.chicagofed.org/digital_assets/others/events/2014/annual_over_the_counter_derivatives_symposium/tucker_clearinghouses_new_central_banks_tucker_2014.pdf</vt:lpwstr>
      </vt:variant>
      <vt:variant>
        <vt:lpwstr/>
      </vt:variant>
      <vt:variant>
        <vt:i4>3997759</vt:i4>
      </vt:variant>
      <vt:variant>
        <vt:i4>60</vt:i4>
      </vt:variant>
      <vt:variant>
        <vt:i4>0</vt:i4>
      </vt:variant>
      <vt:variant>
        <vt:i4>5</vt:i4>
      </vt:variant>
      <vt:variant>
        <vt:lpwstr>http://ec.europa.eu/internal_market/finances/docs/general/20140515-erfra-working-document_en.pdf</vt:lpwstr>
      </vt:variant>
      <vt:variant>
        <vt:lpwstr/>
      </vt:variant>
      <vt:variant>
        <vt:i4>4915209</vt:i4>
      </vt:variant>
      <vt:variant>
        <vt:i4>57</vt:i4>
      </vt:variant>
      <vt:variant>
        <vt:i4>0</vt:i4>
      </vt:variant>
      <vt:variant>
        <vt:i4>5</vt:i4>
      </vt:variant>
      <vt:variant>
        <vt:lpwstr>http://www.bis.org/publ/cpss101a.pdf</vt:lpwstr>
      </vt:variant>
      <vt:variant>
        <vt:lpwstr/>
      </vt:variant>
      <vt:variant>
        <vt:i4>2949239</vt:i4>
      </vt:variant>
      <vt:variant>
        <vt:i4>54</vt:i4>
      </vt:variant>
      <vt:variant>
        <vt:i4>0</vt:i4>
      </vt:variant>
      <vt:variant>
        <vt:i4>5</vt:i4>
      </vt:variant>
      <vt:variant>
        <vt:lpwstr>http://www.bankofcanada.ca/wp-content/uploads/2012/11/wp2012-35.pdf</vt:lpwstr>
      </vt:variant>
      <vt:variant>
        <vt:lpwstr/>
      </vt:variant>
      <vt:variant>
        <vt:i4>2621488</vt:i4>
      </vt:variant>
      <vt:variant>
        <vt:i4>51</vt:i4>
      </vt:variant>
      <vt:variant>
        <vt:i4>0</vt:i4>
      </vt:variant>
      <vt:variant>
        <vt:i4>5</vt:i4>
      </vt:variant>
      <vt:variant>
        <vt:lpwstr>http://www.bis.org/publ/cpss92.pdf</vt:lpwstr>
      </vt:variant>
      <vt:variant>
        <vt:lpwstr/>
      </vt:variant>
      <vt:variant>
        <vt:i4>8257586</vt:i4>
      </vt:variant>
      <vt:variant>
        <vt:i4>48</vt:i4>
      </vt:variant>
      <vt:variant>
        <vt:i4>0</vt:i4>
      </vt:variant>
      <vt:variant>
        <vt:i4>5</vt:i4>
      </vt:variant>
      <vt:variant>
        <vt:lpwstr>http://sdw.ecb.europa.eu/reports.do?node=1000001583</vt:lpwstr>
      </vt:variant>
      <vt:variant>
        <vt:lpwstr/>
      </vt:variant>
      <vt:variant>
        <vt:i4>7143539</vt:i4>
      </vt:variant>
      <vt:variant>
        <vt:i4>45</vt:i4>
      </vt:variant>
      <vt:variant>
        <vt:i4>0</vt:i4>
      </vt:variant>
      <vt:variant>
        <vt:i4>5</vt:i4>
      </vt:variant>
      <vt:variant>
        <vt:lpwstr>http://mifiddatabase.esma.europa.eu/Index.aspx?sectionlinks_id=24&amp;language=0&amp;pageName=CENTRAL_COUNTERPARTIES_Display&amp;subsection_id=0</vt:lpwstr>
      </vt:variant>
      <vt:variant>
        <vt:lpwstr/>
      </vt:variant>
      <vt:variant>
        <vt:i4>68</vt:i4>
      </vt:variant>
      <vt:variant>
        <vt:i4>42</vt:i4>
      </vt:variant>
      <vt:variant>
        <vt:i4>0</vt:i4>
      </vt:variant>
      <vt:variant>
        <vt:i4>5</vt:i4>
      </vt:variant>
      <vt:variant>
        <vt:lpwstr>http://www.chicagofed.org/digital_assets/publications/economic_perspectives/2006/ep_4qtr2006_part2_bliss_steigerwald.pdf</vt:lpwstr>
      </vt:variant>
      <vt:variant>
        <vt:lpwstr/>
      </vt:variant>
      <vt:variant>
        <vt:i4>6160500</vt:i4>
      </vt:variant>
      <vt:variant>
        <vt:i4>39</vt:i4>
      </vt:variant>
      <vt:variant>
        <vt:i4>0</vt:i4>
      </vt:variant>
      <vt:variant>
        <vt:i4>5</vt:i4>
      </vt:variant>
      <vt:variant>
        <vt:lpwstr>https://www.financialstabilityboard.org/publications/c_131121.htm</vt:lpwstr>
      </vt:variant>
      <vt:variant>
        <vt:lpwstr/>
      </vt:variant>
      <vt:variant>
        <vt:i4>589838</vt:i4>
      </vt:variant>
      <vt:variant>
        <vt:i4>36</vt:i4>
      </vt:variant>
      <vt:variant>
        <vt:i4>0</vt:i4>
      </vt:variant>
      <vt:variant>
        <vt:i4>5</vt:i4>
      </vt:variant>
      <vt:variant>
        <vt:lpwstr>http://www.bis.org/publ/cpss109/comments.htm</vt:lpwstr>
      </vt:variant>
      <vt:variant>
        <vt:lpwstr/>
      </vt:variant>
      <vt:variant>
        <vt:i4>2490431</vt:i4>
      </vt:variant>
      <vt:variant>
        <vt:i4>33</vt:i4>
      </vt:variant>
      <vt:variant>
        <vt:i4>0</vt:i4>
      </vt:variant>
      <vt:variant>
        <vt:i4>5</vt:i4>
      </vt:variant>
      <vt:variant>
        <vt:lpwstr>http://ec.europa.eu/internal_market/consultations/2012/nonbanks/consultation-document_en.pdf</vt:lpwstr>
      </vt:variant>
      <vt:variant>
        <vt:lpwstr/>
      </vt:variant>
      <vt:variant>
        <vt:i4>917539</vt:i4>
      </vt:variant>
      <vt:variant>
        <vt:i4>30</vt:i4>
      </vt:variant>
      <vt:variant>
        <vt:i4>0</vt:i4>
      </vt:variant>
      <vt:variant>
        <vt:i4>5</vt:i4>
      </vt:variant>
      <vt:variant>
        <vt:lpwstr>http://ec.europa.eu/atwork/key-documents/index_en.htm</vt:lpwstr>
      </vt:variant>
      <vt:variant>
        <vt:lpwstr/>
      </vt:variant>
      <vt:variant>
        <vt:i4>5505088</vt:i4>
      </vt:variant>
      <vt:variant>
        <vt:i4>27</vt:i4>
      </vt:variant>
      <vt:variant>
        <vt:i4>0</vt:i4>
      </vt:variant>
      <vt:variant>
        <vt:i4>5</vt:i4>
      </vt:variant>
      <vt:variant>
        <vt:lpwstr>http://www.europarl.europa.eu/sides/getDoc.do?pubRef=-//EP//TEXT+TA+P7-TA-2013-0533+0+DOC+XML+V0//EN</vt:lpwstr>
      </vt:variant>
      <vt:variant>
        <vt:lpwstr/>
      </vt:variant>
      <vt:variant>
        <vt:i4>327729</vt:i4>
      </vt:variant>
      <vt:variant>
        <vt:i4>24</vt:i4>
      </vt:variant>
      <vt:variant>
        <vt:i4>0</vt:i4>
      </vt:variant>
      <vt:variant>
        <vt:i4>5</vt:i4>
      </vt:variant>
      <vt:variant>
        <vt:lpwstr>http://www.financialstabilityboard.org/wp-content/uploads/r_141015.pdf</vt:lpwstr>
      </vt:variant>
      <vt:variant>
        <vt:lpwstr/>
      </vt:variant>
      <vt:variant>
        <vt:i4>1441822</vt:i4>
      </vt:variant>
      <vt:variant>
        <vt:i4>21</vt:i4>
      </vt:variant>
      <vt:variant>
        <vt:i4>0</vt:i4>
      </vt:variant>
      <vt:variant>
        <vt:i4>5</vt:i4>
      </vt:variant>
      <vt:variant>
        <vt:lpwstr>http://www.bis.org/cpmi/publ/d121.pdf</vt:lpwstr>
      </vt:variant>
      <vt:variant>
        <vt:lpwstr/>
      </vt:variant>
      <vt:variant>
        <vt:i4>327729</vt:i4>
      </vt:variant>
      <vt:variant>
        <vt:i4>18</vt:i4>
      </vt:variant>
      <vt:variant>
        <vt:i4>0</vt:i4>
      </vt:variant>
      <vt:variant>
        <vt:i4>5</vt:i4>
      </vt:variant>
      <vt:variant>
        <vt:lpwstr>http://www.financialstabilityboard.org/wp-content/uploads/r_141015.pdf</vt:lpwstr>
      </vt:variant>
      <vt:variant>
        <vt:lpwstr/>
      </vt:variant>
      <vt:variant>
        <vt:i4>327718</vt:i4>
      </vt:variant>
      <vt:variant>
        <vt:i4>15</vt:i4>
      </vt:variant>
      <vt:variant>
        <vt:i4>0</vt:i4>
      </vt:variant>
      <vt:variant>
        <vt:i4>5</vt:i4>
      </vt:variant>
      <vt:variant>
        <vt:lpwstr>http://www.financialstabilityboard.org/publications/r_111104cc.pdf</vt:lpwstr>
      </vt:variant>
      <vt:variant>
        <vt:lpwstr/>
      </vt:variant>
      <vt:variant>
        <vt:i4>3080288</vt:i4>
      </vt:variant>
      <vt:variant>
        <vt:i4>12</vt:i4>
      </vt:variant>
      <vt:variant>
        <vt:i4>0</vt:i4>
      </vt:variant>
      <vt:variant>
        <vt:i4>5</vt:i4>
      </vt:variant>
      <vt:variant>
        <vt:lpwstr>http://ec.europa.eu/internal_market/finances/banking-union/index_en.htm</vt:lpwstr>
      </vt:variant>
      <vt:variant>
        <vt:lpwstr/>
      </vt:variant>
      <vt:variant>
        <vt:i4>327730</vt:i4>
      </vt:variant>
      <vt:variant>
        <vt:i4>9</vt:i4>
      </vt:variant>
      <vt:variant>
        <vt:i4>0</vt:i4>
      </vt:variant>
      <vt:variant>
        <vt:i4>5</vt:i4>
      </vt:variant>
      <vt:variant>
        <vt:lpwstr>http://ec.europa.eu/internal_market/bank/crisis_management/index_en.htm</vt:lpwstr>
      </vt:variant>
      <vt:variant>
        <vt:lpwstr/>
      </vt:variant>
      <vt:variant>
        <vt:i4>2490431</vt:i4>
      </vt:variant>
      <vt:variant>
        <vt:i4>6</vt:i4>
      </vt:variant>
      <vt:variant>
        <vt:i4>0</vt:i4>
      </vt:variant>
      <vt:variant>
        <vt:i4>5</vt:i4>
      </vt:variant>
      <vt:variant>
        <vt:lpwstr>http://ec.europa.eu/internal_market/consultations/2012/nonbanks/consultation-document_en.pdf</vt:lpwstr>
      </vt:variant>
      <vt:variant>
        <vt:lpwstr/>
      </vt:variant>
      <vt:variant>
        <vt:i4>2621494</vt:i4>
      </vt:variant>
      <vt:variant>
        <vt:i4>3</vt:i4>
      </vt:variant>
      <vt:variant>
        <vt:i4>0</vt:i4>
      </vt:variant>
      <vt:variant>
        <vt:i4>5</vt:i4>
      </vt:variant>
      <vt:variant>
        <vt:lpwstr>http://eur-lex.europa.eu/legal-content/EN/TXT/;ELX_SESSIONID=2hCkTyTNGyHG1hNnQmvLry3rTZt5TTSkrM1LLv12RFZ9hNy9lbl7!-1897320616?uri=uriserv:OJ.L_.2014.173.01.0190.01.ENG</vt:lpwstr>
      </vt:variant>
      <vt:variant>
        <vt:lpwstr/>
      </vt:variant>
      <vt:variant>
        <vt:i4>7078015</vt:i4>
      </vt:variant>
      <vt:variant>
        <vt:i4>0</vt:i4>
      </vt:variant>
      <vt:variant>
        <vt:i4>0</vt:i4>
      </vt:variant>
      <vt:variant>
        <vt:i4>5</vt:i4>
      </vt:variant>
      <vt:variant>
        <vt:lpwstr>http://www.financialstabilityboard.org/wp-content/uploads/FSB-Chair-letter-to-G20-February-2015.pdf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28082015 Impact Assessment for CCP recovery and resolution proposal</dc:title>
  <dc:creator/>
  <cp:keywords>EL4</cp:keywords>
  <cp:lastModifiedBy>DIGIT/A3</cp:lastModifiedBy>
  <cp:revision>33</cp:revision>
  <cp:lastPrinted>2017-05-19T14:04:00Z</cp:lastPrinted>
  <dcterms:created xsi:type="dcterms:W3CDTF">2017-06-12T09:57:00Z</dcterms:created>
  <dcterms:modified xsi:type="dcterms:W3CDTF">2017-07-14T07:17:00Z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GG</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lassification">
    <vt:lpwstr> </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