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F6" w:rsidRDefault="00866EC8" w:rsidP="00866EC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CBEB96928F44AE7A24460D932602F67" style="width:450.75pt;height:351.75pt">
            <v:imagedata r:id="rId9" o:title=""/>
          </v:shape>
        </w:pict>
      </w:r>
    </w:p>
    <w:p w:rsidR="00B46EF6" w:rsidRDefault="00B46EF6">
      <w:pPr>
        <w:rPr>
          <w:noProof/>
        </w:rPr>
        <w:sectPr w:rsidR="00B46EF6" w:rsidSect="00866EC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B46EF6" w:rsidRDefault="00866EC8">
      <w:pPr>
        <w:pStyle w:val="Exposdesmotifstitre"/>
        <w:rPr>
          <w:noProof/>
        </w:rPr>
      </w:pPr>
      <w:bookmarkStart w:id="0" w:name="_GoBack"/>
      <w:bookmarkEnd w:id="0"/>
      <w:r>
        <w:rPr>
          <w:noProof/>
        </w:rPr>
        <w:lastRenderedPageBreak/>
        <w:t>ОБЯСНИТЕЛЕН МЕМОРАНДУМ</w:t>
      </w:r>
    </w:p>
    <w:p w:rsidR="00B46EF6" w:rsidRDefault="00866EC8">
      <w:pPr>
        <w:pStyle w:val="ManualHeading1"/>
        <w:rPr>
          <w:noProof/>
        </w:rPr>
      </w:pPr>
      <w:r>
        <w:rPr>
          <w:noProof/>
        </w:rPr>
        <w:t>1.</w:t>
      </w:r>
      <w:r>
        <w:rPr>
          <w:noProof/>
        </w:rPr>
        <w:tab/>
        <w:t>КОНТЕКСТ НА ПРЕДЛОЖЕНИЕТО</w:t>
      </w:r>
    </w:p>
    <w:p w:rsidR="00B46EF6" w:rsidRDefault="00866EC8">
      <w:pPr>
        <w:pStyle w:val="ManualHeading2"/>
        <w:rPr>
          <w:rFonts w:eastAsia="Arial Unicode MS"/>
          <w:noProof/>
        </w:rPr>
      </w:pPr>
      <w:r>
        <w:rPr>
          <w:noProof/>
        </w:rPr>
        <w:t>•</w:t>
      </w:r>
      <w:r>
        <w:rPr>
          <w:noProof/>
        </w:rPr>
        <w:tab/>
        <w:t>Основания и цели на предложението</w:t>
      </w:r>
    </w:p>
    <w:p w:rsidR="00B46EF6" w:rsidRDefault="00866EC8">
      <w:pPr>
        <w:pBdr>
          <w:top w:val="nil"/>
          <w:left w:val="nil"/>
          <w:bottom w:val="nil"/>
          <w:right w:val="nil"/>
          <w:between w:val="nil"/>
          <w:bar w:val="nil"/>
        </w:pBdr>
        <w:spacing w:before="0" w:after="240"/>
        <w:rPr>
          <w:noProof/>
        </w:rPr>
      </w:pPr>
      <w:r>
        <w:rPr>
          <w:noProof/>
        </w:rPr>
        <w:t xml:space="preserve">Международната </w:t>
      </w:r>
      <w:r>
        <w:rPr>
          <w:noProof/>
        </w:rPr>
        <w:t xml:space="preserve">група за изследване на каучука (МГИК) е създадена през 1944 г. междуправителствена организация, която се състои от производители на каучук и заинтересовани страни — потребители на каучук. Тя предоставя форум за дискусии по въпроси, засягащи предлагането и </w:t>
      </w:r>
      <w:r>
        <w:rPr>
          <w:noProof/>
        </w:rPr>
        <w:t>търсенето на естествен и синтетичен каучук. С Решение 2002/651/ЕО на Съвета от 22 юли 2002 г. Европейската общност стана член на МГИК. ЕС има единно членство в МГИК от 1 юли 2011 г. Членството е законово уредено с Решение 2011/664/ЕС на Съвета от 12 септем</w:t>
      </w:r>
      <w:r>
        <w:rPr>
          <w:noProof/>
        </w:rPr>
        <w:t>ври 2011 г. за подписването и за временното прилагане на изменен Устав и Процедурен правилник на МГИК и с Решение 2012/283/ЕС на Съвета от 24 април 2012 г. за сключването от ЕС на изменен Устав и Процедурен правилник на МГИК.</w:t>
      </w:r>
    </w:p>
    <w:p w:rsidR="00B46EF6" w:rsidRDefault="00866EC8">
      <w:pPr>
        <w:pBdr>
          <w:top w:val="nil"/>
          <w:left w:val="nil"/>
          <w:bottom w:val="nil"/>
          <w:right w:val="nil"/>
          <w:between w:val="nil"/>
          <w:bar w:val="nil"/>
        </w:pBdr>
        <w:spacing w:before="0" w:after="240"/>
        <w:rPr>
          <w:noProof/>
        </w:rPr>
      </w:pPr>
      <w:r>
        <w:rPr>
          <w:noProof/>
        </w:rPr>
        <w:t>Причините, които карат ЕС да с</w:t>
      </w:r>
      <w:r>
        <w:rPr>
          <w:noProof/>
        </w:rPr>
        <w:t xml:space="preserve">е оттегли от МГИК, могат да бъдат обобщени, както следва: </w:t>
      </w:r>
    </w:p>
    <w:p w:rsidR="00B46EF6" w:rsidRDefault="00866EC8">
      <w:pPr>
        <w:pBdr>
          <w:top w:val="nil"/>
          <w:left w:val="nil"/>
          <w:bottom w:val="nil"/>
          <w:right w:val="nil"/>
          <w:between w:val="nil"/>
          <w:bar w:val="nil"/>
        </w:pBdr>
        <w:spacing w:before="0" w:after="240"/>
        <w:rPr>
          <w:noProof/>
        </w:rPr>
      </w:pPr>
      <w:r>
        <w:rPr>
          <w:noProof/>
        </w:rPr>
        <w:t>По време на подготовката на изменения устав на МГИК през 2011 г. Комисията нееднократно е изразявала загриженост относно ограниченото и намаляващо значение на МГИК след оттеглянето през 2010—2011 г</w:t>
      </w:r>
      <w:r>
        <w:rPr>
          <w:noProof/>
        </w:rPr>
        <w:t xml:space="preserve">. на важни държави членки (САЩ, Тайланд, Малайзия). Настоящото членство в МГИК е представително съответно само за около 10 % от световното производство и 25 % от световното потребление на естествен каучук. Тази загриженост намери отражение и в препоръката </w:t>
      </w:r>
      <w:r>
        <w:rPr>
          <w:noProof/>
        </w:rPr>
        <w:t xml:space="preserve">на комисията по международна търговия, която предшестваше одобрението на Парламента за Решение 2012/283/ЕС на Съвета за одобряване на устава от 2011 г. Комисията по международна търговия подчерта, че „значителният брой членове остава необходимо условие за </w:t>
      </w:r>
      <w:r>
        <w:rPr>
          <w:noProof/>
        </w:rPr>
        <w:t xml:space="preserve">жизнеспособността и ефективността в дългосрочен план на МГИК като авторитетен орган“ и че в резолюцията на Парламента, с която се дава съгласие за решението на Съвета, се отправя призив към Комисията да „полага усилия за увеличаването на броя на членовете </w:t>
      </w:r>
      <w:r>
        <w:rPr>
          <w:noProof/>
        </w:rPr>
        <w:t>на МГИК“.</w:t>
      </w:r>
    </w:p>
    <w:p w:rsidR="00B46EF6" w:rsidRDefault="00866EC8">
      <w:pPr>
        <w:pBdr>
          <w:top w:val="nil"/>
          <w:left w:val="nil"/>
          <w:bottom w:val="nil"/>
          <w:right w:val="nil"/>
          <w:between w:val="nil"/>
          <w:bar w:val="nil"/>
        </w:pBdr>
        <w:spacing w:before="0" w:after="240"/>
        <w:rPr>
          <w:noProof/>
        </w:rPr>
      </w:pPr>
      <w:r>
        <w:rPr>
          <w:noProof/>
        </w:rPr>
        <w:t>Поради тези причини Комисията призова МГИК и останалите членове, както и представителите на отрасъла, да насърчат нечленуващите правителства да се присъединят към МГИК, и сама изпрати писма до пет правителства през 2011 г. От 2012 г. насам ЕС под</w:t>
      </w:r>
      <w:r>
        <w:rPr>
          <w:noProof/>
        </w:rPr>
        <w:t>чертаваше необходимостта от привличане на нови членове на всяко заседание на ръководителите на делегации. При все това, въпреки многократните усилия на секретариата на МГИК през последните четири години, нито един от потенциалните нови членове, с които бях</w:t>
      </w:r>
      <w:r>
        <w:rPr>
          <w:noProof/>
        </w:rPr>
        <w:t>а установени контакти, не даде надеждно уверение, че ще бъде готов да се присъедини към Групата. Поради това трябва да се приеме, че не съществуват обосновани изгледи това положение да се промени.</w:t>
      </w:r>
    </w:p>
    <w:p w:rsidR="00B46EF6" w:rsidRDefault="00866EC8">
      <w:pPr>
        <w:pBdr>
          <w:top w:val="nil"/>
          <w:left w:val="nil"/>
          <w:bottom w:val="nil"/>
          <w:right w:val="nil"/>
          <w:between w:val="nil"/>
          <w:bar w:val="nil"/>
        </w:pBdr>
        <w:spacing w:before="0" w:after="240"/>
        <w:rPr>
          <w:noProof/>
        </w:rPr>
      </w:pPr>
      <w:r>
        <w:rPr>
          <w:noProof/>
        </w:rPr>
        <w:t>Задачите на МГИК са свързани основно с изготвянето на стати</w:t>
      </w:r>
      <w:r>
        <w:rPr>
          <w:noProof/>
        </w:rPr>
        <w:t>стически данни относно производството и търговията с каучук, както и с редица проекти, свързани с производството на каучук. Комисията е на мнение, че тези задачи биха могли също така да се извършват от частни структури, а добавената стойност от участието н</w:t>
      </w:r>
      <w:r>
        <w:rPr>
          <w:noProof/>
        </w:rPr>
        <w:t>а Европейската комисия в тези процеси е ограничена.</w:t>
      </w:r>
    </w:p>
    <w:p w:rsidR="00B46EF6" w:rsidRDefault="00866EC8">
      <w:pPr>
        <w:pBdr>
          <w:top w:val="nil"/>
          <w:left w:val="nil"/>
          <w:bottom w:val="nil"/>
          <w:right w:val="nil"/>
          <w:between w:val="nil"/>
          <w:bar w:val="nil"/>
        </w:pBdr>
        <w:spacing w:before="0" w:after="240"/>
        <w:rPr>
          <w:noProof/>
        </w:rPr>
      </w:pPr>
      <w:r>
        <w:rPr>
          <w:noProof/>
        </w:rPr>
        <w:t xml:space="preserve">В същото време е необходимо да се постави въпросът дали членството в МГИК остава приоритет в контекста на нарастващи бюджетни ограничения и нови </w:t>
      </w:r>
      <w:r>
        <w:rPr>
          <w:noProof/>
        </w:rPr>
        <w:lastRenderedPageBreak/>
        <w:t>предизвикателства. Тази загриженост се засилва поради увели</w:t>
      </w:r>
      <w:r>
        <w:rPr>
          <w:noProof/>
        </w:rPr>
        <w:t>чаването на членския внос, което е следствие от намаляването на броя на членуващите правителства, намаляването на паричните резерви на Групата и промяната в обменния курс между еврото и сингапурския долар. За финансовата 2016—2017 г. вноската на ЕС в бюдже</w:t>
      </w:r>
      <w:r>
        <w:rPr>
          <w:noProof/>
        </w:rPr>
        <w:t>та на МГИК възлезе на 132 000 евро, като през следващата финансова година (2017—2018) сумата ще нарасне до 135 000 евро; в законодателната финансова обосновка към Решение 2012/283/ЕС на Съвета за сключването от Европейския съюз на изменен Устав и Процедуре</w:t>
      </w:r>
      <w:r>
        <w:rPr>
          <w:noProof/>
        </w:rPr>
        <w:t>н правилник на Международната група за изследване на каучука се предвиждат само годишни бюджетни кредити в размер на 125 000 евро.</w:t>
      </w:r>
    </w:p>
    <w:p w:rsidR="00B46EF6" w:rsidRDefault="00866EC8">
      <w:pPr>
        <w:pBdr>
          <w:top w:val="nil"/>
          <w:left w:val="nil"/>
          <w:bottom w:val="nil"/>
          <w:right w:val="nil"/>
          <w:between w:val="nil"/>
          <w:bar w:val="nil"/>
        </w:pBdr>
        <w:spacing w:before="0" w:after="240"/>
        <w:rPr>
          <w:noProof/>
        </w:rPr>
      </w:pPr>
      <w:r>
        <w:rPr>
          <w:noProof/>
        </w:rPr>
        <w:t xml:space="preserve">По тези причини ЕС следва да се оттегли от Международната група за изследване на каучука. </w:t>
      </w:r>
    </w:p>
    <w:p w:rsidR="00B46EF6" w:rsidRDefault="00866EC8">
      <w:pPr>
        <w:pStyle w:val="ManualHeading2"/>
        <w:rPr>
          <w:rFonts w:eastAsia="Arial Unicode MS"/>
          <w:noProof/>
          <w:u w:color="000000"/>
          <w:bdr w:val="nil"/>
        </w:rPr>
      </w:pPr>
      <w:r>
        <w:rPr>
          <w:noProof/>
        </w:rPr>
        <w:t>•</w:t>
      </w:r>
      <w:r>
        <w:rPr>
          <w:noProof/>
        </w:rPr>
        <w:tab/>
        <w:t>Съгласуваност със съществуващите</w:t>
      </w:r>
      <w:r>
        <w:rPr>
          <w:noProof/>
        </w:rPr>
        <w:t xml:space="preserve"> разпоредби в тази област на политиката</w:t>
      </w:r>
    </w:p>
    <w:p w:rsidR="00B46EF6" w:rsidRDefault="00866EC8">
      <w:pPr>
        <w:pBdr>
          <w:top w:val="nil"/>
          <w:left w:val="nil"/>
          <w:bottom w:val="nil"/>
          <w:right w:val="nil"/>
          <w:between w:val="nil"/>
          <w:bar w:val="nil"/>
        </w:pBdr>
        <w:spacing w:before="0" w:after="240"/>
        <w:rPr>
          <w:rFonts w:eastAsia="Arial Unicode MS"/>
          <w:noProof/>
        </w:rPr>
      </w:pPr>
      <w:r>
        <w:rPr>
          <w:noProof/>
        </w:rPr>
        <w:t>Не съществуват други разпоредби относно политиката на равнището на ЕС в областта на изследването на международната търговия с каучук.</w:t>
      </w:r>
    </w:p>
    <w:p w:rsidR="00B46EF6" w:rsidRDefault="00866EC8">
      <w:pPr>
        <w:pStyle w:val="ManualHeading2"/>
        <w:rPr>
          <w:rFonts w:eastAsia="Arial Unicode MS"/>
          <w:noProof/>
        </w:rPr>
      </w:pPr>
      <w:r>
        <w:rPr>
          <w:noProof/>
        </w:rPr>
        <w:t>•</w:t>
      </w:r>
      <w:r>
        <w:rPr>
          <w:noProof/>
        </w:rPr>
        <w:tab/>
        <w:t>Съгласуваност с другите политики на Съюза</w:t>
      </w:r>
    </w:p>
    <w:p w:rsidR="00B46EF6" w:rsidRDefault="00866EC8">
      <w:pPr>
        <w:pBdr>
          <w:top w:val="nil"/>
          <w:left w:val="nil"/>
          <w:bottom w:val="nil"/>
          <w:right w:val="nil"/>
          <w:between w:val="nil"/>
          <w:bar w:val="nil"/>
        </w:pBdr>
        <w:spacing w:before="0" w:after="240"/>
        <w:rPr>
          <w:rFonts w:eastAsia="Arial Unicode MS"/>
          <w:noProof/>
        </w:rPr>
      </w:pPr>
      <w:r>
        <w:rPr>
          <w:noProof/>
        </w:rPr>
        <w:t xml:space="preserve">Мярката е в съответствие с политиката </w:t>
      </w:r>
      <w:r>
        <w:rPr>
          <w:noProof/>
        </w:rPr>
        <w:t>на Комисията за съсредоточаване върху основните приоритети.</w:t>
      </w:r>
    </w:p>
    <w:p w:rsidR="00B46EF6" w:rsidRDefault="00866EC8">
      <w:pPr>
        <w:pStyle w:val="ManualHeading1"/>
        <w:rPr>
          <w:noProof/>
        </w:rPr>
      </w:pPr>
      <w:r>
        <w:rPr>
          <w:noProof/>
        </w:rPr>
        <w:t>2.</w:t>
      </w:r>
      <w:r>
        <w:rPr>
          <w:noProof/>
        </w:rPr>
        <w:tab/>
        <w:t>ПРАВНО ОСНОВАНИЕ, СУБСИДИАРНОСТ И ПРОПОРЦИОНАЛНОСТ</w:t>
      </w:r>
    </w:p>
    <w:p w:rsidR="00B46EF6" w:rsidRDefault="00866EC8">
      <w:pPr>
        <w:pStyle w:val="ManualHeading2"/>
        <w:rPr>
          <w:rFonts w:eastAsia="Arial Unicode MS"/>
          <w:noProof/>
          <w:u w:color="000000"/>
          <w:bdr w:val="nil"/>
        </w:rPr>
      </w:pPr>
      <w:r>
        <w:rPr>
          <w:noProof/>
        </w:rPr>
        <w:t>•</w:t>
      </w:r>
      <w:r>
        <w:rPr>
          <w:noProof/>
        </w:rPr>
        <w:tab/>
        <w:t>Правно основание</w:t>
      </w:r>
    </w:p>
    <w:p w:rsidR="00B46EF6" w:rsidRDefault="00866EC8">
      <w:pPr>
        <w:pBdr>
          <w:top w:val="nil"/>
          <w:left w:val="nil"/>
          <w:bottom w:val="nil"/>
          <w:right w:val="nil"/>
          <w:between w:val="nil"/>
          <w:bar w:val="nil"/>
        </w:pBdr>
        <w:spacing w:before="0" w:after="240"/>
        <w:rPr>
          <w:rFonts w:eastAsia="Arial Unicode MS"/>
          <w:noProof/>
        </w:rPr>
      </w:pPr>
      <w:r>
        <w:rPr>
          <w:noProof/>
        </w:rPr>
        <w:t>С оглед на принципа на институционалния баланс, както и с оглед на факта, че настоящото споразумение е сключено в съответст</w:t>
      </w:r>
      <w:r>
        <w:rPr>
          <w:noProof/>
        </w:rPr>
        <w:t xml:space="preserve">вие с член 218, параграф 6, буква а), подточка v) от ДФЕС, бе избрано правно основание за сключване на международно споразумение, при което се предвижда одобрение от Европейския парламент. </w:t>
      </w:r>
    </w:p>
    <w:p w:rsidR="00B46EF6" w:rsidRDefault="00866EC8">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rsidR="00B46EF6" w:rsidRDefault="00866EC8">
      <w:pPr>
        <w:pBdr>
          <w:top w:val="nil"/>
          <w:left w:val="nil"/>
          <w:bottom w:val="nil"/>
          <w:right w:val="nil"/>
          <w:between w:val="nil"/>
          <w:bar w:val="nil"/>
        </w:pBdr>
        <w:spacing w:before="0" w:after="240"/>
        <w:rPr>
          <w:rFonts w:eastAsia="Arial Unicode MS"/>
          <w:noProof/>
        </w:rPr>
      </w:pPr>
      <w:r>
        <w:rPr>
          <w:noProof/>
        </w:rPr>
        <w:t>Сключването от</w:t>
      </w:r>
      <w:r>
        <w:rPr>
          <w:noProof/>
        </w:rPr>
        <w:t xml:space="preserve"> страна на ЕС на изменения Устав и Процедурен правилник на МГИК се основаваше на член 207, параграфи 3 и 4 във връзка с член 218, параграф 6, буква а), подточка v) от Договора за функционирането на Европейския съюз (ДФЕС). Поради това въпросът попада в обх</w:t>
      </w:r>
      <w:r>
        <w:rPr>
          <w:noProof/>
        </w:rPr>
        <w:t>вата на изключителната компетентност на Съюза.</w:t>
      </w:r>
    </w:p>
    <w:p w:rsidR="00B46EF6" w:rsidRDefault="00866EC8">
      <w:pPr>
        <w:pStyle w:val="ManualHeading2"/>
        <w:rPr>
          <w:rFonts w:eastAsia="Arial Unicode MS"/>
          <w:noProof/>
          <w:u w:color="000000"/>
          <w:bdr w:val="nil"/>
        </w:rPr>
      </w:pPr>
      <w:r>
        <w:rPr>
          <w:noProof/>
        </w:rPr>
        <w:t>•</w:t>
      </w:r>
      <w:r>
        <w:rPr>
          <w:noProof/>
        </w:rPr>
        <w:tab/>
        <w:t>Пропорционалност</w:t>
      </w:r>
    </w:p>
    <w:p w:rsidR="00B46EF6" w:rsidRDefault="00866EC8">
      <w:pPr>
        <w:pBdr>
          <w:top w:val="nil"/>
          <w:left w:val="nil"/>
          <w:bottom w:val="nil"/>
          <w:right w:val="nil"/>
          <w:between w:val="nil"/>
          <w:bar w:val="nil"/>
        </w:pBdr>
        <w:spacing w:before="0" w:after="240"/>
        <w:rPr>
          <w:rFonts w:eastAsia="Arial Unicode MS"/>
          <w:noProof/>
        </w:rPr>
      </w:pPr>
      <w:r>
        <w:rPr>
          <w:noProof/>
        </w:rPr>
        <w:t>Оттеглянето на ЕС е необходимо, за да се прекратят ежегодните бюджетни разходи, носещи ограничени ползи, които са по-малки от очакваните ползи по времето, когато Европейската общност се е пр</w:t>
      </w:r>
      <w:r>
        <w:rPr>
          <w:noProof/>
        </w:rPr>
        <w:t>исъединила към МГИК. То също така следва да спомогне за спестяване на недостатъчните човешки ресурси, използвани понастоящем за управлението на участието на ЕС в МГИК. По тази причина оттеглянето на ЕС се счита за най-подходящата мярка за постигане на тази</w:t>
      </w:r>
      <w:r>
        <w:rPr>
          <w:noProof/>
        </w:rPr>
        <w:t xml:space="preserve"> цел и се възприема като пропорционално. </w:t>
      </w:r>
    </w:p>
    <w:p w:rsidR="00B46EF6" w:rsidRDefault="00866EC8">
      <w:pPr>
        <w:pStyle w:val="ManualHeading1"/>
        <w:rPr>
          <w:noProof/>
        </w:rPr>
      </w:pPr>
      <w:r>
        <w:rPr>
          <w:noProof/>
        </w:rPr>
        <w:lastRenderedPageBreak/>
        <w:t>3.</w:t>
      </w:r>
      <w:r>
        <w:rPr>
          <w:noProof/>
        </w:rPr>
        <w:tab/>
        <w:t>РЕЗУЛТАТИ ОТ ПОСЛЕДВАЩИТЕ ОЦЕНКИ, ОТ КОНСУЛТАЦИИТЕ СЪС ЗАИНТЕРЕСОВАНИТЕ СТРАНИ И ОТ ОЦЕНКИТЕ НА ВЪЗДЕЙСТВИЕТО</w:t>
      </w:r>
    </w:p>
    <w:p w:rsidR="00B46EF6" w:rsidRDefault="00866EC8">
      <w:pPr>
        <w:pStyle w:val="ManualHeading2"/>
        <w:rPr>
          <w:rFonts w:eastAsia="Arial Unicode MS"/>
          <w:noProof/>
          <w:u w:color="000000"/>
          <w:bdr w:val="nil"/>
        </w:rPr>
      </w:pPr>
      <w:r>
        <w:rPr>
          <w:noProof/>
        </w:rPr>
        <w:t>•</w:t>
      </w:r>
      <w:r>
        <w:rPr>
          <w:noProof/>
        </w:rPr>
        <w:tab/>
        <w:t>Консултации със заинтересованите страни</w:t>
      </w:r>
    </w:p>
    <w:p w:rsidR="00B46EF6" w:rsidRDefault="00866EC8">
      <w:pPr>
        <w:pBdr>
          <w:top w:val="nil"/>
          <w:left w:val="nil"/>
          <w:bottom w:val="nil"/>
          <w:right w:val="nil"/>
          <w:between w:val="nil"/>
          <w:bar w:val="nil"/>
        </w:pBdr>
        <w:spacing w:before="0" w:after="240"/>
        <w:rPr>
          <w:rFonts w:eastAsia="Arial Unicode MS"/>
          <w:noProof/>
        </w:rPr>
      </w:pPr>
      <w:r>
        <w:rPr>
          <w:noProof/>
        </w:rPr>
        <w:t xml:space="preserve">Настоящата инициатива не може да бъде оповестена публично, </w:t>
      </w:r>
      <w:r>
        <w:rPr>
          <w:noProof/>
        </w:rPr>
        <w:t>преди да бъде взето официално решение за прекратяване на участието на ЕС в МГИК. В противен случай позицията на ЕС спрямо другите членове на МГИК (които биха могли да узнаят за тази инициатива) би била значително отслабена през относително дългия период от</w:t>
      </w:r>
      <w:r>
        <w:rPr>
          <w:noProof/>
        </w:rPr>
        <w:t xml:space="preserve"> време, който обикновено изтича от публикуването на инициативата до вземането на решението за оттегляне, като това важи дори в още по-голяма степен в случай че окончателното решение бъде членството да се запази.</w:t>
      </w:r>
    </w:p>
    <w:p w:rsidR="00B46EF6" w:rsidRDefault="00866EC8">
      <w:pPr>
        <w:pStyle w:val="ManualHeading2"/>
        <w:rPr>
          <w:rFonts w:eastAsia="Arial Unicode MS"/>
          <w:noProof/>
          <w:u w:color="000000"/>
          <w:bdr w:val="nil"/>
        </w:rPr>
      </w:pPr>
      <w:r>
        <w:rPr>
          <w:noProof/>
        </w:rPr>
        <w:t>•</w:t>
      </w:r>
      <w:r>
        <w:rPr>
          <w:noProof/>
        </w:rPr>
        <w:tab/>
        <w:t>Оценка на въздействието</w:t>
      </w:r>
    </w:p>
    <w:p w:rsidR="00B46EF6" w:rsidRDefault="00866EC8">
      <w:pPr>
        <w:pBdr>
          <w:top w:val="nil"/>
          <w:left w:val="nil"/>
          <w:bottom w:val="nil"/>
          <w:right w:val="nil"/>
          <w:between w:val="nil"/>
          <w:bar w:val="nil"/>
        </w:pBdr>
        <w:spacing w:before="0" w:after="240"/>
        <w:rPr>
          <w:noProof/>
        </w:rPr>
      </w:pPr>
      <w:r>
        <w:rPr>
          <w:noProof/>
        </w:rPr>
        <w:t>Цялостна оценка на</w:t>
      </w:r>
      <w:r>
        <w:rPr>
          <w:noProof/>
        </w:rPr>
        <w:t xml:space="preserve"> въздействието не е необходима, тъй като няма вероятност мярката да окаже значително икономическо, екологично или социално въздействие. </w:t>
      </w:r>
    </w:p>
    <w:p w:rsidR="00B46EF6" w:rsidRDefault="00866EC8">
      <w:pPr>
        <w:pBdr>
          <w:top w:val="nil"/>
          <w:left w:val="nil"/>
          <w:bottom w:val="nil"/>
          <w:right w:val="nil"/>
          <w:between w:val="nil"/>
          <w:bar w:val="nil"/>
        </w:pBdr>
        <w:spacing w:before="0" w:after="240"/>
        <w:rPr>
          <w:noProof/>
        </w:rPr>
      </w:pPr>
      <w:r>
        <w:rPr>
          <w:noProof/>
        </w:rPr>
        <w:t xml:space="preserve">Прекратяването на членството на ЕС в МГИК би спестило на Съюза над 150 000 евро от годишни вноски, както и човешките и </w:t>
      </w:r>
      <w:r>
        <w:rPr>
          <w:noProof/>
        </w:rPr>
        <w:t>логистичните ресурси, необходими за управление на настоящото членство. Прекратяването на членството на ЕС би означавало, че услугите, като свободния достъп до публикациите на МГИК, вече няма да бъдат на разположение. Трябва да се отбележи обаче, че предста</w:t>
      </w:r>
      <w:r>
        <w:rPr>
          <w:noProof/>
        </w:rPr>
        <w:t>вяните от МГИК статистически данни се използват само в редки случаи от службите на Комисията, а на равнището на детайлност, от което се нуждаем, информацията понякога може да бъде изтегляна безплатно от алтернативни източници. Във всеки случай разходите за</w:t>
      </w:r>
      <w:r>
        <w:rPr>
          <w:noProof/>
        </w:rPr>
        <w:t xml:space="preserve"> годишен абонамент за всички публикации на МГИК не надхвърлят 8000 евро. </w:t>
      </w:r>
    </w:p>
    <w:p w:rsidR="00B46EF6" w:rsidRDefault="00866EC8">
      <w:pPr>
        <w:pBdr>
          <w:top w:val="nil"/>
          <w:left w:val="nil"/>
          <w:bottom w:val="nil"/>
          <w:right w:val="nil"/>
          <w:between w:val="nil"/>
          <w:bar w:val="nil"/>
        </w:pBdr>
        <w:spacing w:before="0" w:after="240"/>
        <w:rPr>
          <w:noProof/>
        </w:rPr>
      </w:pPr>
      <w:r>
        <w:rPr>
          <w:noProof/>
        </w:rPr>
        <w:t>Решението за оттегляне може да допринесе за по-нататъшно ограничаване на дейността на МГИК, като се има предвид, че вноската на ЕС представлява над 12 % от общия бюджет на МГИК (и 23</w:t>
      </w:r>
      <w:r>
        <w:rPr>
          <w:noProof/>
        </w:rPr>
        <w:t xml:space="preserve"> % от общата вноска на членуващите правителства), а останалите 8 членове е малко вероятно да са в състояние или да желаят да покрият този недостиг на финансиране. </w:t>
      </w:r>
    </w:p>
    <w:p w:rsidR="00B46EF6" w:rsidRDefault="00866EC8">
      <w:pPr>
        <w:pBdr>
          <w:top w:val="nil"/>
          <w:left w:val="nil"/>
          <w:bottom w:val="nil"/>
          <w:right w:val="nil"/>
          <w:between w:val="nil"/>
          <w:bar w:val="nil"/>
        </w:pBdr>
        <w:spacing w:before="0" w:after="240"/>
        <w:rPr>
          <w:noProof/>
        </w:rPr>
      </w:pPr>
      <w:r>
        <w:rPr>
          <w:noProof/>
        </w:rPr>
        <w:t>Европейската промишленост за производство на гуми и каучукови изделия в миналото се е проявявала като силен защитник на участието на ЕС в МГИК. В последно време основният интерес на отрасъла е свързан с участието на МГИК в Инициативата за устойчиво развити</w:t>
      </w:r>
      <w:r>
        <w:rPr>
          <w:noProof/>
        </w:rPr>
        <w:t>е в областта на естествения каучук (SNR-i) и с ролята, която МГИК може да играе като фактор за улесняване на контактите с официалните органи, в които са представени големите държави производителки на естествен каучук (Сдружението на държавите производителк</w:t>
      </w:r>
      <w:r>
        <w:rPr>
          <w:noProof/>
        </w:rPr>
        <w:t xml:space="preserve">и на естествен каучук). По време на последното годишно заседание в Сингапур (май 2016 г.) обаче отрасълът посочи, че ролята на МГИК като организатор на SNR-i или посредник във връзка с нея няма да бъде приемлива след текущата пилотна фаза и че МГИК следва </w:t>
      </w:r>
      <w:r>
        <w:rPr>
          <w:noProof/>
        </w:rPr>
        <w:t xml:space="preserve">да стане просто една от многото „заинтересовани страни“ в рамките на тази инициатива. </w:t>
      </w:r>
    </w:p>
    <w:p w:rsidR="00B46EF6" w:rsidRDefault="00866EC8">
      <w:pPr>
        <w:pBdr>
          <w:top w:val="nil"/>
          <w:left w:val="nil"/>
          <w:bottom w:val="nil"/>
          <w:right w:val="nil"/>
          <w:between w:val="nil"/>
          <w:bar w:val="nil"/>
        </w:pBdr>
        <w:spacing w:before="0" w:after="240"/>
        <w:rPr>
          <w:noProof/>
        </w:rPr>
      </w:pPr>
      <w:r>
        <w:rPr>
          <w:noProof/>
        </w:rPr>
        <w:t>По време на периода на рязко увеличение на цените на естествения каучук (от средата на 2008 г. до средата на 2011 г.) МГИК бе считана от отрасъла като инструмент за борб</w:t>
      </w:r>
      <w:r>
        <w:rPr>
          <w:noProof/>
        </w:rPr>
        <w:t>а с прекомерната нестабилност на цените на стоките, тъй като тя увеличава прозрачността относно развитието на пазара и е единствената международна организация, в която потребителите са представени заедно с производителите; последващото развитие обаче доказ</w:t>
      </w:r>
      <w:r>
        <w:rPr>
          <w:noProof/>
        </w:rPr>
        <w:t>а, че този аргумент е без значение, тъй като най-големите производители вече не са част от МГИК и цените на естествения каучук спаднаха до равнища, които са под половината от достигнатото преди шест години върхово равнище.</w:t>
      </w:r>
    </w:p>
    <w:p w:rsidR="00B46EF6" w:rsidRDefault="00866EC8">
      <w:pPr>
        <w:pStyle w:val="ManualHeading1"/>
        <w:rPr>
          <w:noProof/>
        </w:rPr>
      </w:pPr>
      <w:r>
        <w:rPr>
          <w:noProof/>
        </w:rPr>
        <w:t>4.</w:t>
      </w:r>
      <w:r>
        <w:rPr>
          <w:noProof/>
        </w:rPr>
        <w:tab/>
        <w:t>ОТРАЖЕНИЕ ВЪРХУ БЮДЖЕТА</w:t>
      </w:r>
    </w:p>
    <w:p w:rsidR="00B46EF6" w:rsidRDefault="00866EC8">
      <w:pPr>
        <w:pBdr>
          <w:top w:val="nil"/>
          <w:left w:val="nil"/>
          <w:bottom w:val="nil"/>
          <w:right w:val="nil"/>
          <w:between w:val="nil"/>
          <w:bar w:val="nil"/>
        </w:pBdr>
        <w:spacing w:before="0" w:after="240"/>
        <w:rPr>
          <w:noProof/>
        </w:rPr>
      </w:pPr>
      <w:r>
        <w:rPr>
          <w:noProof/>
        </w:rPr>
        <w:t>Прекратяването на членството на ЕС в МГИК ще спести на Съюза над 150 000 евро от годишни вноски, както и човешките и логистичните ресурси, необходими за управление на настоящото членство. Прекратяването на членството на ЕС би означавало, че услугите като с</w:t>
      </w:r>
      <w:r>
        <w:rPr>
          <w:noProof/>
        </w:rPr>
        <w:t>вободния достъп до публикациите на МГИК, вече няма да бъдат на разположение. Трябва да се отбележи обаче, че представяните от МГИК статистически данни се използват само в редки случаи от службите на Комисията, а на равнището на детайлност, от което се нужд</w:t>
      </w:r>
      <w:r>
        <w:rPr>
          <w:noProof/>
        </w:rPr>
        <w:t>аем, информацията понякога може да бъде изтегляна безплатно от алтернативни източници. Във всеки случай разходите за годишен абонамент за всички публикации на МГИК не надхвърлят 8000 евро.</w:t>
      </w:r>
    </w:p>
    <w:p w:rsidR="00B46EF6" w:rsidRDefault="00866EC8">
      <w:pPr>
        <w:pBdr>
          <w:top w:val="nil"/>
          <w:left w:val="nil"/>
          <w:bottom w:val="nil"/>
          <w:right w:val="nil"/>
          <w:between w:val="nil"/>
          <w:bar w:val="nil"/>
        </w:pBdr>
        <w:spacing w:before="0" w:after="240"/>
        <w:rPr>
          <w:rFonts w:eastAsia="Arial Unicode MS"/>
          <w:noProof/>
        </w:rPr>
      </w:pPr>
      <w:r>
        <w:rPr>
          <w:noProof/>
        </w:rPr>
        <w:t>Не е включена финансова обосновка, тъй като с оттеглянето от МГИК е</w:t>
      </w:r>
      <w:r>
        <w:rPr>
          <w:noProof/>
        </w:rPr>
        <w:t xml:space="preserve">динствено се намалява отражението върху бюджета. Тези намаления са от порядъка на 130 000 евро годишно, но не могат да се определят с по-голяма точност поради промените в годишните вноски и обменните курсове между сингапурския долар и еврото. </w:t>
      </w:r>
    </w:p>
    <w:p w:rsidR="00B46EF6" w:rsidRDefault="00B46EF6">
      <w:pPr>
        <w:rPr>
          <w:noProof/>
        </w:rPr>
        <w:sectPr w:rsidR="00B46EF6" w:rsidSect="00866EC8">
          <w:footerReference w:type="default" r:id="rId16"/>
          <w:footerReference w:type="first" r:id="rId17"/>
          <w:pgSz w:w="11907" w:h="16839"/>
          <w:pgMar w:top="1134" w:right="1417" w:bottom="1134" w:left="1417" w:header="709" w:footer="709" w:gutter="0"/>
          <w:cols w:space="708"/>
          <w:docGrid w:linePitch="360"/>
        </w:sectPr>
      </w:pPr>
    </w:p>
    <w:p w:rsidR="00B46EF6" w:rsidRDefault="00866EC8" w:rsidP="00866EC8">
      <w:pPr>
        <w:pStyle w:val="Rfrenceinterinstitutionnelle"/>
        <w:rPr>
          <w:noProof/>
        </w:rPr>
      </w:pPr>
      <w:r w:rsidRPr="00866EC8">
        <w:t>2017/0159 (NLE)</w:t>
      </w:r>
    </w:p>
    <w:p w:rsidR="00B46EF6" w:rsidRDefault="00866EC8" w:rsidP="00866EC8">
      <w:pPr>
        <w:pStyle w:val="Statut"/>
        <w:rPr>
          <w:noProof/>
        </w:rPr>
      </w:pPr>
      <w:r w:rsidRPr="00866EC8">
        <w:t>Предложение за</w:t>
      </w:r>
    </w:p>
    <w:p w:rsidR="00B46EF6" w:rsidRDefault="00866EC8" w:rsidP="00866EC8">
      <w:pPr>
        <w:pStyle w:val="Typedudocument"/>
        <w:rPr>
          <w:noProof/>
        </w:rPr>
      </w:pPr>
      <w:r w:rsidRPr="00866EC8">
        <w:t>РЕШЕНИЕ НА СЪВЕТА</w:t>
      </w:r>
    </w:p>
    <w:p w:rsidR="00B46EF6" w:rsidRDefault="00866EC8" w:rsidP="00866EC8">
      <w:pPr>
        <w:pStyle w:val="Titreobjet"/>
        <w:rPr>
          <w:noProof/>
        </w:rPr>
      </w:pPr>
      <w:r w:rsidRPr="00866EC8">
        <w:t>относно членството на ЕС в Международната група за изследване на каучука (МГИК)</w:t>
      </w:r>
    </w:p>
    <w:p w:rsidR="00B46EF6" w:rsidRDefault="00866EC8">
      <w:pPr>
        <w:pStyle w:val="Institutionquiagit"/>
        <w:rPr>
          <w:noProof/>
        </w:rPr>
      </w:pPr>
      <w:r>
        <w:rPr>
          <w:noProof/>
        </w:rPr>
        <w:t>СЪВЕТЪТ НА ЕВРОПЕЙСКИЯ СЪЮЗ,</w:t>
      </w:r>
    </w:p>
    <w:p w:rsidR="00B46EF6" w:rsidRDefault="00866EC8">
      <w:pPr>
        <w:rPr>
          <w:noProof/>
        </w:rPr>
      </w:pPr>
      <w:r>
        <w:rPr>
          <w:noProof/>
        </w:rPr>
        <w:t xml:space="preserve">като взе </w:t>
      </w:r>
      <w:r>
        <w:rPr>
          <w:noProof/>
        </w:rPr>
        <w:t>предвид Договора за функционирането на Европейския съюз, и по-специално член 207, параграфи 3 и 4 във връзка с член 218, параграф 6, буква а), подточка v) от него,</w:t>
      </w:r>
    </w:p>
    <w:p w:rsidR="00B46EF6" w:rsidRDefault="00866EC8">
      <w:pPr>
        <w:rPr>
          <w:noProof/>
        </w:rPr>
      </w:pPr>
      <w:r>
        <w:rPr>
          <w:noProof/>
        </w:rPr>
        <w:t>като взе предвид предложението на Европейската комисия,</w:t>
      </w:r>
    </w:p>
    <w:p w:rsidR="00B46EF6" w:rsidRDefault="00866EC8">
      <w:pPr>
        <w:rPr>
          <w:noProof/>
        </w:rPr>
      </w:pPr>
      <w:r>
        <w:rPr>
          <w:noProof/>
        </w:rPr>
        <w:t>като има предвид, че:</w:t>
      </w:r>
    </w:p>
    <w:p w:rsidR="00B46EF6" w:rsidRDefault="00866EC8">
      <w:pPr>
        <w:pStyle w:val="ManualConsidrant"/>
        <w:rPr>
          <w:noProof/>
        </w:rPr>
      </w:pPr>
      <w:r>
        <w:t>(1)</w:t>
      </w:r>
      <w:r>
        <w:tab/>
      </w:r>
      <w:r>
        <w:rPr>
          <w:noProof/>
        </w:rPr>
        <w:t>Международ</w:t>
      </w:r>
      <w:r>
        <w:rPr>
          <w:noProof/>
        </w:rPr>
        <w:t xml:space="preserve">ната група за изследване на каучука (МГИК) е създадена през 1944 г. след прекратяването на действието на Международната схема за регламентиране на каучука, функционирала от 1934 г. </w:t>
      </w:r>
    </w:p>
    <w:p w:rsidR="00B46EF6" w:rsidRDefault="00866EC8">
      <w:pPr>
        <w:pStyle w:val="ManualConsidrant"/>
        <w:rPr>
          <w:noProof/>
        </w:rPr>
      </w:pPr>
      <w:r>
        <w:t>(2)</w:t>
      </w:r>
      <w:r>
        <w:tab/>
      </w:r>
      <w:r>
        <w:rPr>
          <w:noProof/>
        </w:rPr>
        <w:t>МГИК е междуправителствена организация със статут на признат междунаро</w:t>
      </w:r>
      <w:r>
        <w:rPr>
          <w:noProof/>
        </w:rPr>
        <w:t>ден орган. Предметът на дейност на Групата е: „… да осигури форум за участие в дискусии по проблеми, засягащи производството, потреблението и търговията с естествен и изкуствен каучук, и да събира и разпространява всеобхватна статистическа информация за св</w:t>
      </w:r>
      <w:r>
        <w:rPr>
          <w:noProof/>
        </w:rPr>
        <w:t>етовната каучукова промишленост“.</w:t>
      </w:r>
    </w:p>
    <w:p w:rsidR="00B46EF6" w:rsidRDefault="00866EC8">
      <w:pPr>
        <w:pStyle w:val="ManualConsidrant"/>
        <w:rPr>
          <w:noProof/>
        </w:rPr>
      </w:pPr>
      <w:r>
        <w:t>(3)</w:t>
      </w:r>
      <w:r>
        <w:tab/>
      </w:r>
      <w:r>
        <w:rPr>
          <w:noProof/>
        </w:rPr>
        <w:t xml:space="preserve">Дейността на Групата се финансира главно чрез вноски от членуващите правителства. От одобрения бюджет 60 % се покриват от основните вноски, плащани в еднакъв размер от всички членуващи правителства. Останалите 40 % се </w:t>
      </w:r>
      <w:r>
        <w:rPr>
          <w:noProof/>
        </w:rPr>
        <w:t>плащат от членуващите правителства пропорционално в зависимост от тяхното производство или потребление (в зависимост от това коя стойност е по-висока) на нов каучук през календарната година, предхождаща съответната финансова година.</w:t>
      </w:r>
    </w:p>
    <w:p w:rsidR="00B46EF6" w:rsidRDefault="00866EC8">
      <w:pPr>
        <w:pStyle w:val="ManualConsidrant"/>
        <w:rPr>
          <w:noProof/>
        </w:rPr>
      </w:pPr>
      <w:r>
        <w:t>(4)</w:t>
      </w:r>
      <w:r>
        <w:tab/>
      </w:r>
      <w:r>
        <w:rPr>
          <w:noProof/>
        </w:rPr>
        <w:t>С Решение 2002/651/</w:t>
      </w:r>
      <w:r>
        <w:rPr>
          <w:noProof/>
        </w:rPr>
        <w:t>ЕО на Съвета от 22 юли 2002 г. Европейската общност стана член на МГИК. ЕС е единен член в МГИК от 1 юли 2011 г. Членството е законово уредено с Решение 2011/664/ЕС на Съвета от 12 септември 2011 г. за подписването и за временното прилагане на изменен Уста</w:t>
      </w:r>
      <w:r>
        <w:rPr>
          <w:noProof/>
        </w:rPr>
        <w:t xml:space="preserve">в и Процедурен правилник на МГИК и с Решение 2012/283/ЕС на Съвета от 24 април 2012 г. за сключването от ЕС на изменен Устав и Процедурен правилник на МГИК. </w:t>
      </w:r>
    </w:p>
    <w:p w:rsidR="00B46EF6" w:rsidRDefault="00866EC8">
      <w:pPr>
        <w:pStyle w:val="ManualConsidrant"/>
        <w:rPr>
          <w:noProof/>
        </w:rPr>
      </w:pPr>
      <w:r>
        <w:t>(5)</w:t>
      </w:r>
      <w:r>
        <w:tab/>
      </w:r>
      <w:r>
        <w:rPr>
          <w:noProof/>
        </w:rPr>
        <w:t xml:space="preserve">Съгласно Процедурния правилник на МГИК „до 1 ноември членовете подават до генералния секретар </w:t>
      </w:r>
      <w:r>
        <w:rPr>
          <w:noProof/>
        </w:rPr>
        <w:t>писмено известие за напускане, което влиза в сила, считано от 30 юни следващата календарна година. Членове, подали известие след 1 ноември, дължат вноски за членство за следващата финансова година.“ (Устав, част XVI, точка 3 от Решение 2011/664/ЕС на Съвет</w:t>
      </w:r>
      <w:r>
        <w:rPr>
          <w:noProof/>
        </w:rPr>
        <w:t>а).</w:t>
      </w:r>
    </w:p>
    <w:p w:rsidR="00B46EF6" w:rsidRDefault="00866EC8">
      <w:pPr>
        <w:pStyle w:val="ManualConsidrant"/>
        <w:rPr>
          <w:noProof/>
        </w:rPr>
      </w:pPr>
      <w:r>
        <w:t>(6)</w:t>
      </w:r>
      <w:r>
        <w:tab/>
      </w:r>
      <w:r>
        <w:rPr>
          <w:noProof/>
        </w:rPr>
        <w:t>МГИК бе засегната отрицателно от оттеглянето през последните години на важни държави членки, като по този начин се превърна в международна организация с ограничено и намаляващо значение. Настоящото членство в МГИК е представително съответно само за</w:t>
      </w:r>
      <w:r>
        <w:rPr>
          <w:noProof/>
        </w:rPr>
        <w:t xml:space="preserve"> около 10 % от световното производство и 25 % от световното потребление на естествен каучук.</w:t>
      </w:r>
    </w:p>
    <w:p w:rsidR="00B46EF6" w:rsidRDefault="00866EC8">
      <w:pPr>
        <w:pStyle w:val="ManualConsidrant"/>
        <w:rPr>
          <w:noProof/>
        </w:rPr>
      </w:pPr>
      <w:r>
        <w:t>(7)</w:t>
      </w:r>
      <w:r>
        <w:tab/>
      </w:r>
      <w:r>
        <w:rPr>
          <w:noProof/>
        </w:rPr>
        <w:t xml:space="preserve">Не съществуват обосновани изгледи това положение да се промени. </w:t>
      </w:r>
    </w:p>
    <w:p w:rsidR="00B46EF6" w:rsidRDefault="00866EC8">
      <w:pPr>
        <w:pStyle w:val="ManualConsidrant"/>
        <w:rPr>
          <w:noProof/>
        </w:rPr>
      </w:pPr>
      <w:r>
        <w:t>(8)</w:t>
      </w:r>
      <w:r>
        <w:tab/>
      </w:r>
      <w:r>
        <w:rPr>
          <w:noProof/>
        </w:rPr>
        <w:t xml:space="preserve">Вследствие на намаляването на броя на членуващите правителства, намаляването на паричните </w:t>
      </w:r>
      <w:r>
        <w:rPr>
          <w:noProof/>
        </w:rPr>
        <w:t>резерви на Групата и промяната в обменния курс между еврото и сингапурския долар, вноската на ЕС към бюджета на МГИК е значителна и се повишава.</w:t>
      </w:r>
    </w:p>
    <w:p w:rsidR="00B46EF6" w:rsidRDefault="00866EC8">
      <w:pPr>
        <w:pStyle w:val="ManualConsidrant"/>
        <w:rPr>
          <w:noProof/>
        </w:rPr>
      </w:pPr>
      <w:r>
        <w:t>(9)</w:t>
      </w:r>
      <w:r>
        <w:tab/>
      </w:r>
      <w:r>
        <w:rPr>
          <w:noProof/>
        </w:rPr>
        <w:t xml:space="preserve">Поддържането на членство в междуправителствена организация с ограничено и намаляващо значение би било </w:t>
      </w:r>
      <w:r>
        <w:rPr>
          <w:noProof/>
        </w:rPr>
        <w:t>нецелесъобразно и неефективно. Поради това ЕС следва да се оттегли от Международната група за изследване на каучука,</w:t>
      </w:r>
    </w:p>
    <w:p w:rsidR="00B46EF6" w:rsidRDefault="00866EC8">
      <w:pPr>
        <w:pStyle w:val="Formuledadoption"/>
        <w:rPr>
          <w:noProof/>
        </w:rPr>
      </w:pPr>
      <w:r>
        <w:rPr>
          <w:noProof/>
        </w:rPr>
        <w:t xml:space="preserve">ПРИЕ НАСТОЯЩОТО РЕШЕНИЕ: </w:t>
      </w:r>
    </w:p>
    <w:p w:rsidR="00B46EF6" w:rsidRDefault="00866EC8">
      <w:pPr>
        <w:pStyle w:val="Titrearticle"/>
        <w:rPr>
          <w:noProof/>
        </w:rPr>
      </w:pPr>
      <w:r>
        <w:rPr>
          <w:noProof/>
        </w:rPr>
        <w:t>Член 1</w:t>
      </w:r>
    </w:p>
    <w:p w:rsidR="00B46EF6" w:rsidRDefault="00866EC8">
      <w:pPr>
        <w:rPr>
          <w:noProof/>
        </w:rPr>
      </w:pPr>
      <w:r>
        <w:rPr>
          <w:noProof/>
        </w:rPr>
        <w:t xml:space="preserve">Европейският съюз се оттегля от Международната група за изследване на каучука. </w:t>
      </w:r>
    </w:p>
    <w:p w:rsidR="00B46EF6" w:rsidRDefault="00866EC8">
      <w:pPr>
        <w:pStyle w:val="Titrearticle"/>
        <w:keepNext w:val="0"/>
        <w:rPr>
          <w:noProof/>
        </w:rPr>
      </w:pPr>
      <w:r>
        <w:rPr>
          <w:noProof/>
        </w:rPr>
        <w:t>Член 2</w:t>
      </w:r>
    </w:p>
    <w:p w:rsidR="00B46EF6" w:rsidRDefault="00866EC8">
      <w:pPr>
        <w:rPr>
          <w:noProof/>
        </w:rPr>
      </w:pPr>
      <w:r>
        <w:rPr>
          <w:noProof/>
        </w:rPr>
        <w:t>С настоящото Комиси</w:t>
      </w:r>
      <w:r>
        <w:rPr>
          <w:noProof/>
        </w:rPr>
        <w:t>ята се оправомощава да посочи лицата, упълномощени да уведомят писмено генералния секретар на Международната група за изследване на каучука за оттеглянето.</w:t>
      </w:r>
    </w:p>
    <w:p w:rsidR="00B46EF6" w:rsidRDefault="00866EC8">
      <w:pPr>
        <w:pStyle w:val="Titrearticle"/>
        <w:keepNext w:val="0"/>
        <w:rPr>
          <w:noProof/>
        </w:rPr>
      </w:pPr>
      <w:r>
        <w:rPr>
          <w:noProof/>
        </w:rPr>
        <w:t>Член 3</w:t>
      </w:r>
    </w:p>
    <w:p w:rsidR="00B46EF6" w:rsidRDefault="00866EC8">
      <w:pPr>
        <w:keepLines/>
        <w:rPr>
          <w:noProof/>
        </w:rPr>
      </w:pPr>
      <w:r>
        <w:rPr>
          <w:noProof/>
        </w:rPr>
        <w:t xml:space="preserve">Настоящото решение влиза в сила в деня на приемането му. </w:t>
      </w:r>
    </w:p>
    <w:p w:rsidR="00B46EF6" w:rsidRDefault="00B46EF6">
      <w:pPr>
        <w:keepLines/>
        <w:rPr>
          <w:noProof/>
        </w:rPr>
      </w:pPr>
    </w:p>
    <w:p w:rsidR="00B46EF6" w:rsidRDefault="00866EC8" w:rsidP="00866EC8">
      <w:pPr>
        <w:pStyle w:val="Fait"/>
        <w:rPr>
          <w:noProof/>
        </w:rPr>
      </w:pPr>
      <w:r w:rsidRPr="00866EC8">
        <w:t xml:space="preserve">Съставено в Брюксел на </w:t>
      </w:r>
      <w:r w:rsidRPr="00866EC8">
        <w:rPr>
          <w:rStyle w:val="Marker2"/>
        </w:rPr>
        <w:t>[…]</w:t>
      </w:r>
      <w:r w:rsidRPr="00866EC8">
        <w:t xml:space="preserve"> година.</w:t>
      </w:r>
    </w:p>
    <w:p w:rsidR="00B46EF6" w:rsidRDefault="00866EC8">
      <w:pPr>
        <w:pStyle w:val="Institutionquisigne"/>
        <w:rPr>
          <w:noProof/>
        </w:rPr>
      </w:pPr>
      <w:r>
        <w:rPr>
          <w:noProof/>
        </w:rPr>
        <w:tab/>
      </w:r>
      <w:r>
        <w:rPr>
          <w:noProof/>
        </w:rPr>
        <w:t>За Съвета</w:t>
      </w:r>
    </w:p>
    <w:p w:rsidR="00B46EF6" w:rsidRDefault="00866EC8">
      <w:pPr>
        <w:pStyle w:val="Personnequisigne"/>
        <w:rPr>
          <w:noProof/>
        </w:rPr>
      </w:pPr>
      <w:r>
        <w:rPr>
          <w:noProof/>
        </w:rPr>
        <w:tab/>
        <w:t>Председател</w:t>
      </w:r>
    </w:p>
    <w:sectPr w:rsidR="00B46EF6" w:rsidSect="00866EC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F6" w:rsidRDefault="00866EC8">
      <w:pPr>
        <w:spacing w:before="0" w:after="0"/>
      </w:pPr>
      <w:r>
        <w:separator/>
      </w:r>
    </w:p>
  </w:endnote>
  <w:endnote w:type="continuationSeparator" w:id="0">
    <w:p w:rsidR="00B46EF6" w:rsidRDefault="00866E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C8" w:rsidRPr="00866EC8" w:rsidRDefault="00866EC8" w:rsidP="00866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F6" w:rsidRPr="00866EC8" w:rsidRDefault="00866EC8" w:rsidP="00866EC8">
    <w:pPr>
      <w:pStyle w:val="Footer"/>
      <w:rPr>
        <w:rFonts w:ascii="Arial" w:hAnsi="Arial" w:cs="Arial"/>
        <w:b/>
        <w:sz w:val="48"/>
      </w:rPr>
    </w:pPr>
    <w:r w:rsidRPr="00866EC8">
      <w:rPr>
        <w:rFonts w:ascii="Arial" w:hAnsi="Arial" w:cs="Arial"/>
        <w:b/>
        <w:sz w:val="48"/>
      </w:rPr>
      <w:t>BG</w:t>
    </w:r>
    <w:r w:rsidRPr="00866EC8">
      <w:rPr>
        <w:rFonts w:ascii="Arial" w:hAnsi="Arial" w:cs="Arial"/>
        <w:b/>
        <w:sz w:val="48"/>
      </w:rPr>
      <w:tab/>
    </w:r>
    <w:r w:rsidRPr="00866EC8">
      <w:rPr>
        <w:rFonts w:ascii="Arial" w:hAnsi="Arial" w:cs="Arial"/>
        <w:b/>
        <w:sz w:val="48"/>
      </w:rPr>
      <w:tab/>
    </w:r>
    <w:fldSimple w:instr=" DOCVARIABLE &quot;LW_Confidence&quot; \* MERGEFORMAT ">
      <w:r>
        <w:t xml:space="preserve"> </w:t>
      </w:r>
    </w:fldSimple>
    <w:r w:rsidRPr="00866EC8">
      <w:tab/>
    </w:r>
    <w:proofErr w:type="spellStart"/>
    <w:r w:rsidRPr="00866EC8">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C8" w:rsidRPr="00866EC8" w:rsidRDefault="00866EC8" w:rsidP="00866E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C8" w:rsidRPr="00866EC8" w:rsidRDefault="00866EC8" w:rsidP="00866EC8">
    <w:pPr>
      <w:pStyle w:val="Footer"/>
      <w:rPr>
        <w:rFonts w:ascii="Arial" w:hAnsi="Arial" w:cs="Arial"/>
        <w:b/>
        <w:sz w:val="48"/>
      </w:rPr>
    </w:pPr>
    <w:r w:rsidRPr="00866EC8">
      <w:rPr>
        <w:rFonts w:ascii="Arial" w:hAnsi="Arial" w:cs="Arial"/>
        <w:b/>
        <w:sz w:val="48"/>
      </w:rPr>
      <w:t>BG</w:t>
    </w:r>
    <w:r w:rsidRPr="00866EC8">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866EC8">
      <w:tab/>
    </w:r>
    <w:r w:rsidRPr="00866EC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C8" w:rsidRPr="00866EC8" w:rsidRDefault="00866EC8" w:rsidP="00866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F6" w:rsidRDefault="00866EC8">
      <w:pPr>
        <w:spacing w:before="0" w:after="0"/>
      </w:pPr>
      <w:r>
        <w:separator/>
      </w:r>
    </w:p>
  </w:footnote>
  <w:footnote w:type="continuationSeparator" w:id="0">
    <w:p w:rsidR="00B46EF6" w:rsidRDefault="00866EC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C8" w:rsidRPr="00866EC8" w:rsidRDefault="00866EC8" w:rsidP="00866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C8" w:rsidRPr="00866EC8" w:rsidRDefault="00866EC8" w:rsidP="00866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EC8" w:rsidRPr="00866EC8" w:rsidRDefault="00866EC8" w:rsidP="00866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54D6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C08AB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C644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3676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766C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9682E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1EC37A"/>
    <w:lvl w:ilvl="0">
      <w:start w:val="1"/>
      <w:numFmt w:val="decimal"/>
      <w:pStyle w:val="ListNumber"/>
      <w:lvlText w:val="%1."/>
      <w:lvlJc w:val="left"/>
      <w:pPr>
        <w:tabs>
          <w:tab w:val="num" w:pos="360"/>
        </w:tabs>
        <w:ind w:left="360" w:hanging="360"/>
      </w:pPr>
    </w:lvl>
  </w:abstractNum>
  <w:abstractNum w:abstractNumId="7">
    <w:nsid w:val="FFFFFF89"/>
    <w:multiLevelType w:val="singleLevel"/>
    <w:tmpl w:val="7DA0D4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1 10:03: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CBEB96928F44AE7A24460D932602F67"/>
    <w:docVar w:name="LW_CROSSREFERENCE" w:val="&lt;UNUSED&gt;"/>
    <w:docVar w:name="LW_DocType" w:val="COM"/>
    <w:docVar w:name="LW_EMISSION" w:val="18.7.2017"/>
    <w:docVar w:name="LW_EMISSION_ISODATE" w:val="2017-07-18"/>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9"/>
    <w:docVar w:name="LW_REF.II.NEW.CP_YEAR" w:val="2017"/>
    <w:docVar w:name="LW_REF.INST.NEW" w:val="COM"/>
    <w:docVar w:name="LW_REF.INST.NEW_ADOPTED" w:val="final"/>
    <w:docVar w:name="LW_REF.INST.NEW_TEXT" w:val="(2017) 378"/>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5?\u1083?\u1077?\u1085?\u1089?\u1090?\u1074?\u1086?\u1090?\u1086? \u1085?\u1072? \u1045?\u1057? \u1074? \u1052?\u1077?\u1078?\u1076?\u1091?\u1085?\u1072?\u1088?\u1086?\u1076?\u1085?\u1072?\u1090?\u1072? \u1075?\u1088?\u1091?\u1087?\u1072? \u1079?\u1072? \u1080?\u1079?\u1089?\u1083?\u1077?\u1076?\u1074?\u1072?\u1085?\u1077? \u1085?\u1072? \u1082?\u1072?\u1091?\u1095?\u1091?\u1082?\u1072? (\u1052?\u1043?\u1048?\u1050?)"/>
    <w:docVar w:name="LW_TYPE.DOC.CP" w:val="\u1056?\u1045?\u1064?\u1045?\u1053?\u1048?\u1045? \u1053?\u1040? \u1057?\u1066?\u1042?\u1045?\u1058?\u1040?"/>
  </w:docVars>
  <w:rsids>
    <w:rsidRoot w:val="00B46EF6"/>
    <w:rsid w:val="00866EC8"/>
    <w:rsid w:val="00B46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66EC8"/>
    <w:pPr>
      <w:tabs>
        <w:tab w:val="center" w:pos="4535"/>
        <w:tab w:val="right" w:pos="9071"/>
      </w:tabs>
      <w:spacing w:before="0"/>
    </w:pPr>
  </w:style>
  <w:style w:type="character" w:customStyle="1" w:styleId="HeaderChar">
    <w:name w:val="Header Char"/>
    <w:basedOn w:val="DefaultParagraphFont"/>
    <w:link w:val="Header"/>
    <w:uiPriority w:val="99"/>
    <w:rsid w:val="00866EC8"/>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66EC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66EC8"/>
    <w:pPr>
      <w:tabs>
        <w:tab w:val="center" w:pos="4535"/>
        <w:tab w:val="right" w:pos="9071"/>
      </w:tabs>
      <w:spacing w:before="0"/>
    </w:pPr>
  </w:style>
  <w:style w:type="character" w:customStyle="1" w:styleId="HeaderChar">
    <w:name w:val="Header Char"/>
    <w:basedOn w:val="DefaultParagraphFont"/>
    <w:link w:val="Header"/>
    <w:uiPriority w:val="99"/>
    <w:rsid w:val="00866EC8"/>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66EC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28C94-F9C7-4F13-B82A-3FD9C7B3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2051</Words>
  <Characters>11445</Characters>
  <Application>Microsoft Office Word</Application>
  <DocSecurity>0</DocSecurity>
  <Lines>211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2017-03-31T15:15:00Z</cp:lastPrinted>
  <dcterms:created xsi:type="dcterms:W3CDTF">2017-07-07T14:22:00Z</dcterms:created>
  <dcterms:modified xsi:type="dcterms:W3CDTF">2017-07-11T09:15:00Z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