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492C63FAF24082ADD58F7FAD6EB92C" style="width:450.35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The Agreement between the European Union and Republic of Armenia facilitating the issuing of visas</w:t>
      </w:r>
      <w:r>
        <w:rPr>
          <w:rStyle w:val="FootnoteReference"/>
          <w:noProof/>
        </w:rPr>
        <w:footnoteReference w:id="1"/>
      </w:r>
      <w:r>
        <w:rPr>
          <w:noProof/>
        </w:rPr>
        <w:t xml:space="preserve"> entered into force on 1 January 2014. The Agreement established, on the basis of reciprocity, legally binding rights and obligations to simplify the procedures for issuing visas to Armenian citizens. Article 12 of the Agreement set up a Joint Committee tasked, </w:t>
      </w:r>
      <w:r>
        <w:rPr>
          <w:i/>
          <w:noProof/>
        </w:rPr>
        <w:t>inter alia</w:t>
      </w:r>
      <w:r>
        <w:rPr>
          <w:noProof/>
        </w:rPr>
        <w:t>, with monitoring the implementation of the Agreement. The Joint Committee noted the need for common guidelines to ensure that the Schengen Member States’ consulates implement the Agreement in a fully harmonised way and to clarify the relationship between the Agreement and the contracting parties’ other provisions that continue to apply to visa issues not covered by the Agreement.</w:t>
      </w:r>
    </w:p>
    <w:p>
      <w:pPr>
        <w:autoSpaceDE w:val="0"/>
        <w:autoSpaceDN w:val="0"/>
        <w:adjustRightInd w:val="0"/>
        <w:spacing w:before="0" w:after="0"/>
        <w:rPr>
          <w:noProof/>
          <w:szCs w:val="24"/>
        </w:rPr>
      </w:pPr>
      <w:r>
        <w:rPr>
          <w:noProof/>
          <w:szCs w:val="24"/>
        </w:rPr>
        <w:t>These Guidelines are not part of the Agreement and are not legally binding. However, it is highly recommended that diplomatic and consular staff consistently follow them.</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provisions in the policy area</w:t>
      </w:r>
    </w:p>
    <w:p>
      <w:pPr>
        <w:spacing w:after="240"/>
        <w:rPr>
          <w:noProof/>
          <w:szCs w:val="24"/>
        </w:rPr>
      </w:pPr>
      <w:r>
        <w:rPr>
          <w:noProof/>
          <w:szCs w:val="24"/>
        </w:rPr>
        <w:t xml:space="preserve">The Agreement takes precedence over </w:t>
      </w:r>
      <w:r>
        <w:rPr>
          <w:noProof/>
        </w:rPr>
        <w:t>Regulation (EC) No 810/2009 of the European Parliament and of the Council of 13 July 2009 establishing a Community Code on Visas (Visa Code)</w:t>
      </w:r>
      <w:r>
        <w:rPr>
          <w:rStyle w:val="FootnoteReference"/>
          <w:noProof/>
        </w:rPr>
        <w:footnoteReference w:id="2"/>
      </w:r>
      <w:r>
        <w:rPr>
          <w:noProof/>
          <w:szCs w:val="24"/>
        </w:rPr>
        <w:t xml:space="preserve"> on matters which they both regulate.</w:t>
      </w:r>
    </w:p>
    <w:p>
      <w:pPr>
        <w:spacing w:after="240"/>
        <w:rPr>
          <w:noProof/>
        </w:rPr>
      </w:pPr>
      <w:r>
        <w:rPr>
          <w:noProof/>
        </w:rPr>
        <w:t>Visa Code provisions apply to all issues not covered by the Agreement, such as determining the Schengen Member State responsible for processing a visa application, the grounds for refusing to issue a visa, the right to appeal against a negative decision or the general rules on the personal interview with the applicant.</w:t>
      </w:r>
    </w:p>
    <w:p>
      <w:pPr>
        <w:spacing w:after="240"/>
        <w:rPr>
          <w:noProof/>
        </w:rPr>
      </w:pPr>
      <w:r>
        <w:rPr>
          <w:noProof/>
        </w:rPr>
        <w:t>Schengen rules and, where appropriate, national law also continue to apply to issues which are not covered by the Agreement,</w:t>
      </w:r>
      <w:r>
        <w:rPr>
          <w:i/>
          <w:noProof/>
        </w:rPr>
        <w:t xml:space="preserve"> </w:t>
      </w:r>
      <w:r>
        <w:rPr>
          <w:noProof/>
        </w:rPr>
        <w:t>such as the recognition of travel documents, proof of sufficient means of subsistence, refusal of entry to the territory of the Member States, and expulsion measures.</w:t>
      </w:r>
    </w:p>
    <w:p>
      <w:pPr>
        <w:spacing w:after="240"/>
        <w:rPr>
          <w:rFonts w:eastAsia="Calibri"/>
          <w:noProof/>
        </w:rPr>
      </w:pPr>
      <w:r>
        <w:rPr>
          <w:rFonts w:eastAsia="Calibri"/>
          <w:noProof/>
        </w:rPr>
        <w:t>Under Article 2(1) of the Agreement, the visa facilitations provided for in the Agreement apply to citizens of Armenia only in so far as they are not exempted from the visa requirement by Regulation 539/2001</w:t>
      </w:r>
      <w:r>
        <w:rPr>
          <w:rStyle w:val="FootnoteReference"/>
          <w:noProof/>
        </w:rPr>
        <w:footnoteReference w:id="3"/>
      </w:r>
      <w:r>
        <w:rPr>
          <w:rFonts w:eastAsia="Calibri"/>
          <w:noProof/>
        </w:rPr>
        <w:t xml:space="preserve">. Indeed, if the Republic of Armenia were to be transferred to Annex II of Regulation 539/2001 listing the countries whose nationals are exempted from the visa requirement, the Agreement would cease to apply. However, as such an exemption would only be granted to holders of biometric passports (exemption to be specified in an Annex II footnote), the Agreement would continue to apply to citizens of Armenia holding a non-biometric passport.   </w:t>
      </w:r>
    </w:p>
    <w:p>
      <w:pPr>
        <w:pStyle w:val="ManualHeading1"/>
        <w:rPr>
          <w:noProof/>
        </w:rPr>
      </w:pPr>
      <w:r>
        <w:rPr>
          <w:noProof/>
        </w:rPr>
        <w:t>2.</w:t>
      </w:r>
      <w:r>
        <w:rPr>
          <w:noProof/>
        </w:rPr>
        <w:tab/>
        <w:t>LEGAL ELEMENTS OF THE PROPOSAL</w:t>
      </w:r>
    </w:p>
    <w:p>
      <w:pPr>
        <w:autoSpaceDE w:val="0"/>
        <w:autoSpaceDN w:val="0"/>
        <w:adjustRightInd w:val="0"/>
        <w:spacing w:before="0" w:after="240"/>
        <w:rPr>
          <w:noProof/>
          <w:szCs w:val="24"/>
        </w:rPr>
      </w:pPr>
      <w:r>
        <w:rPr>
          <w:noProof/>
          <w:szCs w:val="24"/>
        </w:rPr>
        <w:t>The Guidelines, to be adopted by the Joint Committee following the adoption of an EU position on the basis of this proposal, are intended to explain in detail the provisions of the Agreement, so that it is properly and consistently implemented.</w:t>
      </w:r>
    </w:p>
    <w:p>
      <w:pPr>
        <w:autoSpaceDE w:val="0"/>
        <w:autoSpaceDN w:val="0"/>
        <w:adjustRightInd w:val="0"/>
        <w:spacing w:before="0" w:after="240"/>
        <w:rPr>
          <w:noProof/>
          <w:szCs w:val="24"/>
        </w:rPr>
      </w:pPr>
      <w:r>
        <w:rPr>
          <w:noProof/>
          <w:szCs w:val="24"/>
        </w:rPr>
        <w:t xml:space="preserve">They take into consideration the Visa Code and other legislative acts in the field of EU visa policy. The aim is to ensure that the consular staff of the Member States acts in accordance with the EU visa </w:t>
      </w:r>
      <w:r>
        <w:rPr>
          <w:i/>
          <w:noProof/>
          <w:szCs w:val="24"/>
        </w:rPr>
        <w:t>acquis</w:t>
      </w:r>
      <w:r>
        <w:rPr>
          <w:noProof/>
          <w:szCs w:val="24"/>
        </w:rPr>
        <w:t xml:space="preserve"> when implementing the Agreement.</w:t>
      </w:r>
    </w:p>
    <w:p>
      <w:pPr>
        <w:pStyle w:val="ManualHeading1"/>
        <w:rPr>
          <w:noProof/>
        </w:rPr>
      </w:pPr>
      <w:r>
        <w:rPr>
          <w:noProof/>
        </w:rPr>
        <w:t>3.</w:t>
      </w:r>
      <w:r>
        <w:rPr>
          <w:noProof/>
        </w:rPr>
        <w:tab/>
        <w:t>RESULTS OF CONSULTATIONS AND IMPACT ASSESSMENTS</w:t>
      </w:r>
    </w:p>
    <w:p>
      <w:pPr>
        <w:pStyle w:val="NoSpacing"/>
        <w:rPr>
          <w:noProof/>
        </w:rPr>
      </w:pPr>
      <w:r>
        <w:rPr>
          <w:noProof/>
        </w:rPr>
        <w:t>The Commission discussed these draft Guidelines with the responsible authorities of the Republic of Armenia at the Joint Committee meetings of 10 September 2014, 29 April 2015 and 15 June 2016 and in exchanges of emails between the contracting parties in between Committee meetings. Several outstanding issues required deeper analysis before a mutually satisfactory compromise could be reached, in particular on the issue of journalists’ and carriers’ professional organisations (see point 2.2.1 letters (e) and (k) of the Guidelines).</w:t>
      </w:r>
    </w:p>
    <w:p>
      <w:pPr>
        <w:pStyle w:val="NoSpacing"/>
        <w:rPr>
          <w:noProof/>
        </w:rPr>
      </w:pPr>
    </w:p>
    <w:p>
      <w:pPr>
        <w:autoSpaceDE w:val="0"/>
        <w:autoSpaceDN w:val="0"/>
        <w:adjustRightInd w:val="0"/>
        <w:spacing w:before="0" w:after="240"/>
        <w:rPr>
          <w:noProof/>
          <w:szCs w:val="24"/>
        </w:rPr>
      </w:pPr>
      <w:r>
        <w:rPr>
          <w:noProof/>
          <w:szCs w:val="24"/>
        </w:rPr>
        <w:t>Member States were consulted on the draft Guidelines annexed to this proposal for a Council Decision in the context of the local Schengen cooperation in Yerevan and the Visa Working Party (last consultation: 26 November 2016). The final version of the Guidelines was agreed by the Joint Committee at its third meeting, held on 15 June 2016.</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szCs w:val="24"/>
        </w:rPr>
        <w:t>This proposal has no impact on the EU budget.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2017/0162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establishing the position to be taken on behalf of the European Union within the Joint Committee set up under the Agreement between the European Union and the Republic of Armenia on the facilitation of the issuance of visas, </w:t>
      </w:r>
      <w:r>
        <w:rPr>
          <w:noProof/>
        </w:rPr>
        <w:br/>
        <w:t>with regard to the adoption of common guidelines for the implementation of</w:t>
      </w:r>
      <w:r>
        <w:rPr>
          <w:noProof/>
        </w:rPr>
        <w:br/>
        <w:t>the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77(2)(a),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Article 12 of the Agreement between the European Union and Armenia on the facilitation of the issuance of visas</w:t>
      </w:r>
      <w:r>
        <w:rPr>
          <w:rStyle w:val="FootnoteReference"/>
          <w:noProof/>
        </w:rPr>
        <w:footnoteReference w:id="4"/>
      </w:r>
      <w:r>
        <w:rPr>
          <w:noProof/>
        </w:rPr>
        <w:t xml:space="preserve"> (‘the Agreement’) sets up a Joint Committee. It provides in particular that the Joint Committee is to monitor the implementation of the Agreement.</w:t>
      </w:r>
    </w:p>
    <w:p>
      <w:pPr>
        <w:pStyle w:val="ManualConsidrant"/>
        <w:rPr>
          <w:noProof/>
        </w:rPr>
      </w:pPr>
      <w:r>
        <w:rPr>
          <w:noProof/>
        </w:rPr>
        <w:t>(2)</w:t>
      </w:r>
      <w:r>
        <w:rPr>
          <w:noProof/>
        </w:rPr>
        <w:tab/>
        <w:t>Regulation (EC) No 810/2009 of the European Parliament and of the Council</w:t>
      </w:r>
      <w:r>
        <w:rPr>
          <w:rStyle w:val="FootnoteReference"/>
          <w:noProof/>
        </w:rPr>
        <w:footnoteReference w:id="5"/>
      </w:r>
      <w:r>
        <w:rPr>
          <w:noProof/>
        </w:rPr>
        <w:t xml:space="preserve"> established the procedures and conditions for issuing visas for transit through or intended stays on the territory of the Member States not exceeding 90 days in any 180-day period.</w:t>
      </w:r>
    </w:p>
    <w:p>
      <w:pPr>
        <w:pStyle w:val="ManualConsidrant"/>
        <w:rPr>
          <w:noProof/>
        </w:rPr>
      </w:pPr>
      <w:r>
        <w:rPr>
          <w:noProof/>
        </w:rPr>
        <w:t>(3)</w:t>
      </w:r>
      <w:r>
        <w:rPr>
          <w:noProof/>
        </w:rPr>
        <w:tab/>
        <w:t>The common guidelines are needed to ensure fully harmonised implementation of the Agreement by the consulates of the Member States and to clarify the relationship between the Agreement and the provisions of the contracting parties that continue to apply to visa issues not covered by the Agreement.</w:t>
      </w:r>
    </w:p>
    <w:p>
      <w:pPr>
        <w:pStyle w:val="ManualConsidrant"/>
        <w:rPr>
          <w:noProof/>
        </w:rPr>
      </w:pPr>
      <w:r>
        <w:rPr>
          <w:noProof/>
        </w:rPr>
        <w:t>(4)</w:t>
      </w:r>
      <w:r>
        <w:rPr>
          <w:noProof/>
        </w:rPr>
        <w:tab/>
        <w:t>It is appropriate to establish the position to be adopted on the Union’s behalf within the Joint Committee on the adoption of common guidelines for the implementation of the Agreement.</w:t>
      </w:r>
    </w:p>
    <w:p>
      <w:pPr>
        <w:pStyle w:val="ManualConsidrant"/>
        <w:rPr>
          <w:noProof/>
        </w:rPr>
      </w:pPr>
      <w:r>
        <w:rPr>
          <w:noProof/>
        </w:rPr>
        <w:t xml:space="preserve">(5) </w:t>
      </w:r>
      <w:r>
        <w:rPr>
          <w:noProof/>
        </w:rPr>
        <w:tab/>
        <w:t xml:space="preserve">This Decision constitutes a development of Schengen </w:t>
      </w:r>
      <w:r>
        <w:rPr>
          <w:i/>
          <w:noProof/>
        </w:rPr>
        <w:t>acquis</w:t>
      </w:r>
      <w:r>
        <w:rPr>
          <w:noProof/>
        </w:rPr>
        <w:t xml:space="preserve"> provisions in which the United Kingdom does not take part, in accordance with Council Decision 2000/365/EC of 29 May 2000 concerning the request of the United Kingdom of Great Britain and Northern Ireland to take part in some of the provisions of the Schengen </w:t>
      </w:r>
      <w:r>
        <w:rPr>
          <w:i/>
          <w:noProof/>
        </w:rPr>
        <w:t>acquis</w:t>
      </w:r>
      <w:r>
        <w:rPr>
          <w:rStyle w:val="FootnoteReference"/>
          <w:noProof/>
        </w:rPr>
        <w:footnoteReference w:id="6"/>
      </w:r>
      <w:r>
        <w:rPr>
          <w:noProof/>
        </w:rPr>
        <w:t>. The United Kingdom is therefore not taking part in the adoption of this Decision and is not bound by it or subject to its application.</w:t>
      </w:r>
    </w:p>
    <w:p>
      <w:pPr>
        <w:pStyle w:val="ManualConsidrant"/>
        <w:rPr>
          <w:noProof/>
        </w:rPr>
      </w:pPr>
      <w:r>
        <w:rPr>
          <w:noProof/>
        </w:rPr>
        <w:t>(6)</w:t>
      </w:r>
      <w:r>
        <w:rPr>
          <w:noProof/>
        </w:rPr>
        <w:tab/>
        <w:t xml:space="preserve">This Decision constitutes a development of Schengen </w:t>
      </w:r>
      <w:r>
        <w:rPr>
          <w:i/>
          <w:noProof/>
        </w:rPr>
        <w:t>acquis</w:t>
      </w:r>
      <w:r>
        <w:rPr>
          <w:noProof/>
        </w:rPr>
        <w:t xml:space="preserve"> provisions in which Ireland does not take part, in accordance with Council Decision 2002/192/EC of 28 February 2002 concerning Ireland’s request to take part in some of the provisions of the Schengen </w:t>
      </w:r>
      <w:r>
        <w:rPr>
          <w:i/>
          <w:noProof/>
        </w:rPr>
        <w:t>acquis</w:t>
      </w:r>
      <w:r>
        <w:rPr>
          <w:rStyle w:val="FootnoteReference"/>
          <w:noProof/>
        </w:rPr>
        <w:footnoteReference w:id="7"/>
      </w:r>
      <w:r>
        <w:rPr>
          <w:noProof/>
        </w:rPr>
        <w:t>. Ireland is therefore not taking part in the adoption of this Decision and is not bound by it or subject to its application.</w:t>
      </w:r>
    </w:p>
    <w:p>
      <w:pPr>
        <w:pStyle w:val="ManualConsidrant"/>
        <w:rPr>
          <w:noProof/>
        </w:rPr>
      </w:pPr>
      <w:r>
        <w:rPr>
          <w:noProof/>
        </w:rPr>
        <w:t>(7)</w:t>
      </w:r>
      <w:r>
        <w:rPr>
          <w:noProof/>
        </w:rPr>
        <w:tab/>
        <w:t>In accordance with Articles 1 and 2 of the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the Union’s behalf within the Joint Committee set up by Article 12 of the Agreement between the European Union and the Republic of Armenia on the facilitation of the issuance of visas with regard to the adoption of common guidelines for the implementation of the Agreement, shall be based on the draft Decision of the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40" w:hanging="240"/>
      </w:pPr>
      <w:r>
        <w:rPr>
          <w:rStyle w:val="FootnoteReference"/>
        </w:rPr>
        <w:footnoteRef/>
      </w:r>
      <w:r>
        <w:tab/>
        <w:t>Agreement between the European Union and the Republic of Armenia on the facilitation of the issuance of visas, OJ L 289, 31.10.2013, p. 2.</w:t>
      </w:r>
    </w:p>
  </w:footnote>
  <w:footnote w:id="2">
    <w:p>
      <w:pPr>
        <w:pStyle w:val="FootnoteText"/>
        <w:ind w:left="240" w:hanging="240"/>
      </w:pPr>
      <w:r>
        <w:rPr>
          <w:rStyle w:val="FootnoteReference"/>
        </w:rPr>
        <w:footnoteRef/>
      </w:r>
      <w:r>
        <w:tab/>
        <w:t>OJ L243 of 15.9.2009, p.1.</w:t>
      </w:r>
    </w:p>
  </w:footnote>
  <w:footnote w:id="3">
    <w:p>
      <w:pPr>
        <w:pStyle w:val="FootnoteText"/>
        <w:ind w:left="240" w:hanging="240"/>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21.3.2001, p. 1.</w:t>
      </w:r>
    </w:p>
  </w:footnote>
  <w:footnote w:id="4">
    <w:p>
      <w:pPr>
        <w:pStyle w:val="FootnoteText"/>
        <w:ind w:left="120" w:hanging="120"/>
      </w:pPr>
      <w:r>
        <w:rPr>
          <w:rStyle w:val="FootnoteReference"/>
        </w:rPr>
        <w:footnoteRef/>
      </w:r>
      <w:r>
        <w:tab/>
        <w:t>OJ L 289, 31.10.2013, p. 2.</w:t>
      </w:r>
    </w:p>
  </w:footnote>
  <w:footnote w:id="5">
    <w:p>
      <w:pPr>
        <w:pStyle w:val="FootnoteText"/>
        <w:ind w:left="142" w:hanging="142"/>
      </w:pPr>
      <w:r>
        <w:rPr>
          <w:rStyle w:val="FootnoteReference"/>
        </w:rPr>
        <w:footnoteRef/>
      </w:r>
      <w:r>
        <w:tab/>
        <w:t>Regulation (EC) No 810/2009 of the European Parliament and of the Council of 13 July 2009 establishing a Community Code on Visas (Visa Code) (OJ L243 of 15.9.2009, p.1.)</w:t>
      </w:r>
    </w:p>
  </w:footnote>
  <w:footnote w:id="6">
    <w:p>
      <w:pPr>
        <w:pStyle w:val="FootnoteText"/>
        <w:ind w:left="142" w:hanging="142"/>
      </w:pPr>
      <w:r>
        <w:rPr>
          <w:rStyle w:val="FootnoteReference"/>
        </w:rPr>
        <w:footnoteRef/>
      </w:r>
      <w:r>
        <w:tab/>
        <w:t xml:space="preserve">Council Decision No 2000/365/EC of 29 May 2000 concerning the request of the United Kingdom of Great Britain and Northern Ireland to take part in some of the provisions of the Schengen </w:t>
      </w:r>
      <w:r>
        <w:rPr>
          <w:i/>
        </w:rPr>
        <w:t>acquis</w:t>
      </w:r>
      <w:r>
        <w:t>, OJ L 131, 1.6.2000, p. 43.</w:t>
      </w:r>
    </w:p>
  </w:footnote>
  <w:footnote w:id="7">
    <w:p>
      <w:pPr>
        <w:pStyle w:val="FootnoteText"/>
        <w:ind w:left="142" w:hanging="142"/>
      </w:pPr>
      <w:r>
        <w:rPr>
          <w:rStyle w:val="FootnoteReference"/>
        </w:rPr>
        <w:footnoteRef/>
      </w:r>
      <w:r>
        <w:tab/>
        <w:t xml:space="preserve">Council Decision No 2002/192/EC of 28 February 2002 concerning Ireland’s request to take part in some of the provisions of the Schengen </w:t>
      </w:r>
      <w:r>
        <w:rPr>
          <w:i/>
        </w:rPr>
        <w:t>acquis</w:t>
      </w:r>
      <w:r>
        <w:t>,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AA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320A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5E05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A420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9C94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3477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447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867810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4 17:35: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7E492C63FAF24082ADD58F7FAD6EB92C"/>
    <w:docVar w:name="LW_CROSSREFERENCE" w:val="&lt;UNUSED&gt;"/>
    <w:docVar w:name="LW_DocType" w:val="COM"/>
    <w:docVar w:name="LW_EMISSION" w:val="25.7.2017"/>
    <w:docVar w:name="LW_EMISSION_ISODATE" w:val="2017-07-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62"/>
    <w:docVar w:name="LW_REF.II.NEW.CP_YEAR" w:val="2017"/>
    <w:docVar w:name="LW_REF.INST.NEW" w:val="COM"/>
    <w:docVar w:name="LW_REF.INST.NEW_ADOPTED" w:val="final"/>
    <w:docVar w:name="LW_REF.INST.NEW_TEXT" w:val="(2017) 384"/>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Joint Committee set up under the Agreement between the European Union and the Republic of Armenia on the facilitation of the issuance of visas, _x000b_with regard to the adoption of common guidelines for the implementation of_x000b_the Agreement"/>
    <w:docVar w:name="LW_TYPE.DOC.CP" w:val="COUNCIL DECISION"/>
    <w:docVar w:name="Stamp" w:val="\\dossiers.dgt.cec.eu.int\dossiers\HOME\HOME-2016-01112\HOME-2016-01112-00-00-EN-REV-00.201701031418208013212.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40938">
      <w:bodyDiv w:val="1"/>
      <w:marLeft w:val="0"/>
      <w:marRight w:val="0"/>
      <w:marTop w:val="0"/>
      <w:marBottom w:val="0"/>
      <w:divBdr>
        <w:top w:val="none" w:sz="0" w:space="0" w:color="auto"/>
        <w:left w:val="none" w:sz="0" w:space="0" w:color="auto"/>
        <w:bottom w:val="none" w:sz="0" w:space="0" w:color="auto"/>
        <w:right w:val="none" w:sz="0" w:space="0" w:color="auto"/>
      </w:divBdr>
    </w:div>
    <w:div w:id="900402567">
      <w:bodyDiv w:val="1"/>
      <w:marLeft w:val="0"/>
      <w:marRight w:val="0"/>
      <w:marTop w:val="0"/>
      <w:marBottom w:val="0"/>
      <w:divBdr>
        <w:top w:val="none" w:sz="0" w:space="0" w:color="auto"/>
        <w:left w:val="none" w:sz="0" w:space="0" w:color="auto"/>
        <w:bottom w:val="none" w:sz="0" w:space="0" w:color="auto"/>
        <w:right w:val="none" w:sz="0" w:space="0" w:color="auto"/>
      </w:divBdr>
    </w:div>
    <w:div w:id="1634604927">
      <w:bodyDiv w:val="1"/>
      <w:marLeft w:val="0"/>
      <w:marRight w:val="0"/>
      <w:marTop w:val="0"/>
      <w:marBottom w:val="0"/>
      <w:divBdr>
        <w:top w:val="none" w:sz="0" w:space="0" w:color="auto"/>
        <w:left w:val="none" w:sz="0" w:space="0" w:color="auto"/>
        <w:bottom w:val="none" w:sz="0" w:space="0" w:color="auto"/>
        <w:right w:val="none" w:sz="0" w:space="0" w:color="auto"/>
      </w:divBdr>
      <w:divsChild>
        <w:div w:id="1761558955">
          <w:marLeft w:val="0"/>
          <w:marRight w:val="0"/>
          <w:marTop w:val="0"/>
          <w:marBottom w:val="0"/>
          <w:divBdr>
            <w:top w:val="none" w:sz="0" w:space="0" w:color="auto"/>
            <w:left w:val="none" w:sz="0" w:space="0" w:color="auto"/>
            <w:bottom w:val="none" w:sz="0" w:space="0" w:color="auto"/>
            <w:right w:val="none" w:sz="0" w:space="0" w:color="auto"/>
          </w:divBdr>
          <w:divsChild>
            <w:div w:id="174079970">
              <w:marLeft w:val="0"/>
              <w:marRight w:val="0"/>
              <w:marTop w:val="0"/>
              <w:marBottom w:val="0"/>
              <w:divBdr>
                <w:top w:val="none" w:sz="0" w:space="0" w:color="auto"/>
                <w:left w:val="none" w:sz="0" w:space="0" w:color="auto"/>
                <w:bottom w:val="none" w:sz="0" w:space="0" w:color="auto"/>
                <w:right w:val="none" w:sz="0" w:space="0" w:color="auto"/>
              </w:divBdr>
              <w:divsChild>
                <w:div w:id="1246649704">
                  <w:marLeft w:val="0"/>
                  <w:marRight w:val="0"/>
                  <w:marTop w:val="0"/>
                  <w:marBottom w:val="0"/>
                  <w:divBdr>
                    <w:top w:val="none" w:sz="0" w:space="0" w:color="auto"/>
                    <w:left w:val="none" w:sz="0" w:space="0" w:color="auto"/>
                    <w:bottom w:val="none" w:sz="0" w:space="0" w:color="auto"/>
                    <w:right w:val="none" w:sz="0" w:space="0" w:color="auto"/>
                  </w:divBdr>
                  <w:divsChild>
                    <w:div w:id="2054504531">
                      <w:marLeft w:val="1"/>
                      <w:marRight w:val="1"/>
                      <w:marTop w:val="0"/>
                      <w:marBottom w:val="0"/>
                      <w:divBdr>
                        <w:top w:val="none" w:sz="0" w:space="0" w:color="auto"/>
                        <w:left w:val="none" w:sz="0" w:space="0" w:color="auto"/>
                        <w:bottom w:val="none" w:sz="0" w:space="0" w:color="auto"/>
                        <w:right w:val="none" w:sz="0" w:space="0" w:color="auto"/>
                      </w:divBdr>
                      <w:divsChild>
                        <w:div w:id="935989202">
                          <w:marLeft w:val="0"/>
                          <w:marRight w:val="0"/>
                          <w:marTop w:val="0"/>
                          <w:marBottom w:val="0"/>
                          <w:divBdr>
                            <w:top w:val="none" w:sz="0" w:space="0" w:color="auto"/>
                            <w:left w:val="none" w:sz="0" w:space="0" w:color="auto"/>
                            <w:bottom w:val="none" w:sz="0" w:space="0" w:color="auto"/>
                            <w:right w:val="none" w:sz="0" w:space="0" w:color="auto"/>
                          </w:divBdr>
                          <w:divsChild>
                            <w:div w:id="995500646">
                              <w:marLeft w:val="0"/>
                              <w:marRight w:val="0"/>
                              <w:marTop w:val="0"/>
                              <w:marBottom w:val="360"/>
                              <w:divBdr>
                                <w:top w:val="none" w:sz="0" w:space="0" w:color="auto"/>
                                <w:left w:val="none" w:sz="0" w:space="0" w:color="auto"/>
                                <w:bottom w:val="none" w:sz="0" w:space="0" w:color="auto"/>
                                <w:right w:val="none" w:sz="0" w:space="0" w:color="auto"/>
                              </w:divBdr>
                              <w:divsChild>
                                <w:div w:id="2124882090">
                                  <w:marLeft w:val="0"/>
                                  <w:marRight w:val="0"/>
                                  <w:marTop w:val="0"/>
                                  <w:marBottom w:val="0"/>
                                  <w:divBdr>
                                    <w:top w:val="none" w:sz="0" w:space="0" w:color="auto"/>
                                    <w:left w:val="none" w:sz="0" w:space="0" w:color="auto"/>
                                    <w:bottom w:val="none" w:sz="0" w:space="0" w:color="auto"/>
                                    <w:right w:val="none" w:sz="0" w:space="0" w:color="auto"/>
                                  </w:divBdr>
                                  <w:divsChild>
                                    <w:div w:id="1278171739">
                                      <w:marLeft w:val="0"/>
                                      <w:marRight w:val="0"/>
                                      <w:marTop w:val="0"/>
                                      <w:marBottom w:val="0"/>
                                      <w:divBdr>
                                        <w:top w:val="none" w:sz="0" w:space="0" w:color="auto"/>
                                        <w:left w:val="none" w:sz="0" w:space="0" w:color="auto"/>
                                        <w:bottom w:val="none" w:sz="0" w:space="0" w:color="auto"/>
                                        <w:right w:val="none" w:sz="0" w:space="0" w:color="auto"/>
                                      </w:divBdr>
                                      <w:divsChild>
                                        <w:div w:id="932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4AAA-4DE5-4104-9523-3DFE0090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1210</Words>
  <Characters>6237</Characters>
  <Application>Microsoft Office Word</Application>
  <DocSecurity>0</DocSecurity>
  <Lines>113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2016-11-28T14:37:00Z</cp:lastPrinted>
  <dcterms:created xsi:type="dcterms:W3CDTF">2017-06-12T10:12:00Z</dcterms:created>
  <dcterms:modified xsi:type="dcterms:W3CDTF">2017-07-14T15:35:00Z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