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7AE5FD0C3654EB2AC3A69A41B7AA54C" style="width:450.75pt;height:334.5pt">
            <v:imagedata r:id="rId12" o:title=""/>
          </v:shape>
        </w:pict>
      </w:r>
    </w:p>
    <w:bookmarkEnd w:id="0"/>
    <w:p>
      <w:pPr>
        <w:rPr>
          <w:rFonts w:eastAsiaTheme="minorHAnsi"/>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spacing w:after="0"/>
        <w:jc w:val="both"/>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1. Въведение</w:t>
      </w:r>
    </w:p>
    <w:p>
      <w:pPr>
        <w:jc w:val="both"/>
        <w:rPr>
          <w:rFonts w:ascii="Times New Roman" w:hAnsi="Times New Roman" w:cs="Times New Roman"/>
          <w:noProof/>
          <w:sz w:val="24"/>
          <w:szCs w:val="24"/>
        </w:rPr>
      </w:pPr>
      <w:r>
        <w:rPr>
          <w:rFonts w:ascii="Times New Roman" w:hAnsi="Times New Roman"/>
          <w:noProof/>
          <w:sz w:val="24"/>
        </w:rPr>
        <w:t>Европейската информационна система за регистрите за съдимост (ECRIS) започна да функционира през април 2012 г. Тя се регулира с Рамково решение 2009/315/ПВР на Съвета от 26 февруари 2009 г. относно организацията и съдържанието на обмена на информация, получена от регистрите за съдимост, между държавите членки („Рамково решение“)</w:t>
      </w:r>
      <w:r>
        <w:rPr>
          <w:rStyle w:val="FootnoteReference"/>
          <w:rFonts w:ascii="Times New Roman" w:hAnsi="Times New Roman"/>
          <w:noProof/>
          <w:sz w:val="24"/>
        </w:rPr>
        <w:footnoteReference w:id="2"/>
      </w:r>
      <w:r>
        <w:rPr>
          <w:rFonts w:ascii="Times New Roman" w:hAnsi="Times New Roman"/>
          <w:noProof/>
          <w:sz w:val="24"/>
        </w:rPr>
        <w:t xml:space="preserve"> и Решение на Съвета от 6 април 2009 г. за създаване на Европейска информационна система за съдимост (ECRIS) в изпълнение на член 11 от Рамково решение 2009/315/ПВР</w:t>
      </w:r>
      <w:r>
        <w:rPr>
          <w:rStyle w:val="FootnoteReference"/>
          <w:rFonts w:ascii="Times New Roman" w:hAnsi="Times New Roman"/>
          <w:noProof/>
          <w:sz w:val="24"/>
        </w:rPr>
        <w:footnoteReference w:id="3"/>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Нейната цел е да се подобри сигурността на гражданите в рамките на европейското пространство на свобода, сигурност и правосъдие, като се предостави възможност за ефикасен обмен на информация за предишни осъдителни присъди, постановени от наказателните съдилища в ЕС, между държавите членки.</w:t>
      </w:r>
    </w:p>
    <w:p>
      <w:pPr>
        <w:jc w:val="both"/>
        <w:rPr>
          <w:rFonts w:ascii="Times New Roman" w:hAnsi="Times New Roman" w:cs="Times New Roman"/>
          <w:noProof/>
          <w:sz w:val="24"/>
          <w:szCs w:val="24"/>
        </w:rPr>
      </w:pPr>
      <w:r>
        <w:rPr>
          <w:rFonts w:ascii="Times New Roman" w:hAnsi="Times New Roman"/>
          <w:noProof/>
          <w:sz w:val="24"/>
        </w:rPr>
        <w:t>Настоящият доклад е първият статистически доклад на Комисията относно обмена чрез ECRIS на информация, получена от регистрите за съдимост, между държавите членки, както е предвидено в член 7 от Решение 2009/316/ПВР на Съвета.</w:t>
      </w:r>
    </w:p>
    <w:p>
      <w:pPr>
        <w:jc w:val="both"/>
        <w:rPr>
          <w:rFonts w:ascii="Times New Roman" w:hAnsi="Times New Roman" w:cs="Times New Roman"/>
          <w:noProof/>
          <w:sz w:val="24"/>
          <w:szCs w:val="24"/>
        </w:rPr>
      </w:pPr>
      <w:r>
        <w:rPr>
          <w:rFonts w:ascii="Times New Roman" w:hAnsi="Times New Roman"/>
          <w:b/>
          <w:noProof/>
          <w:sz w:val="24"/>
        </w:rPr>
        <w:t>1.1. Основни принципи на системата ECRIS</w:t>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 xml:space="preserve">ECRIS се основава на децентрализирана архитектура, която свързва държавите членки и им дава възможност по ефикасен начин да осъществяват обмен на информация от регистрите за съдимост. </w:t>
      </w:r>
    </w:p>
    <w:p>
      <w:pPr>
        <w:numPr>
          <w:ilvl w:val="0"/>
          <w:numId w:val="20"/>
        </w:numPr>
        <w:ind w:left="360"/>
        <w:jc w:val="both"/>
        <w:rPr>
          <w:rFonts w:ascii="Times New Roman" w:hAnsi="Times New Roman" w:cs="Times New Roman"/>
          <w:noProof/>
          <w:sz w:val="24"/>
          <w:szCs w:val="24"/>
        </w:rPr>
      </w:pPr>
      <w:r>
        <w:rPr>
          <w:rFonts w:ascii="Times New Roman" w:hAnsi="Times New Roman"/>
          <w:noProof/>
          <w:sz w:val="24"/>
        </w:rPr>
        <w:t xml:space="preserve">За целите на ECRIS всяка държава членка определя централен орган (един или няколко) като единно звено за контакт, като му възлага всички отговорности съгласно Рамковото решение за ECRIS. </w:t>
      </w:r>
    </w:p>
    <w:p>
      <w:pPr>
        <w:numPr>
          <w:ilvl w:val="0"/>
          <w:numId w:val="20"/>
        </w:numPr>
        <w:ind w:left="360"/>
        <w:jc w:val="both"/>
        <w:rPr>
          <w:rFonts w:ascii="Times New Roman" w:hAnsi="Times New Roman" w:cs="Times New Roman"/>
          <w:noProof/>
          <w:sz w:val="24"/>
          <w:szCs w:val="24"/>
        </w:rPr>
      </w:pPr>
      <w:r>
        <w:rPr>
          <w:rFonts w:ascii="Times New Roman" w:hAnsi="Times New Roman"/>
          <w:noProof/>
          <w:sz w:val="24"/>
        </w:rPr>
        <w:t xml:space="preserve">Информацията се обменя по електронен път между централните органи на държавите членки, като се използва стандартизиран формат, който дава възможност за ефикасна и непосредствено разбираема комуникация на всички езици на ЕС, и в кратки срокове от 10 или 20 дни. </w:t>
      </w:r>
    </w:p>
    <w:p>
      <w:pPr>
        <w:numPr>
          <w:ilvl w:val="0"/>
          <w:numId w:val="19"/>
        </w:numPr>
        <w:ind w:left="360"/>
        <w:jc w:val="both"/>
        <w:rPr>
          <w:rFonts w:ascii="Times New Roman" w:hAnsi="Times New Roman" w:cs="Times New Roman"/>
          <w:noProof/>
          <w:sz w:val="24"/>
          <w:szCs w:val="24"/>
        </w:rPr>
      </w:pPr>
      <w:r>
        <w:rPr>
          <w:rFonts w:ascii="Times New Roman" w:hAnsi="Times New Roman"/>
          <w:noProof/>
          <w:sz w:val="24"/>
        </w:rPr>
        <w:t>Държава членка, която е осъдила гражданин на друга държава членка, е правно задължена възможно най-скоро да предостави чрез ECRIS информация, отнасяща се до присъдата, на държавата(ите) членка(и), чийто гражданин е това лице, включително последващите актуализации (нотификация за нови присъди и актуализации).</w:t>
      </w:r>
    </w:p>
    <w:p>
      <w:pPr>
        <w:numPr>
          <w:ilvl w:val="0"/>
          <w:numId w:val="19"/>
        </w:numPr>
        <w:ind w:left="360"/>
        <w:jc w:val="both"/>
        <w:rPr>
          <w:rFonts w:ascii="Times New Roman" w:hAnsi="Times New Roman" w:cs="Times New Roman"/>
          <w:noProof/>
          <w:sz w:val="24"/>
          <w:szCs w:val="24"/>
        </w:rPr>
      </w:pPr>
      <w:r>
        <w:rPr>
          <w:rFonts w:ascii="Times New Roman" w:hAnsi="Times New Roman"/>
          <w:noProof/>
          <w:sz w:val="24"/>
        </w:rPr>
        <w:t>По този начин държавата членка по гражданство поддържа централен регистър на всички присъди, постановени от наказателните съдилища в ЕС, срещу нейни граждани. Тя е задължена да съхранява и актуализира цялата информация, получена чрез ECRIS, и да предоставя чрез ECRIS пълна информация от регистрите за съдимост (отговори на искания), когато е поискана от друга държава членка (искания за информация).</w:t>
      </w:r>
    </w:p>
    <w:p>
      <w:pPr>
        <w:numPr>
          <w:ilvl w:val="0"/>
          <w:numId w:val="19"/>
        </w:numPr>
        <w:ind w:left="360"/>
        <w:jc w:val="both"/>
        <w:rPr>
          <w:rFonts w:ascii="Times New Roman" w:hAnsi="Times New Roman" w:cs="Times New Roman"/>
          <w:noProof/>
          <w:sz w:val="24"/>
          <w:szCs w:val="24"/>
        </w:rPr>
      </w:pPr>
      <w:r>
        <w:rPr>
          <w:rFonts w:ascii="Times New Roman" w:hAnsi="Times New Roman"/>
          <w:noProof/>
          <w:sz w:val="24"/>
        </w:rPr>
        <w:t xml:space="preserve">Информацията за присъди трябва да се обменя за целите на наказателното производство, а ако това е разрешено от националното законодателство, може да се обменя и за други цели, като например административни процедури, наемане на работа, издаване на лицензи и т.н. </w:t>
      </w:r>
    </w:p>
    <w:p>
      <w:pPr>
        <w:numPr>
          <w:ilvl w:val="0"/>
          <w:numId w:val="19"/>
        </w:numPr>
        <w:ind w:left="360"/>
        <w:jc w:val="both"/>
        <w:rPr>
          <w:rFonts w:ascii="Times New Roman" w:hAnsi="Times New Roman" w:cs="Times New Roman"/>
          <w:noProof/>
          <w:sz w:val="24"/>
          <w:szCs w:val="24"/>
        </w:rPr>
      </w:pPr>
      <w:r>
        <w:rPr>
          <w:rFonts w:ascii="Times New Roman" w:hAnsi="Times New Roman"/>
          <w:noProof/>
          <w:sz w:val="24"/>
        </w:rPr>
        <w:t>Въпреки че ECRIS е предназначена главно за обмен на информация за граждани на ЕС, чрез системата е възможно да се извършва обмен на информация и за граждани на трети държави и лица без гражданство (наричани по-нататък: „ГТД“). В същия пакет, в който Комисията предложи настоящия статистически доклад, тя предложи и допълване на правната уредба за създаване на централна система ECRIS-TCN, която да подпомага ефикасния обмен чрез ECRIS за ГТД.</w:t>
      </w:r>
    </w:p>
    <w:p>
      <w:pPr>
        <w:jc w:val="both"/>
        <w:rPr>
          <w:rFonts w:ascii="Times New Roman" w:hAnsi="Times New Roman" w:cs="Times New Roman"/>
          <w:noProof/>
          <w:sz w:val="24"/>
          <w:szCs w:val="24"/>
        </w:rPr>
      </w:pPr>
      <w:r>
        <w:rPr>
          <w:rFonts w:ascii="Times New Roman" w:hAnsi="Times New Roman"/>
          <w:noProof/>
          <w:sz w:val="24"/>
        </w:rPr>
        <w:t xml:space="preserve">Съгласно Рамковото решение държавите членки бяха задължени до 27 април 2012 г. да въведат системата в правно и техническо отношение, да се свържат по електронен път една с друга и да започнат обмен в съответствие с посочените по-горе общи принципи.  </w:t>
      </w:r>
      <w:bookmarkStart w:id="2" w:name="_Toc479267018"/>
    </w:p>
    <w:p>
      <w:pPr>
        <w:jc w:val="both"/>
        <w:rPr>
          <w:rFonts w:ascii="Times New Roman" w:hAnsi="Times New Roman" w:cs="Times New Roman"/>
          <w:noProof/>
          <w:sz w:val="24"/>
          <w:szCs w:val="24"/>
        </w:rPr>
      </w:pPr>
      <w:r>
        <w:rPr>
          <w:rFonts w:ascii="Times New Roman" w:hAnsi="Times New Roman"/>
          <w:b/>
          <w:noProof/>
          <w:sz w:val="24"/>
        </w:rPr>
        <w:t>1.2. Правно основание за ECRIS и нейната статистика</w:t>
      </w:r>
      <w:bookmarkEnd w:id="2"/>
    </w:p>
    <w:p>
      <w:pPr>
        <w:jc w:val="both"/>
        <w:rPr>
          <w:rFonts w:ascii="Times New Roman" w:hAnsi="Times New Roman" w:cs="Times New Roman"/>
          <w:noProof/>
          <w:sz w:val="24"/>
          <w:szCs w:val="24"/>
        </w:rPr>
      </w:pPr>
      <w:r>
        <w:rPr>
          <w:rFonts w:ascii="Times New Roman" w:hAnsi="Times New Roman"/>
          <w:noProof/>
          <w:sz w:val="24"/>
        </w:rPr>
        <w:t xml:space="preserve">Основните принципи, уреждащи обмена на информация и функционирането на системата, се определят в Рамково решение 2009/315/ПВР.  </w:t>
      </w:r>
    </w:p>
    <w:p>
      <w:pPr>
        <w:jc w:val="both"/>
        <w:rPr>
          <w:rFonts w:ascii="Times New Roman" w:hAnsi="Times New Roman" w:cs="Times New Roman"/>
          <w:noProof/>
          <w:sz w:val="24"/>
          <w:szCs w:val="24"/>
        </w:rPr>
      </w:pPr>
      <w:r>
        <w:rPr>
          <w:rFonts w:ascii="Times New Roman" w:hAnsi="Times New Roman"/>
          <w:noProof/>
          <w:sz w:val="24"/>
        </w:rPr>
        <w:t xml:space="preserve">Решение 2009/316/ПВР на Съвета установява стандартизиран формат за обмен по електронен път на информация, получена от националните регистри за съдимост, между държавите членки, по-специално по отношение на информация за наказуемото деяние, даващо основание за присъдата, и информация за съдържанието на присъдата. С него също така се установяват други общи и технически средства за изпълнение, свързани с организирането и улесняването на обмена на информация. </w:t>
      </w:r>
    </w:p>
    <w:p>
      <w:pPr>
        <w:jc w:val="both"/>
        <w:rPr>
          <w:rFonts w:ascii="Times New Roman" w:hAnsi="Times New Roman" w:cs="Times New Roman"/>
          <w:noProof/>
          <w:sz w:val="24"/>
          <w:szCs w:val="24"/>
        </w:rPr>
      </w:pPr>
      <w:r>
        <w:rPr>
          <w:rFonts w:ascii="Times New Roman" w:hAnsi="Times New Roman"/>
          <w:noProof/>
          <w:sz w:val="24"/>
        </w:rPr>
        <w:t>Съветът е приел също така допълнителни подробни правила относно функционирането на системата ECRIS, включително нейния бизнес анализ, подробни технически спецификации и статистическа информация</w:t>
      </w:r>
      <w:r>
        <w:rPr>
          <w:rStyle w:val="FootnoteReference"/>
          <w:rFonts w:ascii="Times New Roman" w:hAnsi="Times New Roman"/>
          <w:noProof/>
          <w:sz w:val="24"/>
        </w:rPr>
        <w:footnoteReference w:id="4"/>
      </w:r>
      <w:r>
        <w:rPr>
          <w:noProof/>
        </w:rPr>
        <w:t>.</w:t>
      </w:r>
    </w:p>
    <w:p>
      <w:pPr>
        <w:jc w:val="both"/>
        <w:rPr>
          <w:rFonts w:ascii="Times New Roman" w:hAnsi="Times New Roman" w:cs="Times New Roman"/>
          <w:noProof/>
          <w:sz w:val="24"/>
          <w:szCs w:val="24"/>
        </w:rPr>
      </w:pPr>
      <w:r>
        <w:rPr>
          <w:rFonts w:ascii="Times New Roman" w:hAnsi="Times New Roman"/>
          <w:noProof/>
          <w:sz w:val="24"/>
        </w:rPr>
        <w:t xml:space="preserve">В съответствие с тези договорености, статистическите данни, които нямат отношение към личните данни, се събират автоматично чрез системата с цел да се наблюдава функционирането и ефективността на ECRIS, </w:t>
      </w:r>
      <w:bookmarkStart w:id="3" w:name="_Hlk480975838"/>
      <w:r>
        <w:rPr>
          <w:rFonts w:ascii="Times New Roman" w:hAnsi="Times New Roman"/>
          <w:noProof/>
          <w:sz w:val="24"/>
        </w:rPr>
        <w:t>както и съответствието на обмена на държавите членки със законодателната рамка на ECRIS</w:t>
      </w:r>
      <w:bookmarkEnd w:id="3"/>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 xml:space="preserve">Понастоящем подробните технически спецификации на ECRIS включват 225 показателя, установени за мониторинг на ECRIS. Тези статистически данни се генерират автоматично от системата на национално равнище и всеки месец се изпращат на Европейската комисия от държавите членки . </w:t>
      </w:r>
    </w:p>
    <w:p>
      <w:pPr>
        <w:jc w:val="both"/>
        <w:rPr>
          <w:rFonts w:ascii="Times New Roman" w:hAnsi="Times New Roman" w:cs="Times New Roman"/>
          <w:noProof/>
          <w:sz w:val="24"/>
          <w:szCs w:val="24"/>
        </w:rPr>
      </w:pPr>
      <w:r>
        <w:rPr>
          <w:rFonts w:ascii="Times New Roman" w:hAnsi="Times New Roman"/>
          <w:noProof/>
          <w:sz w:val="24"/>
        </w:rPr>
        <w:t>В член 7 от Директива 2009/316/ПВР на Съвета се предвижда:</w:t>
      </w:r>
    </w:p>
    <w:p>
      <w:pPr>
        <w:jc w:val="both"/>
        <w:rPr>
          <w:rFonts w:ascii="Times New Roman" w:hAnsi="Times New Roman" w:cs="Times New Roman"/>
          <w:i/>
          <w:noProof/>
          <w:sz w:val="24"/>
          <w:szCs w:val="24"/>
        </w:rPr>
      </w:pPr>
      <w:r>
        <w:rPr>
          <w:rFonts w:ascii="Times New Roman" w:hAnsi="Times New Roman"/>
          <w:i/>
          <w:noProof/>
          <w:sz w:val="24"/>
        </w:rPr>
        <w:t>„Службите на Комисията редовно публикуват доклад относно обмена чрез ECRIS на информация, получена от регистрите за съдимост, между държавите членки, който по-специално се основава на статистиката, посочена в член 6, параграф 2.  Докладът се публикува за пръв път една година след представянето на доклада, посочен в член 13, параграф 3 от Pамковото решение“.</w:t>
      </w:r>
    </w:p>
    <w:p>
      <w:pPr>
        <w:jc w:val="both"/>
        <w:rPr>
          <w:rFonts w:ascii="Times New Roman" w:hAnsi="Times New Roman" w:cs="Times New Roman"/>
          <w:noProof/>
          <w:sz w:val="24"/>
          <w:szCs w:val="24"/>
        </w:rPr>
      </w:pPr>
      <w:r>
        <w:rPr>
          <w:rFonts w:ascii="Times New Roman" w:hAnsi="Times New Roman"/>
          <w:noProof/>
          <w:sz w:val="24"/>
        </w:rPr>
        <w:t>Посоченият по-горе доклад за изпълнението на Рамково решение 2009/315/ПВР на Съвета беше приет на 19 януари 2016 г.</w:t>
      </w:r>
      <w:r>
        <w:rPr>
          <w:rStyle w:val="FootnoteReference"/>
          <w:rFonts w:ascii="Times New Roman" w:hAnsi="Times New Roman"/>
          <w:noProof/>
          <w:sz w:val="24"/>
        </w:rPr>
        <w:footnoteReference w:id="5"/>
      </w:r>
      <w:r>
        <w:rPr>
          <w:noProof/>
        </w:rPr>
        <w:t>.</w:t>
      </w:r>
      <w:r>
        <w:rPr>
          <w:rFonts w:ascii="Times New Roman" w:hAnsi="Times New Roman"/>
          <w:noProof/>
          <w:sz w:val="24"/>
        </w:rPr>
        <w:t xml:space="preserve"> Комисията реши да представи първия си статистически доклад по член 7 в пакет, заедно с предложение за регламент за създаване на Европейска информационна система за регистрите за съдимост на гражданите на трети държави (система ECRIS-TCN)</w:t>
      </w:r>
      <w:r>
        <w:rPr>
          <w:rStyle w:val="FootnoteReference"/>
          <w:rFonts w:ascii="Times New Roman" w:hAnsi="Times New Roman"/>
          <w:noProof/>
          <w:sz w:val="24"/>
        </w:rPr>
        <w:footnoteReference w:id="6"/>
      </w:r>
      <w:r>
        <w:rPr>
          <w:rFonts w:ascii="Times New Roman" w:hAnsi="Times New Roman"/>
          <w:noProof/>
          <w:sz w:val="24"/>
        </w:rPr>
        <w:t>, която ще допълва настоящата система ECRIS.</w:t>
      </w:r>
    </w:p>
    <w:p>
      <w:pPr>
        <w:jc w:val="both"/>
        <w:rPr>
          <w:rFonts w:ascii="Times New Roman" w:hAnsi="Times New Roman"/>
          <w:noProof/>
          <w:spacing w:val="-4"/>
          <w:sz w:val="24"/>
        </w:rPr>
      </w:pPr>
      <w:r>
        <w:rPr>
          <w:rFonts w:ascii="Times New Roman" w:hAnsi="Times New Roman"/>
          <w:noProof/>
          <w:spacing w:val="-4"/>
          <w:sz w:val="24"/>
        </w:rPr>
        <w:t xml:space="preserve">В настоящия доклад се прави общ преглед на използването и прилагането на практика на ECRIS от началото на нейното функциониране през април 2012 г. до 31 декември 2016 г., като се поставя акцент върху 2016 г. Неговата цел е да се представи съответствието на обмена на държавите членки със законодателната рамка на ECRIS и да се определят всички въпроси относно ефективността на системата, с цел ситуацията да се коригира. </w:t>
      </w:r>
    </w:p>
    <w:p>
      <w:pPr>
        <w:jc w:val="both"/>
        <w:rPr>
          <w:rFonts w:ascii="Times New Roman" w:hAnsi="Times New Roman" w:cs="Times New Roman"/>
          <w:noProof/>
          <w:spacing w:val="-4"/>
          <w:sz w:val="24"/>
          <w:szCs w:val="24"/>
        </w:rPr>
      </w:pPr>
      <w:r>
        <w:rPr>
          <w:rFonts w:ascii="Times New Roman" w:hAnsi="Times New Roman"/>
          <w:noProof/>
          <w:spacing w:val="-4"/>
          <w:sz w:val="24"/>
        </w:rPr>
        <w:t>Макар че статистиката представя общ преглед, който обхваща период от пет пълни години на функциониране на ECRIS, то сравнителните статистически данни за всички държави членки, както и статистическите таблици на всяка отделна държава членка в раздел 2 от приложението, обхващат само обмена чрез ECRIS през периода 2014—2016 г. Изборът на последните три години от функционирането на ECRIS за изготвянето на този анализ се обуславя от факта, че през 2014 г. беше постигнат съществен брой от 25 взаимосвързани държави членки, поради което от този момент нататък може да се счита, че статистиката предоставя представителен преглед на действителната ситуация.</w:t>
      </w:r>
    </w:p>
    <w:p>
      <w:pPr>
        <w:jc w:val="both"/>
        <w:rPr>
          <w:rFonts w:ascii="Times New Roman" w:hAnsi="Times New Roman" w:cs="Times New Roman"/>
          <w:noProof/>
          <w:sz w:val="24"/>
          <w:szCs w:val="24"/>
        </w:rPr>
      </w:pPr>
      <w:r>
        <w:rPr>
          <w:rFonts w:ascii="Times New Roman" w:hAnsi="Times New Roman"/>
          <w:noProof/>
          <w:sz w:val="24"/>
        </w:rPr>
        <w:t xml:space="preserve">Докладът се основава на автоматично генерирани от системата и изпратени от държавите членки на Комисията статистически данни. От 225-те статистически показателя, определени за ECRIS, бяха избрани няколко, така че да се публикува най-приложимата и значима статистическа информация. </w:t>
      </w:r>
    </w:p>
    <w:p>
      <w:pPr>
        <w:jc w:val="both"/>
        <w:rPr>
          <w:rFonts w:ascii="Times New Roman" w:hAnsi="Times New Roman" w:cs="Times New Roman"/>
          <w:noProof/>
          <w:sz w:val="24"/>
          <w:szCs w:val="24"/>
        </w:rPr>
      </w:pPr>
      <w:r>
        <w:rPr>
          <w:rFonts w:ascii="Times New Roman" w:hAnsi="Times New Roman"/>
          <w:noProof/>
          <w:sz w:val="24"/>
        </w:rPr>
        <w:t xml:space="preserve">От държавите членки беше поискано да съобщят статистика за броя на присъдите на граждани на други държави членки (граждани на други държави — членки на ЕС), постановени на тяхна територия, за да може да се предостави общ преглед на изпълнението на процедурата за нотификация. </w:t>
      </w:r>
    </w:p>
    <w:p>
      <w:pPr>
        <w:jc w:val="both"/>
        <w:rPr>
          <w:rFonts w:ascii="Times New Roman" w:hAnsi="Times New Roman" w:cs="Times New Roman"/>
          <w:noProof/>
          <w:sz w:val="24"/>
          <w:szCs w:val="24"/>
        </w:rPr>
      </w:pPr>
      <w:r>
        <w:rPr>
          <w:rFonts w:ascii="Times New Roman" w:hAnsi="Times New Roman"/>
          <w:noProof/>
          <w:sz w:val="24"/>
        </w:rPr>
        <w:t xml:space="preserve">В доклада се съдържат данни за присъди, получени от 24 държави членки. Комисията не получи данни от България, Кипър, Дания и Словения. </w:t>
      </w:r>
    </w:p>
    <w:p>
      <w:pPr>
        <w:jc w:val="both"/>
        <w:rPr>
          <w:rFonts w:ascii="Times New Roman" w:hAnsi="Times New Roman" w:cs="Times New Roman"/>
          <w:b/>
          <w:smallCaps/>
          <w:noProof/>
          <w:color w:val="000080"/>
          <w:kern w:val="28"/>
          <w:sz w:val="24"/>
          <w:szCs w:val="24"/>
        </w:rPr>
      </w:pPr>
      <w:r>
        <w:rPr>
          <w:rFonts w:ascii="Times New Roman" w:hAnsi="Times New Roman"/>
          <w:b/>
          <w:noProof/>
          <w:sz w:val="24"/>
        </w:rPr>
        <w:t>2. Основни констатации</w:t>
      </w:r>
    </w:p>
    <w:p>
      <w:pPr>
        <w:numPr>
          <w:ilvl w:val="0"/>
          <w:numId w:val="27"/>
        </w:numPr>
        <w:ind w:left="714" w:hanging="357"/>
        <w:jc w:val="both"/>
        <w:rPr>
          <w:rFonts w:ascii="Times New Roman" w:hAnsi="Times New Roman" w:cs="Times New Roman"/>
          <w:noProof/>
          <w:sz w:val="24"/>
          <w:szCs w:val="24"/>
        </w:rPr>
      </w:pPr>
      <w:r>
        <w:rPr>
          <w:rFonts w:ascii="Times New Roman" w:hAnsi="Times New Roman"/>
          <w:b/>
          <w:noProof/>
          <w:sz w:val="24"/>
        </w:rPr>
        <w:t>В ECRIS са активни всички 28 държави членки, но 24 % от възможните взаимни връзки липсват</w:t>
      </w:r>
    </w:p>
    <w:p>
      <w:pPr>
        <w:jc w:val="both"/>
        <w:rPr>
          <w:rFonts w:ascii="Times New Roman" w:hAnsi="Times New Roman" w:cs="Times New Roman"/>
          <w:noProof/>
          <w:sz w:val="24"/>
          <w:szCs w:val="24"/>
        </w:rPr>
      </w:pPr>
      <w:r>
        <w:rPr>
          <w:rFonts w:ascii="Times New Roman" w:hAnsi="Times New Roman"/>
          <w:noProof/>
          <w:sz w:val="24"/>
        </w:rPr>
        <w:t xml:space="preserve">След пет години функциониране на ECRIS понастоящем </w:t>
      </w:r>
      <w:r>
        <w:rPr>
          <w:rFonts w:ascii="Times New Roman" w:hAnsi="Times New Roman"/>
          <w:b/>
          <w:noProof/>
          <w:sz w:val="24"/>
        </w:rPr>
        <w:t>всички 28 държави членки</w:t>
      </w:r>
      <w:r>
        <w:rPr>
          <w:rFonts w:ascii="Times New Roman" w:hAnsi="Times New Roman"/>
          <w:noProof/>
          <w:sz w:val="24"/>
        </w:rPr>
        <w:t xml:space="preserve"> са </w:t>
      </w:r>
      <w:r>
        <w:rPr>
          <w:rFonts w:ascii="Times New Roman" w:hAnsi="Times New Roman"/>
          <w:b/>
          <w:noProof/>
          <w:sz w:val="24"/>
        </w:rPr>
        <w:t>свързани с ECRIS</w:t>
      </w:r>
      <w:r>
        <w:rPr>
          <w:rFonts w:ascii="Times New Roman" w:hAnsi="Times New Roman"/>
          <w:noProof/>
          <w:sz w:val="24"/>
        </w:rPr>
        <w:t xml:space="preserve">, като Словения и Португалия се присъединяват през януари 2017 г. </w:t>
      </w:r>
      <w:r>
        <w:rPr>
          <w:rFonts w:ascii="Times New Roman" w:hAnsi="Times New Roman"/>
          <w:b/>
          <w:noProof/>
          <w:sz w:val="24"/>
        </w:rPr>
        <w:t>Никоя от държавите членки</w:t>
      </w:r>
      <w:r>
        <w:rPr>
          <w:rFonts w:ascii="Times New Roman" w:hAnsi="Times New Roman"/>
          <w:noProof/>
          <w:sz w:val="24"/>
        </w:rPr>
        <w:t xml:space="preserve"> обаче </w:t>
      </w:r>
      <w:r>
        <w:rPr>
          <w:rFonts w:ascii="Times New Roman" w:hAnsi="Times New Roman"/>
          <w:b/>
          <w:noProof/>
          <w:sz w:val="24"/>
        </w:rPr>
        <w:t>не обменя чрез ECRIS информация с всички останали 27 държави членки.</w:t>
      </w:r>
      <w:r>
        <w:rPr>
          <w:rFonts w:ascii="Times New Roman" w:hAnsi="Times New Roman"/>
          <w:noProof/>
          <w:sz w:val="24"/>
        </w:rPr>
        <w:t xml:space="preserve"> В края на 2016 г. бяха установени </w:t>
      </w:r>
      <w:r>
        <w:rPr>
          <w:rFonts w:ascii="Times New Roman" w:hAnsi="Times New Roman"/>
          <w:b/>
          <w:noProof/>
          <w:sz w:val="24"/>
        </w:rPr>
        <w:t>само 76 % от общия брой на възможните взаимни връзки.</w:t>
      </w:r>
      <w:r>
        <w:rPr>
          <w:rFonts w:ascii="Times New Roman" w:hAnsi="Times New Roman"/>
          <w:noProof/>
          <w:sz w:val="24"/>
        </w:rPr>
        <w:t xml:space="preserve"> Следователно основната цел — всяка държава членка да бъде свързана и да обменя информация чрез ECRIS с всички останали държави членки — все още предстои да бъде постигната.</w:t>
      </w:r>
    </w:p>
    <w:p>
      <w:pPr>
        <w:numPr>
          <w:ilvl w:val="0"/>
          <w:numId w:val="27"/>
        </w:numPr>
        <w:ind w:left="714" w:hanging="357"/>
        <w:jc w:val="both"/>
        <w:rPr>
          <w:rFonts w:ascii="Times New Roman" w:hAnsi="Times New Roman"/>
          <w:b/>
          <w:noProof/>
          <w:sz w:val="24"/>
        </w:rPr>
      </w:pPr>
      <w:r>
        <w:rPr>
          <w:rFonts w:ascii="Times New Roman" w:hAnsi="Times New Roman"/>
          <w:b/>
          <w:noProof/>
          <w:sz w:val="24"/>
        </w:rPr>
        <w:t>През 2016 г. броят на обменените съобщения достигна 2 милиона</w:t>
      </w:r>
    </w:p>
    <w:p>
      <w:pPr>
        <w:jc w:val="both"/>
        <w:rPr>
          <w:rFonts w:ascii="Times New Roman" w:hAnsi="Times New Roman" w:cs="Times New Roman"/>
          <w:noProof/>
          <w:spacing w:val="-4"/>
          <w:sz w:val="24"/>
          <w:szCs w:val="24"/>
        </w:rPr>
      </w:pPr>
      <w:r>
        <w:rPr>
          <w:rFonts w:ascii="Times New Roman" w:hAnsi="Times New Roman"/>
          <w:noProof/>
          <w:spacing w:val="-4"/>
          <w:sz w:val="24"/>
        </w:rPr>
        <w:t xml:space="preserve">От 300 000 до края на 2012 г. броят на обменените съобщения от всички взаимосвързани държави членки през </w:t>
      </w:r>
      <w:r>
        <w:rPr>
          <w:rFonts w:ascii="Times New Roman" w:hAnsi="Times New Roman"/>
          <w:b/>
          <w:noProof/>
          <w:spacing w:val="-4"/>
          <w:sz w:val="24"/>
        </w:rPr>
        <w:t>2016 г.</w:t>
      </w:r>
      <w:r>
        <w:rPr>
          <w:rFonts w:ascii="Times New Roman" w:hAnsi="Times New Roman"/>
          <w:noProof/>
          <w:spacing w:val="-4"/>
          <w:sz w:val="24"/>
        </w:rPr>
        <w:t xml:space="preserve"> достигна близо </w:t>
      </w:r>
      <w:r>
        <w:rPr>
          <w:rFonts w:ascii="Times New Roman" w:hAnsi="Times New Roman"/>
          <w:b/>
          <w:noProof/>
          <w:spacing w:val="-4"/>
          <w:sz w:val="24"/>
        </w:rPr>
        <w:t>2 милиона</w:t>
      </w:r>
      <w:r>
        <w:rPr>
          <w:rFonts w:ascii="Times New Roman" w:hAnsi="Times New Roman"/>
          <w:noProof/>
          <w:spacing w:val="-4"/>
          <w:sz w:val="24"/>
        </w:rPr>
        <w:t xml:space="preserve"> със </w:t>
      </w:r>
      <w:r>
        <w:rPr>
          <w:rFonts w:ascii="Times New Roman" w:hAnsi="Times New Roman"/>
          <w:b/>
          <w:noProof/>
          <w:spacing w:val="-4"/>
          <w:sz w:val="24"/>
        </w:rPr>
        <w:t>средно 165 000 съобщения на месец.</w:t>
      </w:r>
      <w:r>
        <w:rPr>
          <w:rFonts w:ascii="Times New Roman" w:hAnsi="Times New Roman"/>
          <w:noProof/>
          <w:spacing w:val="-4"/>
          <w:sz w:val="24"/>
        </w:rPr>
        <w:t xml:space="preserve"> Понастоящем </w:t>
      </w:r>
      <w:r>
        <w:rPr>
          <w:rFonts w:ascii="Times New Roman" w:hAnsi="Times New Roman"/>
          <w:b/>
          <w:noProof/>
          <w:spacing w:val="-4"/>
          <w:sz w:val="24"/>
        </w:rPr>
        <w:t>годишните нотификации за нови присъди, искания и отговори на искания</w:t>
      </w:r>
      <w:r>
        <w:rPr>
          <w:rFonts w:ascii="Times New Roman" w:hAnsi="Times New Roman"/>
          <w:noProof/>
          <w:spacing w:val="-4"/>
          <w:sz w:val="24"/>
        </w:rPr>
        <w:t xml:space="preserve"> възлизат приблизително на </w:t>
      </w:r>
      <w:r>
        <w:rPr>
          <w:rFonts w:ascii="Times New Roman" w:hAnsi="Times New Roman"/>
          <w:b/>
          <w:noProof/>
          <w:spacing w:val="-4"/>
          <w:sz w:val="24"/>
        </w:rPr>
        <w:t>350 000</w:t>
      </w:r>
      <w:r>
        <w:rPr>
          <w:rFonts w:ascii="Times New Roman" w:hAnsi="Times New Roman"/>
          <w:noProof/>
          <w:spacing w:val="-4"/>
          <w:sz w:val="24"/>
        </w:rPr>
        <w:t> за категория</w:t>
      </w:r>
      <w:r>
        <w:rPr>
          <w:rFonts w:ascii="Times New Roman" w:hAnsi="Times New Roman"/>
          <w:b/>
          <w:noProof/>
          <w:spacing w:val="-4"/>
          <w:sz w:val="24"/>
        </w:rPr>
        <w:t>.</w:t>
      </w:r>
      <w:r>
        <w:rPr>
          <w:rFonts w:ascii="Times New Roman" w:hAnsi="Times New Roman"/>
          <w:noProof/>
          <w:spacing w:val="-4"/>
          <w:sz w:val="24"/>
        </w:rPr>
        <w:t xml:space="preserve"> Най-активните държави членки по отношение на общия обем на тези три вида съобщения, изпратени през 2016 г., бяха: DE (24,9 %), следвана от UK (13,7 %), IT (7,7 %), PL (6,6 %) и RO (5,5 %)</w:t>
      </w:r>
    </w:p>
    <w:p>
      <w:pPr>
        <w:numPr>
          <w:ilvl w:val="0"/>
          <w:numId w:val="27"/>
        </w:numPr>
        <w:ind w:left="714" w:hanging="357"/>
        <w:jc w:val="both"/>
        <w:rPr>
          <w:rFonts w:ascii="Times New Roman" w:hAnsi="Times New Roman" w:cs="Times New Roman"/>
          <w:b/>
          <w:noProof/>
          <w:sz w:val="24"/>
          <w:szCs w:val="24"/>
        </w:rPr>
      </w:pPr>
      <w:r>
        <w:rPr>
          <w:rFonts w:ascii="Times New Roman" w:hAnsi="Times New Roman"/>
          <w:b/>
          <w:noProof/>
          <w:sz w:val="24"/>
        </w:rPr>
        <w:t xml:space="preserve">Един от всеки три отговора разкрива предишни осъдителни присъди </w:t>
      </w:r>
    </w:p>
    <w:p>
      <w:pPr>
        <w:jc w:val="both"/>
        <w:rPr>
          <w:rFonts w:ascii="Times New Roman" w:hAnsi="Times New Roman" w:cs="Times New Roman"/>
          <w:noProof/>
          <w:sz w:val="24"/>
          <w:szCs w:val="24"/>
        </w:rPr>
      </w:pPr>
      <w:r>
        <w:rPr>
          <w:rFonts w:ascii="Times New Roman" w:hAnsi="Times New Roman"/>
          <w:noProof/>
          <w:sz w:val="24"/>
        </w:rPr>
        <w:t xml:space="preserve">От първата година на функциониране на ECRIS </w:t>
      </w:r>
      <w:r>
        <w:rPr>
          <w:rFonts w:ascii="Times New Roman" w:hAnsi="Times New Roman"/>
          <w:b/>
          <w:noProof/>
          <w:sz w:val="24"/>
        </w:rPr>
        <w:t>в отговор на 31 % от исканията за информация за предишни присъди на дадено лице беше получена информация за предишни осъдителни присъди.</w:t>
      </w:r>
      <w:r>
        <w:rPr>
          <w:rFonts w:ascii="Times New Roman" w:hAnsi="Times New Roman"/>
          <w:noProof/>
          <w:sz w:val="24"/>
        </w:rPr>
        <w:t xml:space="preserve"> Това означава, че при 31 % от исканията въпросното лице вече е било осъдено един или повече пъти някъде другаде в Съюза. Това придава на ECRIS значителна стойност като инструмент за получаване на информация от регистрите за съдимост. През </w:t>
      </w:r>
      <w:r>
        <w:rPr>
          <w:rFonts w:ascii="Times New Roman" w:hAnsi="Times New Roman"/>
          <w:b/>
          <w:noProof/>
          <w:sz w:val="24"/>
        </w:rPr>
        <w:t>2016 г.</w:t>
      </w:r>
      <w:r>
        <w:rPr>
          <w:rFonts w:ascii="Times New Roman" w:hAnsi="Times New Roman"/>
          <w:noProof/>
          <w:sz w:val="24"/>
        </w:rPr>
        <w:t xml:space="preserve"> над </w:t>
      </w:r>
      <w:r>
        <w:rPr>
          <w:rFonts w:ascii="Times New Roman" w:hAnsi="Times New Roman"/>
          <w:b/>
          <w:noProof/>
          <w:sz w:val="24"/>
        </w:rPr>
        <w:t>105 000 отговора съдържаха информация за предишни осъдителни присъди.</w:t>
      </w:r>
    </w:p>
    <w:p>
      <w:pPr>
        <w:numPr>
          <w:ilvl w:val="0"/>
          <w:numId w:val="27"/>
        </w:numPr>
        <w:ind w:left="714" w:hanging="357"/>
        <w:jc w:val="both"/>
        <w:rPr>
          <w:rFonts w:ascii="Times New Roman" w:hAnsi="Times New Roman"/>
          <w:b/>
          <w:noProof/>
          <w:sz w:val="24"/>
        </w:rPr>
      </w:pPr>
      <w:r>
        <w:rPr>
          <w:rFonts w:ascii="Times New Roman" w:hAnsi="Times New Roman"/>
          <w:b/>
          <w:noProof/>
          <w:sz w:val="24"/>
        </w:rPr>
        <w:t>Стабилизиране на тенденцията за нотификациите</w:t>
      </w:r>
    </w:p>
    <w:p>
      <w:pPr>
        <w:jc w:val="both"/>
        <w:rPr>
          <w:rFonts w:ascii="Times New Roman" w:hAnsi="Times New Roman" w:cs="Times New Roman"/>
          <w:noProof/>
          <w:sz w:val="24"/>
          <w:szCs w:val="24"/>
        </w:rPr>
      </w:pPr>
      <w:r>
        <w:rPr>
          <w:rFonts w:ascii="Times New Roman" w:hAnsi="Times New Roman"/>
          <w:noProof/>
          <w:sz w:val="24"/>
        </w:rPr>
        <w:t xml:space="preserve">От 2014 г., с 25 взаимосвързани държави членки, </w:t>
      </w:r>
      <w:r>
        <w:rPr>
          <w:rFonts w:ascii="Times New Roman" w:hAnsi="Times New Roman"/>
          <w:b/>
          <w:noProof/>
          <w:sz w:val="24"/>
        </w:rPr>
        <w:t>броят на нотификациите за нови присъди постепенно се стабилизира</w:t>
      </w:r>
      <w:r>
        <w:rPr>
          <w:rFonts w:ascii="Times New Roman" w:hAnsi="Times New Roman"/>
          <w:noProof/>
          <w:sz w:val="24"/>
        </w:rPr>
        <w:t>, като достигна</w:t>
      </w:r>
      <w:r>
        <w:rPr>
          <w:rFonts w:ascii="Times New Roman" w:hAnsi="Times New Roman"/>
          <w:b/>
          <w:noProof/>
          <w:sz w:val="24"/>
        </w:rPr>
        <w:t xml:space="preserve"> 330 000 нотификации през 2016 г. </w:t>
      </w:r>
      <w:r>
        <w:rPr>
          <w:rFonts w:ascii="Times New Roman" w:hAnsi="Times New Roman"/>
          <w:noProof/>
          <w:sz w:val="24"/>
        </w:rPr>
        <w:t>Това става след период на първоначален значителен ръст, присъединяване на нови държави членки към мрежата и създаване на повече взаимни връзки. Очаква се с приближаването на процента на взаимно свързване към 100% броят им да продължи да нараства независимо от процента на присъдите.</w:t>
      </w:r>
    </w:p>
    <w:p>
      <w:pPr>
        <w:numPr>
          <w:ilvl w:val="0"/>
          <w:numId w:val="27"/>
        </w:numPr>
        <w:ind w:left="714" w:hanging="357"/>
        <w:jc w:val="both"/>
        <w:rPr>
          <w:rFonts w:ascii="Times New Roman" w:hAnsi="Times New Roman" w:cs="Times New Roman"/>
          <w:b/>
          <w:noProof/>
          <w:sz w:val="24"/>
          <w:szCs w:val="24"/>
        </w:rPr>
      </w:pPr>
      <w:r>
        <w:rPr>
          <w:rFonts w:ascii="Times New Roman" w:hAnsi="Times New Roman"/>
          <w:b/>
          <w:noProof/>
          <w:sz w:val="24"/>
        </w:rPr>
        <w:t>Бързо увеличаване на исканията за информация и отговорите</w:t>
      </w:r>
    </w:p>
    <w:p>
      <w:pPr>
        <w:jc w:val="both"/>
        <w:rPr>
          <w:rFonts w:ascii="Times New Roman" w:hAnsi="Times New Roman" w:cs="Times New Roman"/>
          <w:noProof/>
          <w:sz w:val="24"/>
          <w:szCs w:val="24"/>
        </w:rPr>
      </w:pPr>
      <w:r>
        <w:rPr>
          <w:rFonts w:ascii="Times New Roman" w:hAnsi="Times New Roman"/>
          <w:b/>
          <w:noProof/>
          <w:sz w:val="24"/>
        </w:rPr>
        <w:t>Броят на исканията за информация</w:t>
      </w:r>
      <w:r>
        <w:rPr>
          <w:rFonts w:ascii="Times New Roman" w:hAnsi="Times New Roman"/>
          <w:noProof/>
          <w:sz w:val="24"/>
        </w:rPr>
        <w:t xml:space="preserve"> и </w:t>
      </w:r>
      <w:r>
        <w:rPr>
          <w:rFonts w:ascii="Times New Roman" w:hAnsi="Times New Roman"/>
          <w:b/>
          <w:noProof/>
          <w:sz w:val="24"/>
        </w:rPr>
        <w:t>отговорите на тези искания</w:t>
      </w:r>
      <w:r>
        <w:rPr>
          <w:rFonts w:ascii="Times New Roman" w:hAnsi="Times New Roman"/>
          <w:noProof/>
          <w:sz w:val="24"/>
        </w:rPr>
        <w:t xml:space="preserve"> </w:t>
      </w:r>
      <w:r>
        <w:rPr>
          <w:rFonts w:ascii="Times New Roman" w:hAnsi="Times New Roman"/>
          <w:b/>
          <w:noProof/>
          <w:sz w:val="24"/>
        </w:rPr>
        <w:t>бързо е нараснал</w:t>
      </w:r>
      <w:r>
        <w:rPr>
          <w:rFonts w:ascii="Times New Roman" w:hAnsi="Times New Roman"/>
          <w:noProof/>
          <w:sz w:val="24"/>
        </w:rPr>
        <w:t xml:space="preserve"> през последните пет години, като през 2016 г. достига </w:t>
      </w:r>
      <w:r>
        <w:rPr>
          <w:rFonts w:ascii="Times New Roman" w:hAnsi="Times New Roman"/>
          <w:b/>
          <w:noProof/>
          <w:sz w:val="24"/>
        </w:rPr>
        <w:t>364 000 искания</w:t>
      </w:r>
      <w:r>
        <w:rPr>
          <w:rFonts w:ascii="Times New Roman" w:hAnsi="Times New Roman"/>
          <w:noProof/>
          <w:sz w:val="24"/>
        </w:rPr>
        <w:t xml:space="preserve"> и </w:t>
      </w:r>
      <w:r>
        <w:rPr>
          <w:rFonts w:ascii="Times New Roman" w:hAnsi="Times New Roman"/>
          <w:b/>
          <w:noProof/>
          <w:sz w:val="24"/>
        </w:rPr>
        <w:t>350 000 отговора</w:t>
      </w:r>
      <w:r>
        <w:rPr>
          <w:rFonts w:ascii="Times New Roman" w:hAnsi="Times New Roman"/>
          <w:noProof/>
          <w:sz w:val="24"/>
        </w:rPr>
        <w:t>. Това е положителен знак за повишаването на осведомеността в държавите членки относно необходимостта от използване на ECRIS за искане на информация за целите на наказателното производство, както и за други цели като назначения, по-специално за длъжности, включващи пряк и редовен контакт с деца в съответствие с Директива 2011/93/ЕС</w:t>
      </w:r>
      <w:r>
        <w:rPr>
          <w:rFonts w:ascii="Times New Roman" w:hAnsi="Times New Roman"/>
          <w:noProof/>
          <w:sz w:val="24"/>
          <w:vertAlign w:val="superscript"/>
        </w:rPr>
        <w:footnoteReference w:id="7"/>
      </w:r>
      <w:r>
        <w:rPr>
          <w:rFonts w:ascii="Times New Roman" w:hAnsi="Times New Roman"/>
          <w:noProof/>
          <w:sz w:val="24"/>
        </w:rPr>
        <w:t xml:space="preserve">. </w:t>
      </w:r>
    </w:p>
    <w:p>
      <w:pPr>
        <w:numPr>
          <w:ilvl w:val="0"/>
          <w:numId w:val="27"/>
        </w:numPr>
        <w:ind w:left="714" w:hanging="357"/>
        <w:jc w:val="both"/>
        <w:rPr>
          <w:rFonts w:ascii="Times New Roman" w:hAnsi="Times New Roman" w:cs="Times New Roman"/>
          <w:b/>
          <w:noProof/>
          <w:sz w:val="24"/>
          <w:szCs w:val="24"/>
        </w:rPr>
      </w:pPr>
      <w:r>
        <w:rPr>
          <w:rFonts w:ascii="Times New Roman" w:hAnsi="Times New Roman"/>
          <w:b/>
          <w:noProof/>
          <w:sz w:val="24"/>
        </w:rPr>
        <w:t>Значителни различия между дейностите и работното натоварване в рамките на ECRIS на държавите членки</w:t>
      </w:r>
    </w:p>
    <w:p>
      <w:pPr>
        <w:jc w:val="both"/>
        <w:rPr>
          <w:rFonts w:ascii="Times New Roman" w:hAnsi="Times New Roman" w:cs="Times New Roman"/>
          <w:noProof/>
          <w:spacing w:val="-4"/>
          <w:sz w:val="24"/>
          <w:szCs w:val="24"/>
        </w:rPr>
      </w:pPr>
      <w:r>
        <w:rPr>
          <w:rFonts w:ascii="Times New Roman" w:hAnsi="Times New Roman"/>
          <w:noProof/>
          <w:spacing w:val="-4"/>
          <w:sz w:val="24"/>
        </w:rPr>
        <w:t xml:space="preserve">Някои държави членки изпращат значително повече </w:t>
      </w:r>
      <w:r>
        <w:rPr>
          <w:rFonts w:ascii="Times New Roman" w:hAnsi="Times New Roman"/>
          <w:b/>
          <w:noProof/>
          <w:spacing w:val="-4"/>
          <w:sz w:val="24"/>
        </w:rPr>
        <w:t>искания за информация, отколкото получават.</w:t>
      </w:r>
      <w:r>
        <w:rPr>
          <w:rFonts w:ascii="Times New Roman" w:hAnsi="Times New Roman"/>
          <w:noProof/>
          <w:spacing w:val="-4"/>
          <w:sz w:val="24"/>
        </w:rPr>
        <w:t xml:space="preserve"> През 2016 г. това се отнася за DE, UK, AT и CZ. Други държави членки се сблъскват със </w:t>
      </w:r>
      <w:r>
        <w:rPr>
          <w:rFonts w:ascii="Times New Roman" w:hAnsi="Times New Roman"/>
          <w:b/>
          <w:noProof/>
          <w:spacing w:val="-4"/>
          <w:sz w:val="24"/>
        </w:rPr>
        <w:t>значително работно натоварване при отговаряне на исканията</w:t>
      </w:r>
      <w:r>
        <w:rPr>
          <w:rFonts w:ascii="Times New Roman" w:hAnsi="Times New Roman"/>
          <w:noProof/>
          <w:spacing w:val="-4"/>
          <w:sz w:val="24"/>
        </w:rPr>
        <w:t>, макар че те самите изпращат по-малко искания: PL, RO, SK, LT, IT, BG, LV, HU, HR, IE, EL, EE. Работното натоварване за някои други държави членки е главно в резултат на изпращането на голям брой нотификации за нови присъди до държавите членки, чийто гражданин е осъденото лице, докато самите те изпращат по-малко искания: IT, BE, ES, FR, CY.</w:t>
      </w:r>
    </w:p>
    <w:p>
      <w:pPr>
        <w:numPr>
          <w:ilvl w:val="0"/>
          <w:numId w:val="27"/>
        </w:numPr>
        <w:ind w:left="714" w:hanging="357"/>
        <w:jc w:val="both"/>
        <w:rPr>
          <w:rFonts w:ascii="Times New Roman" w:hAnsi="Times New Roman" w:cs="Times New Roman"/>
          <w:b/>
          <w:noProof/>
          <w:sz w:val="24"/>
          <w:szCs w:val="24"/>
        </w:rPr>
      </w:pPr>
      <w:r>
        <w:rPr>
          <w:rFonts w:ascii="Times New Roman" w:hAnsi="Times New Roman"/>
          <w:b/>
          <w:noProof/>
          <w:sz w:val="24"/>
        </w:rPr>
        <w:t xml:space="preserve">Не за всички присъди и актуализации е постъпила нотификация </w:t>
      </w:r>
    </w:p>
    <w:p>
      <w:pPr>
        <w:jc w:val="both"/>
        <w:rPr>
          <w:rFonts w:ascii="Times New Roman" w:hAnsi="Times New Roman" w:cs="Times New Roman"/>
          <w:noProof/>
          <w:sz w:val="24"/>
          <w:szCs w:val="24"/>
        </w:rPr>
      </w:pPr>
      <w:r>
        <w:rPr>
          <w:rFonts w:ascii="Times New Roman" w:hAnsi="Times New Roman"/>
          <w:noProof/>
          <w:sz w:val="24"/>
        </w:rPr>
        <w:t>Най-активните държави членки по отношение на обема на изпратените нотификации за нови присъди през 2016 г. бяха DE (29,7 % от всички такива изпратени нотификации), IT (19,0 %), BE (13,6 %), UK (9,9 %), ES (9,0 %) и FR (5,2 %).</w:t>
      </w:r>
    </w:p>
    <w:p>
      <w:pPr>
        <w:jc w:val="both"/>
        <w:rPr>
          <w:rFonts w:ascii="Times New Roman" w:hAnsi="Times New Roman" w:cs="Times New Roman"/>
          <w:noProof/>
          <w:spacing w:val="-6"/>
          <w:sz w:val="24"/>
          <w:szCs w:val="24"/>
        </w:rPr>
      </w:pPr>
      <w:r>
        <w:rPr>
          <w:rFonts w:ascii="Times New Roman" w:hAnsi="Times New Roman"/>
          <w:noProof/>
          <w:spacing w:val="-6"/>
          <w:sz w:val="24"/>
        </w:rPr>
        <w:t>За разлика от това, някои държави членки изобщо</w:t>
      </w:r>
      <w:r>
        <w:rPr>
          <w:rFonts w:ascii="Times New Roman" w:hAnsi="Times New Roman"/>
          <w:b/>
          <w:noProof/>
          <w:spacing w:val="-6"/>
          <w:sz w:val="24"/>
        </w:rPr>
        <w:t xml:space="preserve"> не изпращат</w:t>
      </w:r>
      <w:r>
        <w:rPr>
          <w:rFonts w:ascii="Times New Roman" w:hAnsi="Times New Roman"/>
          <w:noProof/>
          <w:spacing w:val="-6"/>
          <w:sz w:val="24"/>
        </w:rPr>
        <w:t xml:space="preserve"> </w:t>
      </w:r>
      <w:r>
        <w:rPr>
          <w:rFonts w:ascii="Times New Roman" w:hAnsi="Times New Roman"/>
          <w:b/>
          <w:noProof/>
          <w:spacing w:val="-6"/>
          <w:sz w:val="24"/>
        </w:rPr>
        <w:t>нотификации за нови присъди</w:t>
      </w:r>
      <w:r>
        <w:rPr>
          <w:rFonts w:ascii="Times New Roman" w:hAnsi="Times New Roman"/>
          <w:noProof/>
          <w:spacing w:val="-6"/>
          <w:sz w:val="24"/>
        </w:rPr>
        <w:t xml:space="preserve"> (EL) </w:t>
      </w:r>
      <w:r>
        <w:rPr>
          <w:rFonts w:ascii="Times New Roman" w:hAnsi="Times New Roman"/>
          <w:b/>
          <w:noProof/>
          <w:spacing w:val="-6"/>
          <w:sz w:val="24"/>
        </w:rPr>
        <w:t>или изпращат само няколко</w:t>
      </w:r>
      <w:r>
        <w:rPr>
          <w:rFonts w:ascii="Times New Roman" w:hAnsi="Times New Roman"/>
          <w:noProof/>
          <w:spacing w:val="-6"/>
          <w:sz w:val="24"/>
        </w:rPr>
        <w:t xml:space="preserve"> нотификации във връзка с пребиваващото в тях население от други държави — членки на ЕС</w:t>
      </w:r>
      <w:r>
        <w:rPr>
          <w:rStyle w:val="FootnoteReference"/>
          <w:rFonts w:ascii="Times New Roman" w:hAnsi="Times New Roman"/>
          <w:noProof/>
          <w:spacing w:val="-6"/>
          <w:sz w:val="24"/>
        </w:rPr>
        <w:footnoteReference w:id="8"/>
      </w:r>
      <w:r>
        <w:rPr>
          <w:rFonts w:ascii="Times New Roman" w:hAnsi="Times New Roman"/>
          <w:noProof/>
          <w:spacing w:val="-6"/>
          <w:sz w:val="24"/>
        </w:rPr>
        <w:t xml:space="preserve"> (BG, EE, HR, LT, LV, MT, RO през 2016 г.; BG, EE, LV, HR, LT през 2015 г.; BG, EE, HR, LT, LV, RO, SK през 2014 г.). Липсата на систематично и надеждно уведомяване за присъди може да даде възможност на осъдените лица да избягат от криминалното си минало или отново да извършат същото престъпление.</w:t>
      </w:r>
    </w:p>
    <w:p>
      <w:pPr>
        <w:jc w:val="both"/>
        <w:rPr>
          <w:rFonts w:ascii="Times New Roman" w:hAnsi="Times New Roman" w:cs="Times New Roman"/>
          <w:noProof/>
          <w:spacing w:val="-6"/>
          <w:sz w:val="24"/>
          <w:szCs w:val="24"/>
        </w:rPr>
      </w:pPr>
      <w:r>
        <w:rPr>
          <w:rFonts w:ascii="Times New Roman" w:hAnsi="Times New Roman"/>
          <w:b/>
          <w:noProof/>
          <w:spacing w:val="-6"/>
          <w:sz w:val="24"/>
        </w:rPr>
        <w:t xml:space="preserve">Актуализациите на изпратената информация за присъди </w:t>
      </w:r>
      <w:r>
        <w:rPr>
          <w:rFonts w:ascii="Times New Roman" w:hAnsi="Times New Roman"/>
          <w:noProof/>
          <w:spacing w:val="-6"/>
          <w:sz w:val="24"/>
        </w:rPr>
        <w:t xml:space="preserve">представляваха средно </w:t>
      </w:r>
      <w:r>
        <w:rPr>
          <w:rFonts w:ascii="Times New Roman" w:hAnsi="Times New Roman"/>
          <w:b/>
          <w:noProof/>
          <w:spacing w:val="-6"/>
          <w:sz w:val="24"/>
        </w:rPr>
        <w:t>27 % от всички нотификации</w:t>
      </w:r>
      <w:r>
        <w:rPr>
          <w:rFonts w:ascii="Times New Roman" w:hAnsi="Times New Roman"/>
          <w:noProof/>
          <w:spacing w:val="-6"/>
          <w:sz w:val="24"/>
        </w:rPr>
        <w:t xml:space="preserve"> през 2016 г. Някои държави членки </w:t>
      </w:r>
      <w:r>
        <w:rPr>
          <w:rFonts w:ascii="Times New Roman" w:hAnsi="Times New Roman"/>
          <w:b/>
          <w:noProof/>
          <w:spacing w:val="-6"/>
          <w:sz w:val="24"/>
        </w:rPr>
        <w:t>не изпратиха изобщо актуализации</w:t>
      </w:r>
      <w:r>
        <w:rPr>
          <w:rFonts w:ascii="Times New Roman" w:hAnsi="Times New Roman"/>
          <w:noProof/>
          <w:spacing w:val="-6"/>
          <w:sz w:val="24"/>
        </w:rPr>
        <w:t xml:space="preserve"> на предишни изпратени нотификации (BG, DK, EE, EL, LV, RO през 2016 г.; BG, DK, FI, EL през 2015 г.; DK, EE, FI, EL, HR, RO през 2014 г.) или </w:t>
      </w:r>
      <w:r>
        <w:rPr>
          <w:rFonts w:ascii="Times New Roman" w:hAnsi="Times New Roman"/>
          <w:b/>
          <w:noProof/>
          <w:spacing w:val="-6"/>
          <w:sz w:val="24"/>
        </w:rPr>
        <w:t>изпратиха малък обем</w:t>
      </w:r>
      <w:r>
        <w:rPr>
          <w:rFonts w:ascii="Times New Roman" w:hAnsi="Times New Roman"/>
          <w:noProof/>
          <w:spacing w:val="-6"/>
          <w:sz w:val="24"/>
        </w:rPr>
        <w:t xml:space="preserve"> от такива съобщения (HR, LT, LU през 2016 г.; EE, HR, LT, LU, LV, RO през 2015 г.; BG, HU, IE, LT, LU, LV, SK през 2014 г.). Липсата на актуализация на информацията за присъдите води до обработка на остаряла и ненадеждна информация за присъдите от държавата членка по гражданство, включително до нейното разпространение. </w:t>
      </w:r>
    </w:p>
    <w:p>
      <w:pPr>
        <w:numPr>
          <w:ilvl w:val="0"/>
          <w:numId w:val="27"/>
        </w:numPr>
        <w:ind w:left="714" w:hanging="357"/>
        <w:jc w:val="both"/>
        <w:rPr>
          <w:rFonts w:ascii="Times New Roman" w:hAnsi="Times New Roman" w:cs="Times New Roman"/>
          <w:b/>
          <w:noProof/>
          <w:spacing w:val="-4"/>
          <w:sz w:val="24"/>
          <w:szCs w:val="24"/>
        </w:rPr>
      </w:pPr>
      <w:r>
        <w:rPr>
          <w:rFonts w:ascii="Times New Roman" w:hAnsi="Times New Roman"/>
          <w:b/>
          <w:noProof/>
          <w:spacing w:val="-4"/>
          <w:sz w:val="24"/>
        </w:rPr>
        <w:t>ECRIS невинаги се използва за искане на информация за предишни присъди</w:t>
      </w:r>
    </w:p>
    <w:p>
      <w:pPr>
        <w:jc w:val="both"/>
        <w:rPr>
          <w:rFonts w:ascii="Times New Roman" w:hAnsi="Times New Roman" w:cs="Times New Roman"/>
          <w:noProof/>
          <w:spacing w:val="-4"/>
          <w:sz w:val="24"/>
          <w:szCs w:val="24"/>
        </w:rPr>
      </w:pPr>
      <w:r>
        <w:rPr>
          <w:rFonts w:ascii="Times New Roman" w:hAnsi="Times New Roman"/>
          <w:noProof/>
          <w:spacing w:val="-4"/>
          <w:sz w:val="24"/>
        </w:rPr>
        <w:t xml:space="preserve">Държавите членки, които изпратиха най-голям обем искания през 2016 г., бяха: DE (38,6 %), следвана от UK (26,7 %), CZ (10,1 %), AT (6,9 %), ES (3,7 %) и FR (3,5 %) Някои държави членки обаче изобщо </w:t>
      </w:r>
      <w:r>
        <w:rPr>
          <w:rFonts w:ascii="Times New Roman" w:hAnsi="Times New Roman"/>
          <w:b/>
          <w:noProof/>
          <w:spacing w:val="-4"/>
          <w:sz w:val="24"/>
        </w:rPr>
        <w:t>не изпратиха искания</w:t>
      </w:r>
      <w:r>
        <w:rPr>
          <w:rFonts w:ascii="Times New Roman" w:hAnsi="Times New Roman"/>
          <w:noProof/>
          <w:spacing w:val="-4"/>
          <w:sz w:val="24"/>
        </w:rPr>
        <w:t xml:space="preserve"> за информация (EL) или </w:t>
      </w:r>
      <w:r>
        <w:rPr>
          <w:rFonts w:ascii="Times New Roman" w:hAnsi="Times New Roman"/>
          <w:b/>
          <w:noProof/>
          <w:spacing w:val="-4"/>
          <w:sz w:val="24"/>
        </w:rPr>
        <w:t xml:space="preserve">изпратиха малък брой </w:t>
      </w:r>
      <w:r>
        <w:rPr>
          <w:rFonts w:ascii="Times New Roman" w:hAnsi="Times New Roman"/>
          <w:noProof/>
          <w:spacing w:val="-4"/>
          <w:sz w:val="24"/>
        </w:rPr>
        <w:t>искания (BG, CY, HU, IT, MT, SK през 2016 г.; BG, HU, IT, SK през 2015 г.; BG, EE, HR, HU, IT, SK през 2014 г.). Това води до ситуацията, в която наказателните съдилища могат да постановят съдебни решения, без да знаят за предишни присъди в други държави членки, което противоречи на изискванията, определени в Рамково решение 2008/675/ПВР</w:t>
      </w:r>
      <w:r>
        <w:rPr>
          <w:rStyle w:val="FootnoteReference"/>
          <w:rFonts w:ascii="Times New Roman" w:hAnsi="Times New Roman"/>
          <w:noProof/>
          <w:spacing w:val="-4"/>
          <w:sz w:val="24"/>
        </w:rPr>
        <w:footnoteReference w:id="9"/>
      </w:r>
      <w:r>
        <w:rPr>
          <w:rFonts w:ascii="Times New Roman" w:hAnsi="Times New Roman"/>
          <w:noProof/>
          <w:spacing w:val="-4"/>
          <w:sz w:val="24"/>
        </w:rPr>
        <w:t>. Недостатъчната информация за предишни присъди ще попречи също така на използването на надеждна информация за присъдите за други цели, различни от тези на наказателното производство (като например проверки преди наемане на работа), и по този начин ще доведе до намаляване на превенцията на престъпността.</w:t>
      </w:r>
    </w:p>
    <w:p>
      <w:pPr>
        <w:pStyle w:val="ListParagraph"/>
        <w:numPr>
          <w:ilvl w:val="0"/>
          <w:numId w:val="27"/>
        </w:numPr>
        <w:jc w:val="both"/>
        <w:rPr>
          <w:rFonts w:ascii="Times New Roman" w:hAnsi="Times New Roman" w:cs="Times New Roman"/>
          <w:b/>
          <w:noProof/>
          <w:spacing w:val="-4"/>
          <w:sz w:val="24"/>
          <w:szCs w:val="24"/>
        </w:rPr>
      </w:pPr>
      <w:r>
        <w:rPr>
          <w:rFonts w:ascii="Times New Roman" w:hAnsi="Times New Roman"/>
          <w:b/>
          <w:noProof/>
          <w:spacing w:val="-4"/>
          <w:sz w:val="24"/>
        </w:rPr>
        <w:t>През 2016 г. около 14 000 искания за информация (3,9 %) не получиха отговор</w:t>
      </w:r>
    </w:p>
    <w:p>
      <w:pPr>
        <w:jc w:val="both"/>
        <w:rPr>
          <w:rFonts w:ascii="Times New Roman" w:hAnsi="Times New Roman" w:cs="Times New Roman"/>
          <w:noProof/>
          <w:sz w:val="24"/>
          <w:szCs w:val="24"/>
        </w:rPr>
      </w:pPr>
      <w:r>
        <w:rPr>
          <w:rFonts w:ascii="Times New Roman" w:hAnsi="Times New Roman"/>
          <w:noProof/>
          <w:sz w:val="24"/>
        </w:rPr>
        <w:t xml:space="preserve">В повечето държави членки броят на получените отговори беше малко по-малък от броя на изпратените искания за информация, различавайки се средно с </w:t>
      </w:r>
      <w:r>
        <w:rPr>
          <w:rFonts w:ascii="Times New Roman" w:hAnsi="Times New Roman"/>
          <w:b/>
          <w:noProof/>
          <w:sz w:val="24"/>
        </w:rPr>
        <w:t>около 3,9% през 2016 г.</w:t>
      </w:r>
      <w:r>
        <w:rPr>
          <w:rFonts w:ascii="Times New Roman" w:hAnsi="Times New Roman"/>
          <w:noProof/>
          <w:sz w:val="24"/>
        </w:rPr>
        <w:t xml:space="preserve"> Държавите членки, които не отговориха на най-голям процент получени от тях искания, бяха: CY (66,1 %), EL (34,9 %), IT (20 %) и LV (17,8 %). </w:t>
      </w:r>
    </w:p>
    <w:p>
      <w:pPr>
        <w:numPr>
          <w:ilvl w:val="0"/>
          <w:numId w:val="27"/>
        </w:numPr>
        <w:ind w:left="714" w:hanging="357"/>
        <w:jc w:val="both"/>
        <w:rPr>
          <w:rFonts w:ascii="Times New Roman" w:hAnsi="Times New Roman" w:cs="Times New Roman"/>
          <w:b/>
          <w:noProof/>
          <w:sz w:val="24"/>
          <w:szCs w:val="24"/>
        </w:rPr>
      </w:pPr>
      <w:r>
        <w:rPr>
          <w:rFonts w:ascii="Times New Roman" w:hAnsi="Times New Roman"/>
          <w:b/>
          <w:noProof/>
          <w:sz w:val="24"/>
        </w:rPr>
        <w:t>Почти 13 000 искания (3,6 %) през 2016 г. не получиха отговор в рамките на законоустановения срок</w:t>
      </w:r>
    </w:p>
    <w:p>
      <w:pPr>
        <w:jc w:val="both"/>
        <w:rPr>
          <w:rFonts w:ascii="Times New Roman" w:hAnsi="Times New Roman" w:cs="Times New Roman"/>
          <w:noProof/>
          <w:sz w:val="24"/>
          <w:szCs w:val="24"/>
        </w:rPr>
      </w:pPr>
      <w:r>
        <w:rPr>
          <w:rFonts w:ascii="Times New Roman" w:hAnsi="Times New Roman"/>
          <w:noProof/>
          <w:sz w:val="24"/>
        </w:rPr>
        <w:t xml:space="preserve">През 2016 г. на почти </w:t>
      </w:r>
      <w:r>
        <w:rPr>
          <w:rFonts w:ascii="Times New Roman" w:hAnsi="Times New Roman"/>
          <w:b/>
          <w:noProof/>
          <w:sz w:val="24"/>
        </w:rPr>
        <w:t>13 000 искания не беше отговорено в рамките на законоустановения срок.</w:t>
      </w:r>
      <w:r>
        <w:rPr>
          <w:rFonts w:ascii="Times New Roman" w:hAnsi="Times New Roman"/>
          <w:noProof/>
          <w:sz w:val="24"/>
        </w:rPr>
        <w:t xml:space="preserve"> Те представляват </w:t>
      </w:r>
      <w:r>
        <w:rPr>
          <w:rFonts w:ascii="Times New Roman" w:hAnsi="Times New Roman"/>
          <w:b/>
          <w:noProof/>
          <w:sz w:val="24"/>
        </w:rPr>
        <w:t>3,6 % от общия</w:t>
      </w:r>
      <w:r>
        <w:rPr>
          <w:rFonts w:ascii="Times New Roman" w:hAnsi="Times New Roman"/>
          <w:noProof/>
          <w:sz w:val="24"/>
        </w:rPr>
        <w:t xml:space="preserve"> брой искания. Държавите членки с най-големи проблеми по отношение на крайните срокове са: EL (28,1 % от получените от EL искания не получиха отговор в рамките на крайния срок), FI (21,5 %), EE (20,5 %), RO (9,3 %) и IT (5,28 %).</w:t>
      </w:r>
      <w:bookmarkStart w:id="4" w:name="_Hlk480363534"/>
    </w:p>
    <w:p>
      <w:pPr>
        <w:numPr>
          <w:ilvl w:val="0"/>
          <w:numId w:val="27"/>
        </w:numPr>
        <w:ind w:left="714" w:hanging="357"/>
        <w:jc w:val="both"/>
        <w:rPr>
          <w:rFonts w:ascii="Times New Roman" w:hAnsi="Times New Roman" w:cs="Times New Roman"/>
          <w:b/>
          <w:noProof/>
          <w:sz w:val="24"/>
          <w:szCs w:val="24"/>
        </w:rPr>
      </w:pPr>
      <w:r>
        <w:rPr>
          <w:rFonts w:ascii="Times New Roman" w:hAnsi="Times New Roman"/>
          <w:b/>
          <w:noProof/>
          <w:sz w:val="24"/>
        </w:rPr>
        <w:t>ECRIS все повече се използва за цели, различни от тези на наказателното производство</w:t>
      </w:r>
    </w:p>
    <w:p>
      <w:pPr>
        <w:jc w:val="both"/>
        <w:rPr>
          <w:rFonts w:ascii="Times New Roman" w:hAnsi="Times New Roman" w:cs="Times New Roman"/>
          <w:noProof/>
          <w:sz w:val="24"/>
          <w:szCs w:val="24"/>
        </w:rPr>
      </w:pPr>
      <w:r>
        <w:rPr>
          <w:rFonts w:ascii="Times New Roman" w:hAnsi="Times New Roman"/>
          <w:noProof/>
          <w:sz w:val="24"/>
        </w:rPr>
        <w:t xml:space="preserve">По време на функционирането на ECRIS средно </w:t>
      </w:r>
      <w:r>
        <w:rPr>
          <w:rFonts w:ascii="Times New Roman" w:hAnsi="Times New Roman"/>
          <w:b/>
          <w:noProof/>
          <w:sz w:val="24"/>
        </w:rPr>
        <w:t>81 %</w:t>
      </w:r>
      <w:r>
        <w:rPr>
          <w:rFonts w:ascii="Times New Roman" w:hAnsi="Times New Roman"/>
          <w:noProof/>
          <w:sz w:val="24"/>
        </w:rPr>
        <w:t xml:space="preserve"> от всички искания бяха направени за целите на </w:t>
      </w:r>
      <w:r>
        <w:rPr>
          <w:rFonts w:ascii="Times New Roman" w:hAnsi="Times New Roman"/>
          <w:b/>
          <w:noProof/>
          <w:sz w:val="24"/>
        </w:rPr>
        <w:t>наказателното производство</w:t>
      </w:r>
      <w:r>
        <w:rPr>
          <w:rFonts w:ascii="Times New Roman" w:hAnsi="Times New Roman"/>
          <w:noProof/>
          <w:sz w:val="24"/>
        </w:rPr>
        <w:t xml:space="preserve">, а </w:t>
      </w:r>
      <w:r>
        <w:rPr>
          <w:rFonts w:ascii="Times New Roman" w:hAnsi="Times New Roman"/>
          <w:b/>
          <w:noProof/>
          <w:sz w:val="24"/>
        </w:rPr>
        <w:t>19 %</w:t>
      </w:r>
      <w:r>
        <w:rPr>
          <w:rFonts w:ascii="Times New Roman" w:hAnsi="Times New Roman"/>
          <w:noProof/>
          <w:sz w:val="24"/>
        </w:rPr>
        <w:t xml:space="preserve"> за </w:t>
      </w:r>
      <w:r>
        <w:rPr>
          <w:rFonts w:ascii="Times New Roman" w:hAnsi="Times New Roman"/>
          <w:b/>
          <w:noProof/>
          <w:sz w:val="24"/>
        </w:rPr>
        <w:t>други цели, различни от тези на наказателното производство</w:t>
      </w:r>
      <w:r>
        <w:rPr>
          <w:rFonts w:ascii="Times New Roman" w:hAnsi="Times New Roman"/>
          <w:noProof/>
          <w:sz w:val="24"/>
        </w:rPr>
        <w:t xml:space="preserve">. Броят на </w:t>
      </w:r>
      <w:r>
        <w:rPr>
          <w:rFonts w:ascii="Times New Roman" w:hAnsi="Times New Roman"/>
          <w:b/>
          <w:noProof/>
          <w:sz w:val="24"/>
        </w:rPr>
        <w:t xml:space="preserve">исканията за други цели </w:t>
      </w:r>
      <w:r>
        <w:rPr>
          <w:rFonts w:ascii="Times New Roman" w:hAnsi="Times New Roman"/>
          <w:noProof/>
          <w:sz w:val="24"/>
        </w:rPr>
        <w:t xml:space="preserve">нарасна до </w:t>
      </w:r>
      <w:r>
        <w:rPr>
          <w:rFonts w:ascii="Times New Roman" w:hAnsi="Times New Roman"/>
          <w:b/>
          <w:noProof/>
          <w:sz w:val="24"/>
        </w:rPr>
        <w:t>22 %</w:t>
      </w:r>
      <w:r>
        <w:rPr>
          <w:rFonts w:ascii="Times New Roman" w:hAnsi="Times New Roman"/>
          <w:noProof/>
          <w:sz w:val="24"/>
        </w:rPr>
        <w:t xml:space="preserve"> през </w:t>
      </w:r>
      <w:r>
        <w:rPr>
          <w:rFonts w:ascii="Times New Roman" w:hAnsi="Times New Roman"/>
          <w:b/>
          <w:noProof/>
          <w:sz w:val="24"/>
        </w:rPr>
        <w:t>2016 г.</w:t>
      </w:r>
      <w:r>
        <w:rPr>
          <w:rFonts w:ascii="Times New Roman" w:hAnsi="Times New Roman"/>
          <w:noProof/>
          <w:sz w:val="24"/>
        </w:rPr>
        <w:t xml:space="preserve"> и така достигна </w:t>
      </w:r>
      <w:r>
        <w:rPr>
          <w:rFonts w:ascii="Times New Roman" w:hAnsi="Times New Roman"/>
          <w:b/>
          <w:noProof/>
          <w:sz w:val="24"/>
        </w:rPr>
        <w:t>79 000</w:t>
      </w:r>
      <w:r>
        <w:rPr>
          <w:rFonts w:ascii="Times New Roman" w:hAnsi="Times New Roman"/>
          <w:noProof/>
          <w:sz w:val="24"/>
        </w:rPr>
        <w:t xml:space="preserve"> искания. Исканията от отделни лица за </w:t>
      </w:r>
      <w:r>
        <w:rPr>
          <w:rFonts w:ascii="Times New Roman" w:hAnsi="Times New Roman"/>
          <w:b/>
          <w:noProof/>
          <w:sz w:val="24"/>
        </w:rPr>
        <w:t>информация за собствените им досиета за съдимост</w:t>
      </w:r>
      <w:r>
        <w:rPr>
          <w:rFonts w:ascii="Times New Roman" w:hAnsi="Times New Roman"/>
          <w:noProof/>
          <w:sz w:val="24"/>
        </w:rPr>
        <w:t xml:space="preserve"> са с най-голям обем от исканията за други цели, различни от тези на наказателното производство — 68 % от всички искания за други цели и 15 % от всички направени искания.</w:t>
      </w:r>
    </w:p>
    <w:p>
      <w:pPr>
        <w:numPr>
          <w:ilvl w:val="0"/>
          <w:numId w:val="27"/>
        </w:numPr>
        <w:ind w:left="714" w:hanging="357"/>
        <w:jc w:val="both"/>
        <w:rPr>
          <w:rFonts w:ascii="Times New Roman" w:hAnsi="Times New Roman" w:cs="Times New Roman"/>
          <w:noProof/>
          <w:sz w:val="24"/>
          <w:szCs w:val="24"/>
        </w:rPr>
      </w:pPr>
      <w:r>
        <w:rPr>
          <w:rFonts w:ascii="Times New Roman" w:hAnsi="Times New Roman"/>
          <w:b/>
          <w:noProof/>
          <w:sz w:val="24"/>
        </w:rPr>
        <w:t>Настоящата ECRIS рядко се използва за ГТД</w:t>
      </w:r>
    </w:p>
    <w:p>
      <w:pPr>
        <w:spacing w:after="0"/>
        <w:jc w:val="both"/>
        <w:rPr>
          <w:rFonts w:ascii="Times New Roman" w:hAnsi="Times New Roman" w:cs="Times New Roman"/>
          <w:noProof/>
          <w:sz w:val="24"/>
          <w:szCs w:val="24"/>
        </w:rPr>
      </w:pPr>
      <w:r>
        <w:rPr>
          <w:rFonts w:ascii="Times New Roman" w:hAnsi="Times New Roman"/>
          <w:noProof/>
          <w:sz w:val="24"/>
        </w:rPr>
        <w:t xml:space="preserve">Средно </w:t>
      </w:r>
      <w:r>
        <w:rPr>
          <w:rFonts w:ascii="Times New Roman" w:hAnsi="Times New Roman"/>
          <w:b/>
          <w:noProof/>
          <w:sz w:val="24"/>
        </w:rPr>
        <w:t>90 %</w:t>
      </w:r>
      <w:r>
        <w:rPr>
          <w:rFonts w:ascii="Times New Roman" w:hAnsi="Times New Roman"/>
          <w:noProof/>
          <w:sz w:val="24"/>
        </w:rPr>
        <w:t xml:space="preserve"> от всички искания засягат </w:t>
      </w:r>
      <w:r>
        <w:rPr>
          <w:rFonts w:ascii="Times New Roman" w:hAnsi="Times New Roman"/>
          <w:b/>
          <w:noProof/>
          <w:sz w:val="24"/>
        </w:rPr>
        <w:t>граждани на ЕС</w:t>
      </w:r>
      <w:r>
        <w:rPr>
          <w:rFonts w:ascii="Times New Roman" w:hAnsi="Times New Roman"/>
          <w:noProof/>
          <w:sz w:val="24"/>
        </w:rPr>
        <w:t xml:space="preserve">, а около </w:t>
      </w:r>
      <w:r>
        <w:rPr>
          <w:rFonts w:ascii="Times New Roman" w:hAnsi="Times New Roman"/>
          <w:b/>
          <w:noProof/>
          <w:sz w:val="24"/>
        </w:rPr>
        <w:t>10 % засягат граждани на трети държави и лица без гражданство.</w:t>
      </w:r>
      <w:r>
        <w:rPr>
          <w:rFonts w:ascii="Times New Roman" w:hAnsi="Times New Roman"/>
          <w:noProof/>
          <w:sz w:val="24"/>
        </w:rPr>
        <w:t xml:space="preserve"> През 2016 г. броят на исканията за информация за </w:t>
      </w:r>
      <w:r>
        <w:rPr>
          <w:rFonts w:ascii="Times New Roman" w:hAnsi="Times New Roman"/>
          <w:b/>
          <w:noProof/>
          <w:sz w:val="24"/>
        </w:rPr>
        <w:t xml:space="preserve">ГТД </w:t>
      </w:r>
      <w:r>
        <w:rPr>
          <w:rFonts w:ascii="Times New Roman" w:hAnsi="Times New Roman"/>
          <w:noProof/>
          <w:sz w:val="24"/>
        </w:rPr>
        <w:t xml:space="preserve">достигна </w:t>
      </w:r>
      <w:r>
        <w:rPr>
          <w:rFonts w:ascii="Times New Roman" w:hAnsi="Times New Roman"/>
          <w:b/>
          <w:noProof/>
          <w:sz w:val="24"/>
        </w:rPr>
        <w:t>над</w:t>
      </w:r>
      <w:r>
        <w:rPr>
          <w:rFonts w:ascii="Times New Roman" w:hAnsi="Times New Roman"/>
          <w:noProof/>
          <w:sz w:val="24"/>
        </w:rPr>
        <w:t xml:space="preserve"> </w:t>
      </w:r>
      <w:r>
        <w:rPr>
          <w:rFonts w:ascii="Times New Roman" w:hAnsi="Times New Roman"/>
          <w:b/>
          <w:noProof/>
          <w:sz w:val="24"/>
        </w:rPr>
        <w:t>33 000</w:t>
      </w:r>
      <w:r>
        <w:rPr>
          <w:rFonts w:ascii="Times New Roman" w:hAnsi="Times New Roman"/>
          <w:noProof/>
          <w:sz w:val="24"/>
        </w:rPr>
        <w:t xml:space="preserve">. Очаква се допълването на системата ECRIS със специализирана централизирана система за ГТД, която Комисията предлага като част от пакета, включващ настоящия доклад, да доведе до значително увеличение на броя на исканията за ГТД. </w:t>
      </w:r>
    </w:p>
    <w:p>
      <w:pPr>
        <w:jc w:val="both"/>
        <w:rPr>
          <w:rFonts w:ascii="Times New Roman" w:hAnsi="Times New Roman" w:cs="Times New Roman"/>
          <w:b/>
          <w:noProof/>
          <w:sz w:val="24"/>
          <w:szCs w:val="24"/>
        </w:rPr>
      </w:pPr>
      <w:bookmarkStart w:id="5" w:name="_Toc479267019"/>
      <w:bookmarkEnd w:id="4"/>
    </w:p>
    <w:p>
      <w:pPr>
        <w:jc w:val="both"/>
        <w:rPr>
          <w:rFonts w:ascii="Times New Roman" w:hAnsi="Times New Roman" w:cs="Times New Roman"/>
          <w:b/>
          <w:noProof/>
          <w:sz w:val="24"/>
          <w:szCs w:val="24"/>
        </w:rPr>
      </w:pPr>
      <w:r>
        <w:rPr>
          <w:rFonts w:ascii="Times New Roman" w:hAnsi="Times New Roman"/>
          <w:b/>
          <w:noProof/>
          <w:sz w:val="24"/>
        </w:rPr>
        <w:t>3. Обменът чрез ECRIS в числа</w:t>
      </w:r>
      <w:bookmarkStart w:id="6" w:name="_Ref366147146"/>
      <w:bookmarkStart w:id="7" w:name="_Toc479267020"/>
      <w:bookmarkEnd w:id="5"/>
    </w:p>
    <w:p>
      <w:pPr>
        <w:jc w:val="both"/>
        <w:rPr>
          <w:rFonts w:ascii="Times New Roman" w:hAnsi="Times New Roman" w:cs="Times New Roman"/>
          <w:b/>
          <w:noProof/>
          <w:sz w:val="24"/>
          <w:szCs w:val="24"/>
        </w:rPr>
      </w:pPr>
      <w:r>
        <w:rPr>
          <w:rFonts w:ascii="Times New Roman" w:hAnsi="Times New Roman"/>
          <w:b/>
          <w:smallCaps/>
          <w:noProof/>
          <w:sz w:val="24"/>
        </w:rPr>
        <w:t xml:space="preserve">3.1. </w:t>
      </w:r>
      <w:r>
        <w:rPr>
          <w:rFonts w:ascii="Times New Roman" w:hAnsi="Times New Roman"/>
          <w:b/>
          <w:noProof/>
          <w:sz w:val="24"/>
        </w:rPr>
        <w:t>Свързани държави членки</w:t>
      </w:r>
      <w:bookmarkEnd w:id="6"/>
      <w:bookmarkEnd w:id="7"/>
    </w:p>
    <w:p>
      <w:pPr>
        <w:jc w:val="both"/>
        <w:rPr>
          <w:rFonts w:ascii="Times New Roman" w:hAnsi="Times New Roman" w:cs="Times New Roman"/>
          <w:noProof/>
          <w:sz w:val="24"/>
          <w:szCs w:val="24"/>
        </w:rPr>
      </w:pPr>
      <w:r>
        <w:rPr>
          <w:rFonts w:ascii="Times New Roman" w:hAnsi="Times New Roman"/>
          <w:noProof/>
          <w:sz w:val="24"/>
        </w:rPr>
        <w:t xml:space="preserve">Една държава членка се счита за свързана с ECRIS, ако обменя информация от регистрите за съдимост с поне един свързан партньор. </w:t>
      </w:r>
      <w:bookmarkStart w:id="8" w:name="_Hlk481158166"/>
      <w:r>
        <w:rPr>
          <w:rFonts w:ascii="Times New Roman" w:hAnsi="Times New Roman"/>
          <w:noProof/>
          <w:sz w:val="24"/>
        </w:rPr>
        <w:t xml:space="preserve">Към днешна дата </w:t>
      </w:r>
      <w:r>
        <w:rPr>
          <w:rFonts w:ascii="Times New Roman" w:hAnsi="Times New Roman"/>
          <w:b/>
          <w:noProof/>
          <w:sz w:val="24"/>
        </w:rPr>
        <w:t>всички 28 държави членки са свързани с ECRIS</w:t>
      </w:r>
      <w:r>
        <w:rPr>
          <w:rFonts w:ascii="Times New Roman" w:hAnsi="Times New Roman"/>
          <w:noProof/>
          <w:sz w:val="24"/>
        </w:rPr>
        <w:t xml:space="preserve"> и обменят информация от регистрите за съдимост с поне една друга държава членка, като последните държави членки (SL и PT) се присъединиха през януари 2017 г.</w:t>
      </w:r>
      <w:bookmarkEnd w:id="8"/>
      <w:r>
        <w:rPr>
          <w:rFonts w:ascii="Times New Roman" w:hAnsi="Times New Roman"/>
          <w:noProof/>
          <w:sz w:val="24"/>
        </w:rPr>
        <w:t xml:space="preserve"> За историята на връзките с мрежата на ECRIS — вж. приложението, раздел 1.1.</w:t>
      </w:r>
    </w:p>
    <w:p>
      <w:pPr>
        <w:jc w:val="both"/>
        <w:rPr>
          <w:rFonts w:ascii="Times New Roman" w:hAnsi="Times New Roman" w:cs="Times New Roman"/>
          <w:b/>
          <w:noProof/>
          <w:sz w:val="24"/>
          <w:szCs w:val="24"/>
        </w:rPr>
      </w:pPr>
      <w:r>
        <w:rPr>
          <w:rFonts w:ascii="Times New Roman" w:hAnsi="Times New Roman"/>
          <w:noProof/>
          <w:sz w:val="24"/>
        </w:rPr>
        <w:t xml:space="preserve">ECRIS е децентрализирана система, в която всички държави членки следва да са взаимосвързани една с друга. Общият възможен брой на взаимните връзки в такава конфигурация е 756 (27*28). </w:t>
      </w:r>
      <w:bookmarkStart w:id="9" w:name="_Hlk481160969"/>
      <w:r>
        <w:rPr>
          <w:rFonts w:ascii="Times New Roman" w:hAnsi="Times New Roman"/>
          <w:noProof/>
          <w:sz w:val="24"/>
        </w:rPr>
        <w:t xml:space="preserve">Въпреки че към момента всички държави членки са свързани с ECRIS, </w:t>
      </w:r>
      <w:r>
        <w:rPr>
          <w:rFonts w:ascii="Times New Roman" w:hAnsi="Times New Roman"/>
          <w:b/>
          <w:noProof/>
          <w:sz w:val="24"/>
        </w:rPr>
        <w:t xml:space="preserve">нито една от тях не обменя информация чрез ECRIS с всички останали 27 държави членки. </w:t>
      </w:r>
    </w:p>
    <w:bookmarkEnd w:id="9"/>
    <w:p>
      <w:pPr>
        <w:jc w:val="both"/>
        <w:rPr>
          <w:rFonts w:ascii="Times New Roman" w:hAnsi="Times New Roman" w:cs="Times New Roman"/>
          <w:noProof/>
          <w:sz w:val="24"/>
          <w:szCs w:val="24"/>
        </w:rPr>
      </w:pPr>
      <w:r>
        <w:rPr>
          <w:rFonts w:ascii="Times New Roman" w:hAnsi="Times New Roman"/>
          <w:noProof/>
          <w:sz w:val="24"/>
        </w:rPr>
        <w:t>В таблицата по-долу е показан броят на взаимните връзки за всяка държава членка през април 2017 г.</w:t>
      </w:r>
    </w:p>
    <w:p>
      <w:pPr>
        <w:jc w:val="center"/>
        <w:rPr>
          <w:rFonts w:ascii="Times New Roman" w:hAnsi="Times New Roman" w:cs="Times New Roman"/>
          <w:noProof/>
          <w:sz w:val="24"/>
          <w:szCs w:val="24"/>
          <w:lang w:val="en-GB"/>
        </w:rPr>
      </w:pPr>
      <w:r>
        <w:rPr>
          <w:noProof/>
          <w:lang w:val="en-US" w:eastAsia="en-US" w:bidi="ar-SA"/>
        </w:rPr>
        <w:drawing>
          <wp:inline distT="0" distB="0" distL="0" distR="0">
            <wp:extent cx="5149356" cy="2962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155947" cy="2966067"/>
                    </a:xfrm>
                    <a:prstGeom prst="rect">
                      <a:avLst/>
                    </a:prstGeom>
                  </pic:spPr>
                </pic:pic>
              </a:graphicData>
            </a:graphic>
          </wp:inline>
        </w:drawing>
      </w:r>
    </w:p>
    <w:p>
      <w:pPr>
        <w:jc w:val="both"/>
        <w:rPr>
          <w:rFonts w:ascii="Times New Roman" w:hAnsi="Times New Roman"/>
          <w:noProof/>
          <w:sz w:val="24"/>
          <w:lang w:val="en-GB"/>
        </w:rPr>
      </w:pPr>
    </w:p>
    <w:p>
      <w:pPr>
        <w:jc w:val="both"/>
        <w:rPr>
          <w:rFonts w:ascii="Times New Roman" w:hAnsi="Times New Roman" w:cs="Times New Roman"/>
          <w:noProof/>
          <w:sz w:val="24"/>
          <w:szCs w:val="24"/>
        </w:rPr>
      </w:pPr>
      <w:r>
        <w:rPr>
          <w:rFonts w:ascii="Times New Roman" w:hAnsi="Times New Roman"/>
          <w:noProof/>
          <w:sz w:val="24"/>
        </w:rPr>
        <w:t xml:space="preserve">През 2012 г. системата ECRIS стартира със 172 от 756 възможни взаимни връзки (с участието на 28 държави членки). </w:t>
      </w:r>
      <w:bookmarkStart w:id="10" w:name="_Hlk481158260"/>
      <w:r>
        <w:rPr>
          <w:rFonts w:ascii="Times New Roman" w:hAnsi="Times New Roman"/>
          <w:noProof/>
          <w:sz w:val="24"/>
        </w:rPr>
        <w:t xml:space="preserve">Към края на 2016 г., петата година на функциониране на системата, бяха установени 575 взаимни връзки, което представлява </w:t>
      </w:r>
      <w:r>
        <w:rPr>
          <w:rFonts w:ascii="Times New Roman" w:hAnsi="Times New Roman"/>
          <w:b/>
          <w:noProof/>
          <w:sz w:val="24"/>
        </w:rPr>
        <w:t>76 % от общия брой на възможните взаимни връзки</w:t>
      </w:r>
      <w:r>
        <w:rPr>
          <w:rFonts w:ascii="Times New Roman" w:hAnsi="Times New Roman"/>
          <w:noProof/>
          <w:sz w:val="24"/>
        </w:rPr>
        <w:t xml:space="preserve"> и 88 % от действащите взаимни връзки (като към този момент SL и PT все още не са свързани с ECRIS). За развитието на броя на взаимните връзки през годините — вж. приложението, раздел 1.1.</w:t>
      </w:r>
    </w:p>
    <w:p>
      <w:pPr>
        <w:jc w:val="both"/>
        <w:rPr>
          <w:rFonts w:ascii="Times New Roman" w:hAnsi="Times New Roman" w:cs="Times New Roman"/>
          <w:noProof/>
          <w:sz w:val="24"/>
          <w:szCs w:val="24"/>
        </w:rPr>
      </w:pPr>
      <w:bookmarkStart w:id="11" w:name="_Hlk481160416"/>
      <w:r>
        <w:rPr>
          <w:rFonts w:ascii="Times New Roman" w:hAnsi="Times New Roman"/>
          <w:noProof/>
          <w:sz w:val="24"/>
        </w:rPr>
        <w:t>През 2017 г. четири държави членки (AT, ES, UK и IE) са достигнали най-високия брой действащи взаимни връзки (26).</w:t>
      </w:r>
    </w:p>
    <w:bookmarkEnd w:id="11"/>
    <w:p>
      <w:pPr>
        <w:jc w:val="both"/>
        <w:rPr>
          <w:rFonts w:ascii="Times New Roman" w:hAnsi="Times New Roman" w:cs="Times New Roman"/>
          <w:noProof/>
          <w:sz w:val="24"/>
          <w:szCs w:val="24"/>
        </w:rPr>
      </w:pPr>
      <w:r>
        <w:rPr>
          <w:rFonts w:ascii="Times New Roman" w:hAnsi="Times New Roman"/>
          <w:noProof/>
          <w:sz w:val="24"/>
        </w:rPr>
        <w:t>Следователно основната цел — всяка държава членка да бъде свързана и да обменя информация чрез ECRIS с всички останали държави членки — все още предстои да бъде постигната.</w:t>
      </w:r>
    </w:p>
    <w:p>
      <w:pPr>
        <w:jc w:val="both"/>
        <w:rPr>
          <w:rFonts w:ascii="Times New Roman" w:hAnsi="Times New Roman" w:cs="Times New Roman"/>
          <w:b/>
          <w:noProof/>
          <w:sz w:val="24"/>
          <w:szCs w:val="24"/>
        </w:rPr>
      </w:pPr>
      <w:bookmarkStart w:id="12" w:name="_Toc479267021"/>
      <w:bookmarkEnd w:id="10"/>
      <w:r>
        <w:rPr>
          <w:rFonts w:ascii="Times New Roman" w:hAnsi="Times New Roman"/>
          <w:b/>
          <w:smallCaps/>
          <w:noProof/>
          <w:sz w:val="24"/>
        </w:rPr>
        <w:t xml:space="preserve">3.2. </w:t>
      </w:r>
      <w:r>
        <w:rPr>
          <w:rFonts w:ascii="Times New Roman" w:hAnsi="Times New Roman"/>
          <w:b/>
          <w:noProof/>
          <w:sz w:val="24"/>
        </w:rPr>
        <w:t>Общ брой на обменените</w:t>
      </w:r>
      <w:bookmarkEnd w:id="12"/>
      <w:r>
        <w:rPr>
          <w:rFonts w:ascii="Times New Roman" w:hAnsi="Times New Roman"/>
          <w:b/>
          <w:noProof/>
          <w:sz w:val="24"/>
        </w:rPr>
        <w:t xml:space="preserve"> съобщения</w:t>
      </w:r>
    </w:p>
    <w:p>
      <w:pPr>
        <w:jc w:val="both"/>
        <w:rPr>
          <w:rFonts w:ascii="Times New Roman" w:hAnsi="Times New Roman" w:cs="Times New Roman"/>
          <w:noProof/>
          <w:sz w:val="24"/>
          <w:szCs w:val="24"/>
        </w:rPr>
      </w:pPr>
      <w:r>
        <w:rPr>
          <w:rFonts w:ascii="Times New Roman" w:hAnsi="Times New Roman"/>
          <w:noProof/>
          <w:sz w:val="24"/>
        </w:rPr>
        <w:t>На графиката по-долу е показан бързо нарастващият годишен обем на обменените съобщения между свързаните държави членки от началото на функционирането на ECRIS през април 2012 г. до 31 декември 2016 г. При анализиране на данните относно 2012 г. трябва да се има предвид, че през тази година месеците, в които се извършва дейност, са само 8.</w:t>
      </w:r>
    </w:p>
    <w:p>
      <w:pPr>
        <w:jc w:val="center"/>
        <w:rPr>
          <w:rFonts w:ascii="Times New Roman" w:hAnsi="Times New Roman" w:cs="Times New Roman"/>
          <w:noProof/>
          <w:sz w:val="24"/>
          <w:szCs w:val="24"/>
          <w:highlight w:val="yellow"/>
          <w:lang w:val="en-GB"/>
        </w:rPr>
      </w:pPr>
      <w:r>
        <w:rPr>
          <w:noProof/>
          <w:lang w:val="en-US" w:eastAsia="en-US" w:bidi="ar-SA"/>
        </w:rPr>
        <w:drawing>
          <wp:inline distT="0" distB="0" distL="0" distR="0">
            <wp:extent cx="4914900" cy="30003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914900" cy="3000375"/>
                    </a:xfrm>
                    <a:prstGeom prst="rect">
                      <a:avLst/>
                    </a:prstGeom>
                  </pic:spPr>
                </pic:pic>
              </a:graphicData>
            </a:graphic>
          </wp:inline>
        </w:drawing>
      </w:r>
      <w:bookmarkStart w:id="13" w:name="_Hlk481162649"/>
      <w:bookmarkStart w:id="14" w:name="_Hlk481160518"/>
    </w:p>
    <w:p>
      <w:pPr>
        <w:jc w:val="both"/>
        <w:rPr>
          <w:rFonts w:ascii="Times New Roman" w:hAnsi="Times New Roman" w:cs="Times New Roman"/>
          <w:noProof/>
          <w:sz w:val="24"/>
          <w:szCs w:val="24"/>
        </w:rPr>
      </w:pPr>
      <w:r>
        <w:rPr>
          <w:rFonts w:ascii="Times New Roman" w:hAnsi="Times New Roman"/>
          <w:noProof/>
          <w:sz w:val="24"/>
        </w:rPr>
        <w:t xml:space="preserve">От 300 000 до края на 2012 г. броят на обменените съобщения от всички взаимосвързани държави членки през </w:t>
      </w:r>
      <w:r>
        <w:rPr>
          <w:rFonts w:ascii="Times New Roman" w:hAnsi="Times New Roman"/>
          <w:b/>
          <w:noProof/>
          <w:sz w:val="24"/>
        </w:rPr>
        <w:t>2016 г.</w:t>
      </w:r>
      <w:r>
        <w:rPr>
          <w:rFonts w:ascii="Times New Roman" w:hAnsi="Times New Roman"/>
          <w:noProof/>
          <w:sz w:val="24"/>
        </w:rPr>
        <w:t xml:space="preserve"> достигна близо </w:t>
      </w:r>
      <w:r>
        <w:rPr>
          <w:rFonts w:ascii="Times New Roman" w:hAnsi="Times New Roman"/>
          <w:b/>
          <w:noProof/>
          <w:sz w:val="24"/>
        </w:rPr>
        <w:t>2 милиона</w:t>
      </w:r>
      <w:r>
        <w:rPr>
          <w:rFonts w:ascii="Times New Roman" w:hAnsi="Times New Roman"/>
          <w:noProof/>
          <w:sz w:val="24"/>
        </w:rPr>
        <w:t xml:space="preserve"> със </w:t>
      </w:r>
      <w:r>
        <w:rPr>
          <w:rFonts w:ascii="Times New Roman" w:hAnsi="Times New Roman"/>
          <w:b/>
          <w:noProof/>
          <w:sz w:val="24"/>
        </w:rPr>
        <w:t>средно 165 000 съобщения на месец.</w:t>
      </w:r>
      <w:bookmarkEnd w:id="13"/>
      <w:r>
        <w:rPr>
          <w:rFonts w:ascii="Times New Roman" w:hAnsi="Times New Roman"/>
          <w:noProof/>
          <w:sz w:val="24"/>
        </w:rPr>
        <w:t xml:space="preserve"> В този обем са включени всички видове съобщения: нотификации, актуализации, искания, отговори, откази, други отговори, обмен на допълнителна информация и т.н. </w:t>
      </w:r>
    </w:p>
    <w:p>
      <w:pPr>
        <w:jc w:val="both"/>
        <w:rPr>
          <w:rFonts w:ascii="Times New Roman" w:hAnsi="Times New Roman" w:cs="Times New Roman"/>
          <w:noProof/>
          <w:sz w:val="24"/>
          <w:szCs w:val="24"/>
        </w:rPr>
      </w:pPr>
      <w:r>
        <w:rPr>
          <w:rFonts w:ascii="Times New Roman" w:hAnsi="Times New Roman"/>
          <w:noProof/>
          <w:sz w:val="24"/>
        </w:rPr>
        <w:t>На графиката по-долу са представени тенденциите при нотификациите, исканията и отговорите на искания през петте години функциониране на ECRIS. Тук са взети предвид само нотификациите за нови присъди, без актуализациите. Отговорите включват отговори на искания, откази на искания и други отговори</w:t>
      </w:r>
      <w:r>
        <w:rPr>
          <w:rStyle w:val="FootnoteReference"/>
          <w:rFonts w:ascii="Times New Roman" w:hAnsi="Times New Roman"/>
          <w:noProof/>
          <w:sz w:val="24"/>
        </w:rPr>
        <w:footnoteReference w:id="10"/>
      </w:r>
      <w:r>
        <w:rPr>
          <w:rFonts w:ascii="Times New Roman" w:hAnsi="Times New Roman"/>
          <w:noProof/>
          <w:sz w:val="24"/>
        </w:rPr>
        <w:t xml:space="preserve">. </w:t>
      </w:r>
    </w:p>
    <w:p>
      <w:pPr>
        <w:jc w:val="center"/>
        <w:rPr>
          <w:rFonts w:ascii="Times New Roman" w:hAnsi="Times New Roman" w:cs="Times New Roman"/>
          <w:noProof/>
          <w:sz w:val="24"/>
          <w:szCs w:val="24"/>
          <w:highlight w:val="yellow"/>
          <w:lang w:val="en-GB"/>
        </w:rPr>
      </w:pPr>
      <w:r>
        <w:rPr>
          <w:noProof/>
          <w:lang w:val="en-US" w:eastAsia="en-US" w:bidi="ar-SA"/>
        </w:rPr>
        <w:drawing>
          <wp:inline distT="0" distB="0" distL="0" distR="0">
            <wp:extent cx="5760085" cy="29376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60085" cy="2937607"/>
                    </a:xfrm>
                    <a:prstGeom prst="rect">
                      <a:avLst/>
                    </a:prstGeom>
                  </pic:spPr>
                </pic:pic>
              </a:graphicData>
            </a:graphic>
          </wp:inline>
        </w:drawing>
      </w:r>
    </w:p>
    <w:p>
      <w:pPr>
        <w:jc w:val="both"/>
        <w:rPr>
          <w:rFonts w:ascii="Times New Roman" w:hAnsi="Times New Roman" w:cs="Times New Roman"/>
          <w:noProof/>
          <w:sz w:val="24"/>
          <w:szCs w:val="24"/>
        </w:rPr>
      </w:pPr>
      <w:bookmarkStart w:id="15" w:name="_Hlk481162482"/>
      <w:r>
        <w:rPr>
          <w:rFonts w:ascii="Times New Roman" w:hAnsi="Times New Roman"/>
          <w:noProof/>
          <w:sz w:val="24"/>
        </w:rPr>
        <w:t xml:space="preserve">Понастоящем </w:t>
      </w:r>
      <w:r>
        <w:rPr>
          <w:rFonts w:ascii="Times New Roman" w:hAnsi="Times New Roman"/>
          <w:b/>
          <w:noProof/>
          <w:sz w:val="24"/>
        </w:rPr>
        <w:t>нотификациите, исканията и отговорите на искания</w:t>
      </w:r>
      <w:r>
        <w:rPr>
          <w:rFonts w:ascii="Times New Roman" w:hAnsi="Times New Roman"/>
          <w:noProof/>
          <w:sz w:val="24"/>
        </w:rPr>
        <w:t xml:space="preserve"> възлизат приблизително на </w:t>
      </w:r>
      <w:r>
        <w:rPr>
          <w:rFonts w:ascii="Times New Roman" w:hAnsi="Times New Roman"/>
          <w:b/>
          <w:noProof/>
          <w:sz w:val="24"/>
        </w:rPr>
        <w:t>350 000</w:t>
      </w:r>
      <w:r>
        <w:rPr>
          <w:rFonts w:ascii="Times New Roman" w:hAnsi="Times New Roman"/>
          <w:noProof/>
          <w:sz w:val="24"/>
        </w:rPr>
        <w:t xml:space="preserve"> годишно </w:t>
      </w:r>
      <w:r>
        <w:rPr>
          <w:rFonts w:ascii="Times New Roman" w:hAnsi="Times New Roman"/>
          <w:b/>
          <w:noProof/>
          <w:sz w:val="24"/>
        </w:rPr>
        <w:t xml:space="preserve">във всяка категория. </w:t>
      </w:r>
    </w:p>
    <w:p>
      <w:pPr>
        <w:jc w:val="both"/>
        <w:rPr>
          <w:rFonts w:ascii="Times New Roman" w:hAnsi="Times New Roman" w:cs="Times New Roman"/>
          <w:noProof/>
          <w:sz w:val="24"/>
          <w:szCs w:val="24"/>
        </w:rPr>
      </w:pPr>
      <w:r>
        <w:rPr>
          <w:rFonts w:ascii="Times New Roman" w:hAnsi="Times New Roman"/>
          <w:noProof/>
          <w:sz w:val="24"/>
        </w:rPr>
        <w:t xml:space="preserve">От 2014 г., с 25 взаимосвързани държави членки, </w:t>
      </w:r>
      <w:r>
        <w:rPr>
          <w:rFonts w:ascii="Times New Roman" w:hAnsi="Times New Roman"/>
          <w:b/>
          <w:noProof/>
          <w:sz w:val="24"/>
        </w:rPr>
        <w:t>броят на нотификациите за нови присъди постепенно се е стабилизирал</w:t>
      </w:r>
      <w:r>
        <w:rPr>
          <w:rFonts w:ascii="Times New Roman" w:hAnsi="Times New Roman"/>
          <w:noProof/>
          <w:sz w:val="24"/>
        </w:rPr>
        <w:t xml:space="preserve"> след първоначалния значителен растеж, свързан с присъединяването на нови държави членки към мрежата и създаването на повече взаимни връзки. Очаква се броят им да продължи да нараства, независимо от процента на присъдите, тъй като взаимните връзки достигат 100 %. </w:t>
      </w:r>
    </w:p>
    <w:p>
      <w:pPr>
        <w:jc w:val="both"/>
        <w:rPr>
          <w:rFonts w:ascii="Times New Roman" w:hAnsi="Times New Roman" w:cs="Times New Roman"/>
          <w:noProof/>
          <w:sz w:val="24"/>
          <w:szCs w:val="24"/>
        </w:rPr>
      </w:pPr>
      <w:r>
        <w:rPr>
          <w:rFonts w:ascii="Times New Roman" w:hAnsi="Times New Roman"/>
          <w:noProof/>
          <w:sz w:val="24"/>
        </w:rPr>
        <w:t xml:space="preserve">За разлика от това </w:t>
      </w:r>
      <w:r>
        <w:rPr>
          <w:rFonts w:ascii="Times New Roman" w:hAnsi="Times New Roman"/>
          <w:b/>
          <w:noProof/>
          <w:sz w:val="24"/>
        </w:rPr>
        <w:t>броят на исканията за информация</w:t>
      </w:r>
      <w:r>
        <w:rPr>
          <w:rFonts w:ascii="Times New Roman" w:hAnsi="Times New Roman"/>
          <w:noProof/>
          <w:sz w:val="24"/>
        </w:rPr>
        <w:t xml:space="preserve"> и на свързаните с тях отговори на искания </w:t>
      </w:r>
      <w:r>
        <w:rPr>
          <w:rFonts w:ascii="Times New Roman" w:hAnsi="Times New Roman"/>
          <w:b/>
          <w:noProof/>
          <w:sz w:val="24"/>
        </w:rPr>
        <w:t>се увеличава бързо.</w:t>
      </w:r>
      <w:r>
        <w:rPr>
          <w:rFonts w:ascii="Times New Roman" w:hAnsi="Times New Roman"/>
          <w:noProof/>
          <w:sz w:val="24"/>
        </w:rPr>
        <w:t xml:space="preserve"> Това е положителен знак за повишаване на осведомеността в държавите членки относно необходимостта от използване на ECRIS за искане на информация в хода на наказателното производство, за да могат да се вземат под внимание предишни присъди, в съответствие с Рамково решение 2008/675/ПВР. За тази положителна тенденция също така допринася и нарастващият брой на исканията за информация за други цели, различни от тези на наказателното производство (напр. наемане на работа, особено за длъжности, включващи редовен контакт с деца в съответствие с Директива 2011/93/ЕС).</w:t>
      </w:r>
    </w:p>
    <w:p>
      <w:pPr>
        <w:jc w:val="both"/>
        <w:rPr>
          <w:rFonts w:ascii="Times New Roman" w:hAnsi="Times New Roman" w:cs="Times New Roman"/>
          <w:b/>
          <w:noProof/>
          <w:sz w:val="24"/>
          <w:szCs w:val="24"/>
        </w:rPr>
      </w:pPr>
      <w:bookmarkStart w:id="16" w:name="_Toc479267022"/>
      <w:bookmarkEnd w:id="14"/>
      <w:bookmarkEnd w:id="15"/>
      <w:r>
        <w:rPr>
          <w:rFonts w:ascii="Times New Roman" w:hAnsi="Times New Roman"/>
          <w:b/>
          <w:noProof/>
          <w:sz w:val="24"/>
        </w:rPr>
        <w:t xml:space="preserve">3.3. Брой нотификации, искания и </w:t>
      </w:r>
      <w:bookmarkEnd w:id="16"/>
      <w:r>
        <w:rPr>
          <w:rFonts w:ascii="Times New Roman" w:hAnsi="Times New Roman"/>
          <w:b/>
          <w:noProof/>
          <w:sz w:val="24"/>
        </w:rPr>
        <w:t>отговори по държави членки</w:t>
      </w:r>
    </w:p>
    <w:p>
      <w:pPr>
        <w:jc w:val="both"/>
        <w:rPr>
          <w:rFonts w:ascii="Times New Roman" w:hAnsi="Times New Roman" w:cs="Times New Roman"/>
          <w:noProof/>
          <w:sz w:val="24"/>
          <w:szCs w:val="24"/>
        </w:rPr>
      </w:pPr>
      <w:r>
        <w:rPr>
          <w:rFonts w:ascii="Times New Roman" w:hAnsi="Times New Roman"/>
          <w:noProof/>
          <w:sz w:val="24"/>
        </w:rPr>
        <w:t>На графиката по-долу е показан броят на изпратените нотификации за нови присъди, изпратените искания за информация и изпратените отговори за всички взаимосвързани държави членки през 2016 г. За 2014 г. и 2015 г. — вж. приложението, раздел 1.2.</w:t>
      </w:r>
    </w:p>
    <w:p>
      <w:pPr>
        <w:rPr>
          <w:rFonts w:ascii="Times New Roman" w:hAnsi="Times New Roman" w:cs="Times New Roman"/>
          <w:noProof/>
          <w:sz w:val="24"/>
          <w:szCs w:val="24"/>
          <w:lang w:val="en-GB"/>
        </w:rPr>
      </w:pPr>
      <w:r>
        <w:rPr>
          <w:noProof/>
          <w:lang w:val="en-US" w:eastAsia="en-US" w:bidi="ar-SA"/>
        </w:rPr>
        <w:drawing>
          <wp:inline distT="0" distB="0" distL="0" distR="0">
            <wp:extent cx="5760085" cy="371717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760085" cy="3717172"/>
                    </a:xfrm>
                    <a:prstGeom prst="rect">
                      <a:avLst/>
                    </a:prstGeom>
                  </pic:spPr>
                </pic:pic>
              </a:graphicData>
            </a:graphic>
          </wp:inline>
        </w:drawing>
      </w:r>
    </w:p>
    <w:p>
      <w:pPr>
        <w:jc w:val="both"/>
        <w:rPr>
          <w:rFonts w:ascii="Times New Roman" w:hAnsi="Times New Roman" w:cs="Times New Roman"/>
          <w:noProof/>
          <w:sz w:val="24"/>
          <w:szCs w:val="24"/>
        </w:rPr>
      </w:pPr>
      <w:bookmarkStart w:id="17" w:name="_Hlk481161857"/>
      <w:bookmarkStart w:id="18" w:name="_Hlk481162724"/>
      <w:r>
        <w:rPr>
          <w:rFonts w:ascii="Times New Roman" w:hAnsi="Times New Roman"/>
          <w:noProof/>
          <w:sz w:val="24"/>
        </w:rPr>
        <w:t>Най-активните държави членки по отношение на общия обем на изпращане на тези три вида съобщения</w:t>
      </w:r>
      <w:r>
        <w:rPr>
          <w:rStyle w:val="FootnoteReference"/>
          <w:rFonts w:ascii="Times New Roman" w:hAnsi="Times New Roman"/>
          <w:noProof/>
          <w:sz w:val="24"/>
        </w:rPr>
        <w:footnoteReference w:id="11"/>
      </w:r>
      <w:r>
        <w:rPr>
          <w:rFonts w:ascii="Times New Roman" w:hAnsi="Times New Roman"/>
          <w:noProof/>
          <w:sz w:val="24"/>
        </w:rPr>
        <w:t xml:space="preserve"> бяха:</w:t>
      </w:r>
    </w:p>
    <w:p>
      <w:pPr>
        <w:jc w:val="both"/>
        <w:rPr>
          <w:rFonts w:ascii="Times New Roman" w:hAnsi="Times New Roman" w:cs="Times New Roman"/>
          <w:noProof/>
          <w:spacing w:val="-2"/>
          <w:sz w:val="24"/>
          <w:szCs w:val="24"/>
        </w:rPr>
      </w:pPr>
      <w:r>
        <w:rPr>
          <w:rFonts w:ascii="Times New Roman" w:hAnsi="Times New Roman"/>
          <w:noProof/>
          <w:spacing w:val="-2"/>
          <w:sz w:val="24"/>
        </w:rPr>
        <w:t>— през 2016 г.: DE (24,9 %), следвана от UK (13,7 %), IT (7,7 %), PL (6,6 %) и RO (5,5 %)</w:t>
      </w:r>
    </w:p>
    <w:p>
      <w:pPr>
        <w:jc w:val="both"/>
        <w:rPr>
          <w:rFonts w:ascii="Times New Roman" w:hAnsi="Times New Roman" w:cs="Times New Roman"/>
          <w:noProof/>
          <w:spacing w:val="-2"/>
          <w:sz w:val="24"/>
          <w:szCs w:val="24"/>
        </w:rPr>
      </w:pPr>
      <w:r>
        <w:rPr>
          <w:rFonts w:ascii="Times New Roman" w:hAnsi="Times New Roman"/>
          <w:noProof/>
          <w:spacing w:val="-2"/>
          <w:sz w:val="24"/>
        </w:rPr>
        <w:t>— през 2015 г.: DE (25,6 %), следвана от UK (14,7 %), IT (9,1 %), PL (7,0 %) и RO (5,6 %)</w:t>
      </w:r>
    </w:p>
    <w:bookmarkEnd w:id="17"/>
    <w:p>
      <w:pPr>
        <w:jc w:val="both"/>
        <w:rPr>
          <w:rFonts w:ascii="Times New Roman" w:hAnsi="Times New Roman" w:cs="Times New Roman"/>
          <w:noProof/>
          <w:spacing w:val="-2"/>
          <w:sz w:val="24"/>
          <w:szCs w:val="24"/>
        </w:rPr>
      </w:pPr>
      <w:r>
        <w:rPr>
          <w:rFonts w:ascii="Times New Roman" w:hAnsi="Times New Roman"/>
          <w:noProof/>
          <w:spacing w:val="-2"/>
          <w:sz w:val="24"/>
        </w:rPr>
        <w:t>— през 2014 г.: DE (28,7 %), следвана от IT (10,9 %), UK (9,7 %), FR (8,3 %) и PL (6,8 %)</w:t>
      </w:r>
    </w:p>
    <w:p>
      <w:pPr>
        <w:jc w:val="both"/>
        <w:rPr>
          <w:rFonts w:ascii="Times New Roman" w:hAnsi="Times New Roman" w:cs="Times New Roman"/>
          <w:noProof/>
          <w:sz w:val="24"/>
          <w:szCs w:val="24"/>
        </w:rPr>
      </w:pPr>
      <w:r>
        <w:rPr>
          <w:rFonts w:ascii="Times New Roman" w:hAnsi="Times New Roman"/>
          <w:noProof/>
          <w:sz w:val="24"/>
        </w:rPr>
        <w:t xml:space="preserve">Данните показват </w:t>
      </w:r>
      <w:r>
        <w:rPr>
          <w:rFonts w:ascii="Times New Roman" w:hAnsi="Times New Roman"/>
          <w:b/>
          <w:noProof/>
          <w:sz w:val="24"/>
        </w:rPr>
        <w:t>значителни различия между дейностите и работното натоварване в рамките на ECRIS на държавите членки</w:t>
      </w:r>
    </w:p>
    <w:bookmarkEnd w:id="18"/>
    <w:p>
      <w:pPr>
        <w:jc w:val="both"/>
        <w:rPr>
          <w:rFonts w:ascii="Times New Roman" w:hAnsi="Times New Roman" w:cs="Times New Roman"/>
          <w:noProof/>
          <w:sz w:val="24"/>
          <w:szCs w:val="24"/>
        </w:rPr>
      </w:pPr>
      <w:r>
        <w:rPr>
          <w:rFonts w:ascii="Times New Roman" w:hAnsi="Times New Roman"/>
          <w:noProof/>
          <w:sz w:val="24"/>
        </w:rPr>
        <w:t>Някои държави членки искат информация значително повече пъти, отколкото от самите тях е поискано да предоставят информация: DE, UK, AT, а през 2016 г. и CZ. Други се сблъскват главно със значителното работно натоварване при отговаряне на исканията, макар че самите те изпращат по-малко искания: PL, RO, SK, LT, IT, BG, LV, HU, HR, IE, EL, EE. Работното натоварване за някои други държави членки е главно в резултат на изпращането на голям обем нотификации за нови присъди до държавите членки, чийто гражданин е осъденото лице, докато самите те изпращат по-малко искания: IT, BE, ES, FR, CY.</w:t>
      </w:r>
    </w:p>
    <w:p>
      <w:pPr>
        <w:jc w:val="both"/>
        <w:rPr>
          <w:rFonts w:ascii="Times New Roman" w:hAnsi="Times New Roman" w:cs="Times New Roman"/>
          <w:b/>
          <w:noProof/>
          <w:sz w:val="24"/>
          <w:szCs w:val="24"/>
        </w:rPr>
      </w:pPr>
      <w:r>
        <w:rPr>
          <w:rFonts w:ascii="Times New Roman" w:hAnsi="Times New Roman"/>
          <w:b/>
          <w:noProof/>
          <w:sz w:val="24"/>
        </w:rPr>
        <w:t>3.4. Нотификации</w:t>
      </w:r>
    </w:p>
    <w:p>
      <w:pPr>
        <w:jc w:val="both"/>
        <w:rPr>
          <w:rFonts w:ascii="Times New Roman" w:hAnsi="Times New Roman" w:cs="Times New Roman"/>
          <w:noProof/>
          <w:sz w:val="24"/>
          <w:szCs w:val="24"/>
        </w:rPr>
      </w:pPr>
      <w:r>
        <w:rPr>
          <w:rFonts w:ascii="Times New Roman" w:hAnsi="Times New Roman"/>
          <w:noProof/>
          <w:sz w:val="24"/>
        </w:rPr>
        <w:t>На графиката по-долу е представен обемът на нотификациите, издадени от всички взаимосвързани държави членки през 2016 г., с разбивка по нотификации за нови присъди и нотификации, актуализиращи предишни изпратени нотификации. За 2014 г. и 2015 г. — вж. приложението, раздел 1.3.</w:t>
      </w:r>
    </w:p>
    <w:p>
      <w:pPr>
        <w:rPr>
          <w:rStyle w:val="CommentReference"/>
          <w:rFonts w:ascii="Times New Roman" w:hAnsi="Times New Roman" w:cs="Times New Roman"/>
          <w:noProof/>
          <w:sz w:val="24"/>
          <w:szCs w:val="24"/>
        </w:rPr>
      </w:pPr>
      <w:bookmarkStart w:id="19" w:name="_Hlk481001185"/>
      <w:r>
        <w:rPr>
          <w:noProof/>
          <w:lang w:val="en-US" w:eastAsia="en-US" w:bidi="ar-SA"/>
        </w:rPr>
        <w:drawing>
          <wp:inline distT="0" distB="0" distL="0" distR="0">
            <wp:extent cx="5760085" cy="39327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760085" cy="3932731"/>
                    </a:xfrm>
                    <a:prstGeom prst="rect">
                      <a:avLst/>
                    </a:prstGeom>
                  </pic:spPr>
                </pic:pic>
              </a:graphicData>
            </a:graphic>
          </wp:inline>
        </w:drawing>
      </w:r>
    </w:p>
    <w:p>
      <w:pPr>
        <w:jc w:val="both"/>
        <w:rPr>
          <w:rFonts w:ascii="Times New Roman" w:hAnsi="Times New Roman" w:cs="Times New Roman"/>
          <w:noProof/>
          <w:sz w:val="24"/>
          <w:szCs w:val="24"/>
        </w:rPr>
      </w:pPr>
      <w:r>
        <w:rPr>
          <w:rFonts w:ascii="Times New Roman" w:hAnsi="Times New Roman"/>
          <w:b/>
          <w:noProof/>
          <w:sz w:val="24"/>
        </w:rPr>
        <w:t>Обемът на изпратените нотификации се различава значително в отделните държави членки</w:t>
      </w:r>
      <w:r>
        <w:rPr>
          <w:rFonts w:ascii="Times New Roman" w:hAnsi="Times New Roman"/>
          <w:noProof/>
          <w:sz w:val="24"/>
        </w:rPr>
        <w:t xml:space="preserve">, от близо 100 000 годишно (DE) до липса на нотификации за нови присъди (EL). При анализа на тези разлики трябва да бъдат взети предвид главно два фактора: размерът на държавата и броят на присъдите на граждани на други държави членки (наричани по-нататък: „население от други държави — членки на ЕС“). </w:t>
      </w:r>
      <w:bookmarkStart w:id="20" w:name="_Hlk481014549"/>
      <w:r>
        <w:rPr>
          <w:rFonts w:ascii="Times New Roman" w:hAnsi="Times New Roman"/>
          <w:noProof/>
          <w:sz w:val="24"/>
        </w:rPr>
        <w:t>За подробен анализ на статистиката на отделните държави членки, моля вж. приложението, раздел 2.</w:t>
      </w:r>
      <w:bookmarkEnd w:id="20"/>
    </w:p>
    <w:p>
      <w:pPr>
        <w:jc w:val="both"/>
        <w:rPr>
          <w:rFonts w:ascii="Times New Roman" w:hAnsi="Times New Roman" w:cs="Times New Roman"/>
          <w:noProof/>
          <w:sz w:val="24"/>
          <w:szCs w:val="24"/>
        </w:rPr>
      </w:pPr>
      <w:bookmarkStart w:id="21" w:name="_Hlk480998606"/>
      <w:bookmarkStart w:id="22" w:name="_Hlk481162205"/>
      <w:r>
        <w:rPr>
          <w:rFonts w:ascii="Times New Roman" w:hAnsi="Times New Roman"/>
          <w:b/>
          <w:noProof/>
          <w:sz w:val="24"/>
        </w:rPr>
        <w:t>Най-активните</w:t>
      </w:r>
      <w:r>
        <w:rPr>
          <w:rFonts w:ascii="Times New Roman" w:hAnsi="Times New Roman"/>
          <w:noProof/>
          <w:sz w:val="24"/>
        </w:rPr>
        <w:t xml:space="preserve"> държави членки по отношение на изпращането на </w:t>
      </w:r>
      <w:r>
        <w:rPr>
          <w:rFonts w:ascii="Times New Roman" w:hAnsi="Times New Roman"/>
          <w:b/>
          <w:noProof/>
          <w:sz w:val="24"/>
        </w:rPr>
        <w:t>нотификации</w:t>
      </w:r>
      <w:r>
        <w:rPr>
          <w:rFonts w:ascii="Times New Roman" w:hAnsi="Times New Roman"/>
          <w:noProof/>
          <w:sz w:val="24"/>
        </w:rPr>
        <w:t xml:space="preserve"> за нови присъди бяха:</w:t>
      </w:r>
    </w:p>
    <w:p>
      <w:pPr>
        <w:jc w:val="both"/>
        <w:rPr>
          <w:rFonts w:ascii="Times New Roman" w:hAnsi="Times New Roman" w:cs="Times New Roman"/>
          <w:noProof/>
          <w:sz w:val="24"/>
          <w:szCs w:val="24"/>
        </w:rPr>
      </w:pPr>
      <w:r>
        <w:rPr>
          <w:rFonts w:ascii="Times New Roman" w:hAnsi="Times New Roman"/>
          <w:noProof/>
          <w:sz w:val="24"/>
        </w:rPr>
        <w:t xml:space="preserve">— през 2016 г.: </w:t>
      </w:r>
      <w:r>
        <w:rPr>
          <w:rFonts w:ascii="Times New Roman" w:hAnsi="Times New Roman"/>
          <w:b/>
          <w:noProof/>
          <w:sz w:val="24"/>
        </w:rPr>
        <w:t xml:space="preserve">DE </w:t>
      </w:r>
      <w:r>
        <w:rPr>
          <w:rFonts w:ascii="Times New Roman" w:hAnsi="Times New Roman"/>
          <w:noProof/>
          <w:sz w:val="24"/>
        </w:rPr>
        <w:t xml:space="preserve">(29,7 %), следвана от </w:t>
      </w:r>
      <w:r>
        <w:rPr>
          <w:rFonts w:ascii="Times New Roman" w:hAnsi="Times New Roman"/>
          <w:b/>
          <w:noProof/>
          <w:sz w:val="24"/>
        </w:rPr>
        <w:t xml:space="preserve">IT </w:t>
      </w:r>
      <w:r>
        <w:rPr>
          <w:rFonts w:ascii="Times New Roman" w:hAnsi="Times New Roman"/>
          <w:noProof/>
          <w:sz w:val="24"/>
        </w:rPr>
        <w:t>(19,0 %),</w:t>
      </w:r>
      <w:r>
        <w:rPr>
          <w:rFonts w:ascii="Times New Roman" w:hAnsi="Times New Roman"/>
          <w:b/>
          <w:noProof/>
          <w:sz w:val="24"/>
        </w:rPr>
        <w:t xml:space="preserve"> BE </w:t>
      </w:r>
      <w:r>
        <w:rPr>
          <w:rFonts w:ascii="Times New Roman" w:hAnsi="Times New Roman"/>
          <w:noProof/>
          <w:sz w:val="24"/>
        </w:rPr>
        <w:t>(13,6 %),</w:t>
      </w:r>
      <w:r>
        <w:rPr>
          <w:rFonts w:ascii="Times New Roman" w:hAnsi="Times New Roman"/>
          <w:b/>
          <w:noProof/>
          <w:sz w:val="24"/>
        </w:rPr>
        <w:t xml:space="preserve"> UK </w:t>
      </w:r>
      <w:r>
        <w:rPr>
          <w:rFonts w:ascii="Times New Roman" w:hAnsi="Times New Roman"/>
          <w:noProof/>
          <w:sz w:val="24"/>
        </w:rPr>
        <w:t>(9,9 %),</w:t>
      </w:r>
      <w:r>
        <w:rPr>
          <w:rFonts w:ascii="Times New Roman" w:hAnsi="Times New Roman"/>
          <w:b/>
          <w:noProof/>
          <w:sz w:val="24"/>
        </w:rPr>
        <w:t xml:space="preserve"> ES </w:t>
      </w:r>
      <w:r>
        <w:rPr>
          <w:rFonts w:ascii="Times New Roman" w:hAnsi="Times New Roman"/>
          <w:noProof/>
          <w:sz w:val="24"/>
        </w:rPr>
        <w:t>(9,0 %) и</w:t>
      </w:r>
      <w:r>
        <w:rPr>
          <w:rFonts w:ascii="Times New Roman" w:hAnsi="Times New Roman"/>
          <w:b/>
          <w:noProof/>
          <w:sz w:val="24"/>
        </w:rPr>
        <w:t xml:space="preserve"> FR </w:t>
      </w:r>
      <w:r>
        <w:rPr>
          <w:rFonts w:ascii="Times New Roman" w:hAnsi="Times New Roman"/>
          <w:noProof/>
          <w:sz w:val="24"/>
        </w:rPr>
        <w:t>(5,2 %)</w:t>
      </w:r>
    </w:p>
    <w:p>
      <w:pPr>
        <w:jc w:val="both"/>
        <w:rPr>
          <w:rFonts w:ascii="Times New Roman" w:hAnsi="Times New Roman" w:cs="Times New Roman"/>
          <w:b/>
          <w:noProof/>
          <w:sz w:val="24"/>
          <w:szCs w:val="24"/>
        </w:rPr>
      </w:pPr>
      <w:r>
        <w:rPr>
          <w:rFonts w:ascii="Times New Roman" w:hAnsi="Times New Roman"/>
          <w:noProof/>
          <w:sz w:val="24"/>
        </w:rPr>
        <w:t xml:space="preserve">— през 2015 г.: </w:t>
      </w:r>
      <w:r>
        <w:rPr>
          <w:rFonts w:ascii="Times New Roman" w:hAnsi="Times New Roman"/>
          <w:b/>
          <w:noProof/>
          <w:sz w:val="24"/>
        </w:rPr>
        <w:t xml:space="preserve">DE </w:t>
      </w:r>
      <w:r>
        <w:rPr>
          <w:rFonts w:ascii="Times New Roman" w:hAnsi="Times New Roman"/>
          <w:noProof/>
          <w:sz w:val="24"/>
        </w:rPr>
        <w:t xml:space="preserve">(28,7 %), следвана от </w:t>
      </w:r>
      <w:r>
        <w:rPr>
          <w:rFonts w:ascii="Times New Roman" w:hAnsi="Times New Roman"/>
          <w:b/>
          <w:noProof/>
          <w:sz w:val="24"/>
        </w:rPr>
        <w:t xml:space="preserve">IT </w:t>
      </w:r>
      <w:r>
        <w:rPr>
          <w:rFonts w:ascii="Times New Roman" w:hAnsi="Times New Roman"/>
          <w:noProof/>
          <w:sz w:val="24"/>
        </w:rPr>
        <w:t>(19,8 %),</w:t>
      </w:r>
      <w:r>
        <w:rPr>
          <w:rFonts w:ascii="Times New Roman" w:hAnsi="Times New Roman"/>
          <w:b/>
          <w:noProof/>
          <w:sz w:val="24"/>
        </w:rPr>
        <w:t xml:space="preserve"> BE </w:t>
      </w:r>
      <w:r>
        <w:rPr>
          <w:rFonts w:ascii="Times New Roman" w:hAnsi="Times New Roman"/>
          <w:noProof/>
          <w:sz w:val="24"/>
        </w:rPr>
        <w:t>(12,5 %),</w:t>
      </w:r>
      <w:r>
        <w:rPr>
          <w:rFonts w:ascii="Times New Roman" w:hAnsi="Times New Roman"/>
          <w:b/>
          <w:noProof/>
          <w:sz w:val="24"/>
        </w:rPr>
        <w:t xml:space="preserve"> UK </w:t>
      </w:r>
      <w:r>
        <w:rPr>
          <w:rFonts w:ascii="Times New Roman" w:hAnsi="Times New Roman"/>
          <w:noProof/>
          <w:sz w:val="24"/>
        </w:rPr>
        <w:t>(11,4 %),</w:t>
      </w:r>
      <w:r>
        <w:rPr>
          <w:rFonts w:ascii="Times New Roman" w:hAnsi="Times New Roman"/>
          <w:b/>
          <w:noProof/>
          <w:sz w:val="24"/>
        </w:rPr>
        <w:t xml:space="preserve"> FR </w:t>
      </w:r>
      <w:r>
        <w:rPr>
          <w:rFonts w:ascii="Times New Roman" w:hAnsi="Times New Roman"/>
          <w:noProof/>
          <w:sz w:val="24"/>
        </w:rPr>
        <w:t>(6,3 %) и</w:t>
      </w:r>
      <w:r>
        <w:rPr>
          <w:rFonts w:ascii="Times New Roman" w:hAnsi="Times New Roman"/>
          <w:b/>
          <w:noProof/>
          <w:sz w:val="24"/>
        </w:rPr>
        <w:t xml:space="preserve"> ES </w:t>
      </w:r>
      <w:r>
        <w:rPr>
          <w:rFonts w:ascii="Times New Roman" w:hAnsi="Times New Roman"/>
          <w:noProof/>
          <w:sz w:val="24"/>
        </w:rPr>
        <w:t>(5,9 %)</w:t>
      </w:r>
    </w:p>
    <w:p>
      <w:pPr>
        <w:jc w:val="both"/>
        <w:rPr>
          <w:rFonts w:ascii="Times New Roman" w:hAnsi="Times New Roman" w:cs="Times New Roman"/>
          <w:noProof/>
          <w:sz w:val="24"/>
          <w:szCs w:val="24"/>
        </w:rPr>
      </w:pPr>
      <w:r>
        <w:rPr>
          <w:rFonts w:ascii="Times New Roman" w:hAnsi="Times New Roman"/>
          <w:noProof/>
          <w:sz w:val="24"/>
        </w:rPr>
        <w:t xml:space="preserve">— през 2014 г.: </w:t>
      </w:r>
      <w:r>
        <w:rPr>
          <w:rFonts w:ascii="Times New Roman" w:hAnsi="Times New Roman"/>
          <w:b/>
          <w:noProof/>
          <w:sz w:val="24"/>
        </w:rPr>
        <w:t xml:space="preserve">DE </w:t>
      </w:r>
      <w:r>
        <w:rPr>
          <w:rFonts w:ascii="Times New Roman" w:hAnsi="Times New Roman"/>
          <w:noProof/>
          <w:sz w:val="24"/>
        </w:rPr>
        <w:t xml:space="preserve">(30,0 %), следвана от </w:t>
      </w:r>
      <w:r>
        <w:rPr>
          <w:rFonts w:ascii="Times New Roman" w:hAnsi="Times New Roman"/>
          <w:b/>
          <w:noProof/>
          <w:sz w:val="24"/>
        </w:rPr>
        <w:t xml:space="preserve">IT </w:t>
      </w:r>
      <w:r>
        <w:rPr>
          <w:rFonts w:ascii="Times New Roman" w:hAnsi="Times New Roman"/>
          <w:noProof/>
          <w:sz w:val="24"/>
        </w:rPr>
        <w:t>(20,8 %),</w:t>
      </w:r>
      <w:r>
        <w:rPr>
          <w:rFonts w:ascii="Times New Roman" w:hAnsi="Times New Roman"/>
          <w:b/>
          <w:noProof/>
          <w:sz w:val="24"/>
        </w:rPr>
        <w:t xml:space="preserve"> FR </w:t>
      </w:r>
      <w:r>
        <w:rPr>
          <w:rFonts w:ascii="Times New Roman" w:hAnsi="Times New Roman"/>
          <w:noProof/>
          <w:sz w:val="24"/>
        </w:rPr>
        <w:t>(11,2 %),</w:t>
      </w:r>
      <w:r>
        <w:rPr>
          <w:rFonts w:ascii="Times New Roman" w:hAnsi="Times New Roman"/>
          <w:b/>
          <w:noProof/>
          <w:sz w:val="24"/>
        </w:rPr>
        <w:t xml:space="preserve"> BE </w:t>
      </w:r>
      <w:r>
        <w:rPr>
          <w:rFonts w:ascii="Times New Roman" w:hAnsi="Times New Roman"/>
          <w:noProof/>
          <w:sz w:val="24"/>
        </w:rPr>
        <w:t>(8,4 %),</w:t>
      </w:r>
      <w:r>
        <w:rPr>
          <w:rFonts w:ascii="Times New Roman" w:hAnsi="Times New Roman"/>
          <w:b/>
          <w:noProof/>
          <w:sz w:val="24"/>
        </w:rPr>
        <w:t xml:space="preserve"> UK </w:t>
      </w:r>
      <w:r>
        <w:rPr>
          <w:rFonts w:ascii="Times New Roman" w:hAnsi="Times New Roman"/>
          <w:noProof/>
          <w:sz w:val="24"/>
        </w:rPr>
        <w:t>(7,9 %) и</w:t>
      </w:r>
      <w:r>
        <w:rPr>
          <w:rFonts w:ascii="Times New Roman" w:hAnsi="Times New Roman"/>
          <w:b/>
          <w:noProof/>
          <w:sz w:val="24"/>
        </w:rPr>
        <w:t xml:space="preserve"> ES </w:t>
      </w:r>
      <w:r>
        <w:rPr>
          <w:rFonts w:ascii="Times New Roman" w:hAnsi="Times New Roman"/>
          <w:noProof/>
          <w:sz w:val="24"/>
        </w:rPr>
        <w:t>(5,8 %)</w:t>
      </w:r>
    </w:p>
    <w:bookmarkEnd w:id="21"/>
    <w:p>
      <w:pPr>
        <w:jc w:val="both"/>
        <w:rPr>
          <w:rFonts w:ascii="Times New Roman" w:hAnsi="Times New Roman" w:cs="Times New Roman"/>
          <w:noProof/>
          <w:sz w:val="24"/>
          <w:szCs w:val="24"/>
        </w:rPr>
      </w:pPr>
      <w:r>
        <w:rPr>
          <w:rFonts w:ascii="Times New Roman" w:hAnsi="Times New Roman"/>
          <w:noProof/>
          <w:sz w:val="24"/>
        </w:rPr>
        <w:t xml:space="preserve">Като се вземат предвид всички изпратени нотификации, включително актуализациите, посочената по-горе класификация би изглеждала доста сходно, въпреки че </w:t>
      </w:r>
      <w:r>
        <w:rPr>
          <w:rFonts w:ascii="Times New Roman" w:hAnsi="Times New Roman"/>
          <w:b/>
          <w:noProof/>
          <w:sz w:val="24"/>
        </w:rPr>
        <w:t>Испания</w:t>
      </w:r>
      <w:r>
        <w:rPr>
          <w:rFonts w:ascii="Times New Roman" w:hAnsi="Times New Roman"/>
          <w:noProof/>
          <w:sz w:val="24"/>
        </w:rPr>
        <w:t xml:space="preserve"> се е придвижила до трета позиция през 2016 г., като през 2014 г. и 2015 г. е била на четвърта позиция. </w:t>
      </w:r>
    </w:p>
    <w:p>
      <w:pPr>
        <w:jc w:val="both"/>
        <w:rPr>
          <w:rFonts w:ascii="Times New Roman" w:hAnsi="Times New Roman" w:cs="Times New Roman"/>
          <w:noProof/>
          <w:sz w:val="24"/>
          <w:szCs w:val="24"/>
        </w:rPr>
      </w:pPr>
      <w:r>
        <w:rPr>
          <w:rFonts w:ascii="Times New Roman" w:hAnsi="Times New Roman"/>
          <w:b/>
          <w:noProof/>
          <w:sz w:val="24"/>
        </w:rPr>
        <w:t>Изпратените нотификации за нови присъди и нотификации за актуализации</w:t>
      </w:r>
      <w:r>
        <w:rPr>
          <w:rFonts w:ascii="Times New Roman" w:hAnsi="Times New Roman"/>
          <w:noProof/>
          <w:sz w:val="24"/>
        </w:rPr>
        <w:t xml:space="preserve"> през 2016 г. се равняват съответно средно на </w:t>
      </w:r>
      <w:r>
        <w:rPr>
          <w:rFonts w:ascii="Times New Roman" w:hAnsi="Times New Roman"/>
          <w:b/>
          <w:noProof/>
          <w:sz w:val="24"/>
        </w:rPr>
        <w:t>73,2 % спрямо 26,8 %</w:t>
      </w:r>
      <w:r>
        <w:rPr>
          <w:rFonts w:ascii="Times New Roman" w:hAnsi="Times New Roman"/>
          <w:noProof/>
          <w:sz w:val="24"/>
        </w:rPr>
        <w:t>. За 2014 г. и 2015 г. — вж. приложението, раздел 1.3.</w:t>
      </w:r>
      <w:r>
        <w:rPr>
          <w:rFonts w:ascii="Times New Roman" w:hAnsi="Times New Roman"/>
          <w:b/>
          <w:noProof/>
          <w:sz w:val="24"/>
        </w:rPr>
        <w:t xml:space="preserve"> Този дял се различава значително в отделните държави членки</w:t>
      </w:r>
      <w:r>
        <w:rPr>
          <w:rFonts w:ascii="Times New Roman" w:hAnsi="Times New Roman"/>
          <w:noProof/>
          <w:sz w:val="24"/>
        </w:rPr>
        <w:t>, като актуализациите са два пъти повече от нотификациите (напр. в AT, PL), въпреки че почти равното съотношение на тези две категории съобщения (напр. в ES, NL) спрямо актуализациите представлява малка част от всички нотификации (напр. в BE, UK). За Германия, която изпраща най-голям брой от всички нотификации, актуализациите се равняват на около 22 % от всички изпратени нотификации.</w:t>
      </w:r>
    </w:p>
    <w:p>
      <w:pPr>
        <w:jc w:val="both"/>
        <w:rPr>
          <w:rFonts w:ascii="Times New Roman" w:hAnsi="Times New Roman" w:cs="Times New Roman"/>
          <w:noProof/>
          <w:sz w:val="24"/>
          <w:szCs w:val="24"/>
        </w:rPr>
      </w:pPr>
      <w:r>
        <w:rPr>
          <w:rFonts w:ascii="Times New Roman" w:hAnsi="Times New Roman"/>
          <w:noProof/>
          <w:sz w:val="24"/>
        </w:rPr>
        <w:t xml:space="preserve">Въз основа на подробния анализ на статистическите данни бяха установени два проблема. </w:t>
      </w:r>
    </w:p>
    <w:p>
      <w:pPr>
        <w:jc w:val="both"/>
        <w:rPr>
          <w:rFonts w:ascii="Times New Roman" w:hAnsi="Times New Roman" w:cs="Times New Roman"/>
          <w:noProof/>
          <w:sz w:val="24"/>
          <w:szCs w:val="24"/>
        </w:rPr>
      </w:pPr>
      <w:r>
        <w:rPr>
          <w:rFonts w:ascii="Times New Roman" w:hAnsi="Times New Roman"/>
          <w:noProof/>
          <w:sz w:val="24"/>
        </w:rPr>
        <w:t>На първо място, някои държави членки</w:t>
      </w:r>
      <w:r>
        <w:rPr>
          <w:rFonts w:ascii="Times New Roman" w:hAnsi="Times New Roman"/>
          <w:b/>
          <w:noProof/>
          <w:sz w:val="24"/>
        </w:rPr>
        <w:t xml:space="preserve"> изобщо не изпращат нотификации за нови присъди</w:t>
      </w:r>
      <w:r>
        <w:rPr>
          <w:rFonts w:ascii="Times New Roman" w:hAnsi="Times New Roman"/>
          <w:noProof/>
          <w:sz w:val="24"/>
        </w:rPr>
        <w:t xml:space="preserve"> (EL) </w:t>
      </w:r>
      <w:r>
        <w:rPr>
          <w:rFonts w:ascii="Times New Roman" w:hAnsi="Times New Roman"/>
          <w:b/>
          <w:noProof/>
          <w:sz w:val="24"/>
        </w:rPr>
        <w:t>или изпращат много малък обем</w:t>
      </w:r>
      <w:r>
        <w:rPr>
          <w:rFonts w:ascii="Times New Roman" w:hAnsi="Times New Roman"/>
          <w:noProof/>
          <w:sz w:val="24"/>
        </w:rPr>
        <w:t xml:space="preserve"> такива нотификации във връзка с пребиваващото в тях население от други държави — членки на ЕС (BG, EE, HR, LT, LV, MT, RO през 2016 г; BG, EE, LV, HR, LT през 2015 г.; BG, EE, HR, LT, LV, RO, SK през 2014 г.). В резултат на това, тези присъди, за които не е постъпила нотификация, не са били регистрирани в държавата(ите) членка(и) по гражданство и осъдените лица биха могли да избегнат последствията от престъпното си минало.</w:t>
      </w:r>
    </w:p>
    <w:p>
      <w:pPr>
        <w:jc w:val="both"/>
        <w:rPr>
          <w:rFonts w:ascii="Times New Roman" w:hAnsi="Times New Roman" w:cs="Times New Roman"/>
          <w:noProof/>
          <w:sz w:val="24"/>
          <w:szCs w:val="24"/>
        </w:rPr>
      </w:pPr>
      <w:r>
        <w:rPr>
          <w:rFonts w:ascii="Times New Roman" w:hAnsi="Times New Roman"/>
          <w:noProof/>
          <w:sz w:val="24"/>
        </w:rPr>
        <w:t xml:space="preserve">На второ място, някои държави членки изобщо </w:t>
      </w:r>
      <w:r>
        <w:rPr>
          <w:rFonts w:ascii="Times New Roman" w:hAnsi="Times New Roman"/>
          <w:b/>
          <w:noProof/>
          <w:sz w:val="24"/>
        </w:rPr>
        <w:t>не изпращат</w:t>
      </w:r>
      <w:r>
        <w:rPr>
          <w:rFonts w:ascii="Times New Roman" w:hAnsi="Times New Roman"/>
          <w:noProof/>
          <w:sz w:val="24"/>
        </w:rPr>
        <w:t xml:space="preserve"> </w:t>
      </w:r>
      <w:r>
        <w:rPr>
          <w:rFonts w:ascii="Times New Roman" w:hAnsi="Times New Roman"/>
          <w:b/>
          <w:noProof/>
          <w:sz w:val="24"/>
        </w:rPr>
        <w:t>актуализации</w:t>
      </w:r>
      <w:r>
        <w:rPr>
          <w:rFonts w:ascii="Times New Roman" w:hAnsi="Times New Roman"/>
          <w:noProof/>
          <w:sz w:val="24"/>
        </w:rPr>
        <w:t xml:space="preserve"> на предишни изпратени от тях нотификации (BG, DK, EE, EL, LV, RO през 2016 г.; BG, DK, FI, EL през 2015 г.; DK, EE, FI, EL, HR, RO през 2014 г.) или </w:t>
      </w:r>
      <w:r>
        <w:rPr>
          <w:rFonts w:ascii="Times New Roman" w:hAnsi="Times New Roman"/>
          <w:b/>
          <w:noProof/>
          <w:sz w:val="24"/>
        </w:rPr>
        <w:t>изпращат малък обем</w:t>
      </w:r>
      <w:r>
        <w:rPr>
          <w:rFonts w:ascii="Times New Roman" w:hAnsi="Times New Roman"/>
          <w:noProof/>
          <w:sz w:val="24"/>
        </w:rPr>
        <w:t xml:space="preserve"> такива съобщения (HR, LT, LU през 2016 г.; EE, HR, LT, LU, LV, RO през 2015 г.; BG, HU, IE, LT, LU, LV, SK през 2014 г.). Липсата на изпратени актуализации от осъждащата държава членка води до обработка на неактуализирана, ненадеждна информация от държавата членка по гражданство, включително до нейното разпространение.</w:t>
      </w:r>
    </w:p>
    <w:bookmarkEnd w:id="19"/>
    <w:bookmarkEnd w:id="22"/>
    <w:p>
      <w:pPr>
        <w:jc w:val="both"/>
        <w:rPr>
          <w:rFonts w:ascii="Times New Roman" w:hAnsi="Times New Roman" w:cs="Times New Roman"/>
          <w:b/>
          <w:noProof/>
          <w:sz w:val="24"/>
          <w:szCs w:val="24"/>
        </w:rPr>
      </w:pPr>
      <w:r>
        <w:rPr>
          <w:rFonts w:ascii="Times New Roman" w:hAnsi="Times New Roman"/>
          <w:b/>
          <w:noProof/>
          <w:sz w:val="24"/>
        </w:rPr>
        <w:t>3.5. Искания за информация</w:t>
      </w:r>
    </w:p>
    <w:p>
      <w:pPr>
        <w:jc w:val="both"/>
        <w:rPr>
          <w:rFonts w:ascii="Times New Roman" w:hAnsi="Times New Roman" w:cs="Times New Roman"/>
          <w:noProof/>
          <w:sz w:val="24"/>
          <w:szCs w:val="24"/>
        </w:rPr>
      </w:pPr>
      <w:r>
        <w:rPr>
          <w:rFonts w:ascii="Times New Roman" w:hAnsi="Times New Roman"/>
          <w:noProof/>
          <w:sz w:val="24"/>
        </w:rPr>
        <w:t>На графиката по-долу се прави сравнение между обема на исканията за информация, изпратени от всички взаимосвързани държави членки през 2016 г., и обема на отговорите, получени за тези искания. За 2014 г. и 2015 г. — вж. приложението, раздел 1.4.</w:t>
      </w:r>
    </w:p>
    <w:p>
      <w:pPr>
        <w:jc w:val="both"/>
        <w:rPr>
          <w:rFonts w:ascii="Times New Roman" w:hAnsi="Times New Roman" w:cs="Times New Roman"/>
          <w:noProof/>
          <w:sz w:val="24"/>
          <w:szCs w:val="24"/>
        </w:rPr>
      </w:pPr>
      <w:r>
        <w:rPr>
          <w:noProof/>
          <w:lang w:val="en-US" w:eastAsia="en-US" w:bidi="ar-SA"/>
        </w:rPr>
        <w:drawing>
          <wp:inline distT="0" distB="0" distL="0" distR="0">
            <wp:extent cx="5760085" cy="3116423"/>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760085" cy="3116423"/>
                    </a:xfrm>
                    <a:prstGeom prst="rect">
                      <a:avLst/>
                    </a:prstGeom>
                  </pic:spPr>
                </pic:pic>
              </a:graphicData>
            </a:graphic>
          </wp:inline>
        </w:drawing>
      </w:r>
    </w:p>
    <w:p>
      <w:pPr>
        <w:jc w:val="both"/>
        <w:rPr>
          <w:rFonts w:ascii="Times New Roman" w:hAnsi="Times New Roman" w:cs="Times New Roman"/>
          <w:noProof/>
          <w:sz w:val="24"/>
          <w:szCs w:val="24"/>
        </w:rPr>
      </w:pPr>
      <w:bookmarkStart w:id="23" w:name="_Hlk481003611"/>
      <w:r>
        <w:rPr>
          <w:rFonts w:ascii="Times New Roman" w:hAnsi="Times New Roman"/>
          <w:b/>
          <w:noProof/>
          <w:sz w:val="24"/>
        </w:rPr>
        <w:t>Обемът на издадените искания за информация се различава значително в отделните държави членки</w:t>
      </w:r>
      <w:r>
        <w:rPr>
          <w:rFonts w:ascii="Times New Roman" w:hAnsi="Times New Roman"/>
          <w:noProof/>
          <w:sz w:val="24"/>
        </w:rPr>
        <w:t>, от 140 000 годишно (DE) до липсата на искания (EL). Основният фактор, който трябва да бъде отчетен при анализа на тези разлики, е броят на гражданите на други държави членки, пребиваващи в дадена държава членка.</w:t>
      </w:r>
    </w:p>
    <w:p>
      <w:pPr>
        <w:jc w:val="both"/>
        <w:rPr>
          <w:rFonts w:ascii="Times New Roman" w:hAnsi="Times New Roman" w:cs="Times New Roman"/>
          <w:noProof/>
          <w:sz w:val="24"/>
          <w:szCs w:val="24"/>
        </w:rPr>
      </w:pPr>
      <w:r>
        <w:rPr>
          <w:rFonts w:ascii="Times New Roman" w:hAnsi="Times New Roman"/>
          <w:b/>
          <w:noProof/>
          <w:sz w:val="24"/>
        </w:rPr>
        <w:t>Най-активните</w:t>
      </w:r>
      <w:r>
        <w:rPr>
          <w:rFonts w:ascii="Times New Roman" w:hAnsi="Times New Roman"/>
          <w:noProof/>
          <w:sz w:val="24"/>
        </w:rPr>
        <w:t xml:space="preserve"> държави членки по отношение на </w:t>
      </w:r>
      <w:r>
        <w:rPr>
          <w:rFonts w:ascii="Times New Roman" w:hAnsi="Times New Roman"/>
          <w:b/>
          <w:noProof/>
          <w:sz w:val="24"/>
        </w:rPr>
        <w:t>издадените искания</w:t>
      </w:r>
      <w:r>
        <w:rPr>
          <w:rFonts w:ascii="Times New Roman" w:hAnsi="Times New Roman"/>
          <w:noProof/>
          <w:sz w:val="24"/>
        </w:rPr>
        <w:t xml:space="preserve"> бяха:</w:t>
      </w:r>
    </w:p>
    <w:p>
      <w:pPr>
        <w:jc w:val="both"/>
        <w:rPr>
          <w:rFonts w:ascii="Times New Roman" w:hAnsi="Times New Roman" w:cs="Times New Roman"/>
          <w:noProof/>
          <w:sz w:val="24"/>
          <w:szCs w:val="24"/>
        </w:rPr>
      </w:pPr>
      <w:bookmarkStart w:id="24" w:name="_Hlk481001976"/>
      <w:r>
        <w:rPr>
          <w:rFonts w:ascii="Times New Roman" w:hAnsi="Times New Roman"/>
          <w:noProof/>
          <w:sz w:val="24"/>
        </w:rPr>
        <w:t xml:space="preserve">— през 2016 г.: </w:t>
      </w:r>
      <w:r>
        <w:rPr>
          <w:rFonts w:ascii="Times New Roman" w:hAnsi="Times New Roman"/>
          <w:b/>
          <w:noProof/>
          <w:sz w:val="24"/>
        </w:rPr>
        <w:t xml:space="preserve">DE </w:t>
      </w:r>
      <w:r>
        <w:rPr>
          <w:rFonts w:ascii="Times New Roman" w:hAnsi="Times New Roman"/>
          <w:noProof/>
          <w:sz w:val="24"/>
        </w:rPr>
        <w:t xml:space="preserve">(38,6 %), следвана от </w:t>
      </w:r>
      <w:r>
        <w:rPr>
          <w:rFonts w:ascii="Times New Roman" w:hAnsi="Times New Roman"/>
          <w:b/>
          <w:noProof/>
          <w:sz w:val="24"/>
        </w:rPr>
        <w:t xml:space="preserve">UK </w:t>
      </w:r>
      <w:r>
        <w:rPr>
          <w:rFonts w:ascii="Times New Roman" w:hAnsi="Times New Roman"/>
          <w:noProof/>
          <w:sz w:val="24"/>
        </w:rPr>
        <w:t>(26,7 %),</w:t>
      </w:r>
      <w:r>
        <w:rPr>
          <w:rFonts w:ascii="Times New Roman" w:hAnsi="Times New Roman"/>
          <w:b/>
          <w:noProof/>
          <w:sz w:val="24"/>
        </w:rPr>
        <w:t xml:space="preserve"> CZ </w:t>
      </w:r>
      <w:r>
        <w:rPr>
          <w:rFonts w:ascii="Times New Roman" w:hAnsi="Times New Roman"/>
          <w:noProof/>
          <w:sz w:val="24"/>
        </w:rPr>
        <w:t>(10,1 %),</w:t>
      </w:r>
      <w:r>
        <w:rPr>
          <w:rFonts w:ascii="Times New Roman" w:hAnsi="Times New Roman"/>
          <w:b/>
          <w:noProof/>
          <w:sz w:val="24"/>
        </w:rPr>
        <w:t xml:space="preserve"> AT </w:t>
      </w:r>
      <w:r>
        <w:rPr>
          <w:rFonts w:ascii="Times New Roman" w:hAnsi="Times New Roman"/>
          <w:noProof/>
          <w:sz w:val="24"/>
        </w:rPr>
        <w:t>(6,9 %),</w:t>
      </w:r>
      <w:r>
        <w:rPr>
          <w:rFonts w:ascii="Times New Roman" w:hAnsi="Times New Roman"/>
          <w:b/>
          <w:noProof/>
          <w:sz w:val="24"/>
        </w:rPr>
        <w:t xml:space="preserve"> ES </w:t>
      </w:r>
      <w:r>
        <w:rPr>
          <w:rFonts w:ascii="Times New Roman" w:hAnsi="Times New Roman"/>
          <w:noProof/>
          <w:sz w:val="24"/>
        </w:rPr>
        <w:t>(3,7 %) и</w:t>
      </w:r>
      <w:r>
        <w:rPr>
          <w:rFonts w:ascii="Times New Roman" w:hAnsi="Times New Roman"/>
          <w:b/>
          <w:noProof/>
          <w:sz w:val="24"/>
        </w:rPr>
        <w:t xml:space="preserve"> FR </w:t>
      </w:r>
      <w:r>
        <w:rPr>
          <w:rFonts w:ascii="Times New Roman" w:hAnsi="Times New Roman"/>
          <w:noProof/>
          <w:sz w:val="24"/>
        </w:rPr>
        <w:t>(3,5 %)</w:t>
      </w:r>
    </w:p>
    <w:p>
      <w:pPr>
        <w:jc w:val="both"/>
        <w:rPr>
          <w:rFonts w:ascii="Times New Roman" w:hAnsi="Times New Roman" w:cs="Times New Roman"/>
          <w:noProof/>
          <w:sz w:val="24"/>
          <w:szCs w:val="24"/>
        </w:rPr>
      </w:pPr>
      <w:r>
        <w:rPr>
          <w:rFonts w:ascii="Times New Roman" w:hAnsi="Times New Roman"/>
          <w:noProof/>
          <w:sz w:val="24"/>
        </w:rPr>
        <w:t xml:space="preserve">— през 2015 г.: </w:t>
      </w:r>
      <w:r>
        <w:rPr>
          <w:rFonts w:ascii="Times New Roman" w:hAnsi="Times New Roman"/>
          <w:b/>
          <w:noProof/>
          <w:sz w:val="24"/>
        </w:rPr>
        <w:t xml:space="preserve">DE </w:t>
      </w:r>
      <w:r>
        <w:rPr>
          <w:rFonts w:ascii="Times New Roman" w:hAnsi="Times New Roman"/>
          <w:noProof/>
          <w:sz w:val="24"/>
        </w:rPr>
        <w:t xml:space="preserve">(40,0 %), следвана от </w:t>
      </w:r>
      <w:r>
        <w:rPr>
          <w:rFonts w:ascii="Times New Roman" w:hAnsi="Times New Roman"/>
          <w:b/>
          <w:noProof/>
          <w:sz w:val="24"/>
        </w:rPr>
        <w:t xml:space="preserve">UK </w:t>
      </w:r>
      <w:r>
        <w:rPr>
          <w:rFonts w:ascii="Times New Roman" w:hAnsi="Times New Roman"/>
          <w:noProof/>
          <w:sz w:val="24"/>
        </w:rPr>
        <w:t>(29,4 %),</w:t>
      </w:r>
      <w:r>
        <w:rPr>
          <w:rFonts w:ascii="Times New Roman" w:hAnsi="Times New Roman"/>
          <w:b/>
          <w:noProof/>
          <w:sz w:val="24"/>
        </w:rPr>
        <w:t xml:space="preserve"> AT </w:t>
      </w:r>
      <w:r>
        <w:rPr>
          <w:rFonts w:ascii="Times New Roman" w:hAnsi="Times New Roman"/>
          <w:noProof/>
          <w:sz w:val="24"/>
        </w:rPr>
        <w:t>(8,2 %),</w:t>
      </w:r>
      <w:r>
        <w:rPr>
          <w:rFonts w:ascii="Times New Roman" w:hAnsi="Times New Roman"/>
          <w:b/>
          <w:noProof/>
          <w:sz w:val="24"/>
        </w:rPr>
        <w:t xml:space="preserve"> FR </w:t>
      </w:r>
      <w:r>
        <w:rPr>
          <w:rFonts w:ascii="Times New Roman" w:hAnsi="Times New Roman"/>
          <w:noProof/>
          <w:sz w:val="24"/>
        </w:rPr>
        <w:t>(4,5 %),</w:t>
      </w:r>
      <w:r>
        <w:rPr>
          <w:rFonts w:ascii="Times New Roman" w:hAnsi="Times New Roman"/>
          <w:b/>
          <w:noProof/>
          <w:sz w:val="24"/>
        </w:rPr>
        <w:t xml:space="preserve"> ES </w:t>
      </w:r>
      <w:r>
        <w:rPr>
          <w:rFonts w:ascii="Times New Roman" w:hAnsi="Times New Roman"/>
          <w:noProof/>
          <w:sz w:val="24"/>
        </w:rPr>
        <w:t>(4,0 %) и</w:t>
      </w:r>
      <w:r>
        <w:rPr>
          <w:rFonts w:ascii="Times New Roman" w:hAnsi="Times New Roman"/>
          <w:b/>
          <w:noProof/>
          <w:sz w:val="24"/>
        </w:rPr>
        <w:t xml:space="preserve"> CZ </w:t>
      </w:r>
      <w:r>
        <w:rPr>
          <w:rFonts w:ascii="Times New Roman" w:hAnsi="Times New Roman"/>
          <w:noProof/>
          <w:sz w:val="24"/>
        </w:rPr>
        <w:t>(3,3 %)</w:t>
      </w:r>
    </w:p>
    <w:p>
      <w:pPr>
        <w:jc w:val="both"/>
        <w:rPr>
          <w:rFonts w:ascii="Times New Roman" w:hAnsi="Times New Roman" w:cs="Times New Roman"/>
          <w:noProof/>
          <w:sz w:val="24"/>
          <w:szCs w:val="24"/>
        </w:rPr>
      </w:pPr>
      <w:r>
        <w:rPr>
          <w:rFonts w:ascii="Times New Roman" w:hAnsi="Times New Roman"/>
          <w:noProof/>
          <w:sz w:val="24"/>
        </w:rPr>
        <w:t xml:space="preserve">— през 2014 г.: </w:t>
      </w:r>
      <w:r>
        <w:rPr>
          <w:rFonts w:ascii="Times New Roman" w:hAnsi="Times New Roman"/>
          <w:b/>
          <w:noProof/>
          <w:sz w:val="24"/>
        </w:rPr>
        <w:t xml:space="preserve">DE </w:t>
      </w:r>
      <w:r>
        <w:rPr>
          <w:rFonts w:ascii="Times New Roman" w:hAnsi="Times New Roman"/>
          <w:noProof/>
          <w:sz w:val="24"/>
        </w:rPr>
        <w:t xml:space="preserve">(45,3 %), следвана от </w:t>
      </w:r>
      <w:r>
        <w:rPr>
          <w:rFonts w:ascii="Times New Roman" w:hAnsi="Times New Roman"/>
          <w:b/>
          <w:noProof/>
          <w:sz w:val="24"/>
        </w:rPr>
        <w:t xml:space="preserve">UK </w:t>
      </w:r>
      <w:r>
        <w:rPr>
          <w:rFonts w:ascii="Times New Roman" w:hAnsi="Times New Roman"/>
          <w:noProof/>
          <w:sz w:val="24"/>
        </w:rPr>
        <w:t>(18,7 %),</w:t>
      </w:r>
      <w:r>
        <w:rPr>
          <w:rFonts w:ascii="Times New Roman" w:hAnsi="Times New Roman"/>
          <w:b/>
          <w:noProof/>
          <w:sz w:val="24"/>
        </w:rPr>
        <w:t xml:space="preserve"> AT </w:t>
      </w:r>
      <w:r>
        <w:rPr>
          <w:rFonts w:ascii="Times New Roman" w:hAnsi="Times New Roman"/>
          <w:noProof/>
          <w:sz w:val="24"/>
        </w:rPr>
        <w:t>(13,7 %),</w:t>
      </w:r>
      <w:r>
        <w:rPr>
          <w:rFonts w:ascii="Times New Roman" w:hAnsi="Times New Roman"/>
          <w:b/>
          <w:noProof/>
          <w:sz w:val="24"/>
        </w:rPr>
        <w:t xml:space="preserve"> FR </w:t>
      </w:r>
      <w:r>
        <w:rPr>
          <w:rFonts w:ascii="Times New Roman" w:hAnsi="Times New Roman"/>
          <w:noProof/>
          <w:sz w:val="24"/>
        </w:rPr>
        <w:t>(7,6 %),</w:t>
      </w:r>
      <w:r>
        <w:rPr>
          <w:rFonts w:ascii="Times New Roman" w:hAnsi="Times New Roman"/>
          <w:b/>
          <w:noProof/>
          <w:sz w:val="24"/>
        </w:rPr>
        <w:t>CZ </w:t>
      </w:r>
      <w:r>
        <w:rPr>
          <w:rFonts w:ascii="Times New Roman" w:hAnsi="Times New Roman"/>
          <w:noProof/>
          <w:sz w:val="24"/>
        </w:rPr>
        <w:t>(4,1 %) и</w:t>
      </w:r>
      <w:r>
        <w:rPr>
          <w:rFonts w:ascii="Times New Roman" w:hAnsi="Times New Roman"/>
          <w:b/>
          <w:noProof/>
          <w:sz w:val="24"/>
        </w:rPr>
        <w:t xml:space="preserve"> NL </w:t>
      </w:r>
      <w:r>
        <w:rPr>
          <w:rFonts w:ascii="Times New Roman" w:hAnsi="Times New Roman"/>
          <w:noProof/>
          <w:sz w:val="24"/>
        </w:rPr>
        <w:t>(2,8 %)</w:t>
      </w:r>
    </w:p>
    <w:bookmarkEnd w:id="24"/>
    <w:p>
      <w:pPr>
        <w:jc w:val="both"/>
        <w:rPr>
          <w:rFonts w:ascii="Times New Roman" w:hAnsi="Times New Roman" w:cs="Times New Roman"/>
          <w:noProof/>
          <w:spacing w:val="-4"/>
          <w:sz w:val="24"/>
          <w:szCs w:val="24"/>
        </w:rPr>
      </w:pPr>
      <w:r>
        <w:rPr>
          <w:rFonts w:ascii="Times New Roman" w:hAnsi="Times New Roman"/>
          <w:noProof/>
          <w:spacing w:val="-4"/>
          <w:sz w:val="24"/>
        </w:rPr>
        <w:t xml:space="preserve">Някои държави членки </w:t>
      </w:r>
      <w:r>
        <w:rPr>
          <w:rFonts w:ascii="Times New Roman" w:hAnsi="Times New Roman"/>
          <w:b/>
          <w:noProof/>
          <w:spacing w:val="-4"/>
          <w:sz w:val="24"/>
        </w:rPr>
        <w:t>изобщо не изпращат искания</w:t>
      </w:r>
      <w:r>
        <w:rPr>
          <w:rFonts w:ascii="Times New Roman" w:hAnsi="Times New Roman"/>
          <w:noProof/>
          <w:spacing w:val="-4"/>
          <w:sz w:val="24"/>
        </w:rPr>
        <w:t xml:space="preserve"> (EL) или </w:t>
      </w:r>
      <w:r>
        <w:rPr>
          <w:rFonts w:ascii="Times New Roman" w:hAnsi="Times New Roman"/>
          <w:b/>
          <w:noProof/>
          <w:spacing w:val="-4"/>
          <w:sz w:val="24"/>
        </w:rPr>
        <w:t>изпращат малък брой</w:t>
      </w:r>
      <w:r>
        <w:rPr>
          <w:rFonts w:ascii="Times New Roman" w:hAnsi="Times New Roman"/>
          <w:noProof/>
          <w:spacing w:val="-4"/>
          <w:sz w:val="24"/>
        </w:rPr>
        <w:t xml:space="preserve"> искания във връзка с пребиваващото в тях население от други държави — членки на ЕС (BG, CY, HU, IT, MT, EE, HR, LV, RO, SK през 2016 г; BG, HU, IT, EE, HR, LV, RO, CY, SK през 2015 г.; BG, EE, HR, HU, IT, LV, CY, SK през 2014 г.). Това води до ситуацията, в която наказателните съдилища може да постановят съдебни решения, без да знаят за постановени присъди в други държави членки, което противоречи на изискванията, определени в Рамково решение 2008/675/ПВР за вземане предвид на предишни присъди в хода на новообразувани наказателни производства. Освен това ще бъде намален и превантивният ефект от искането на удостоверения от регистрите за съдимост за други цели, различни от наказателното производство, като например наемане на работа.</w:t>
      </w:r>
    </w:p>
    <w:p>
      <w:pPr>
        <w:jc w:val="both"/>
        <w:rPr>
          <w:rFonts w:ascii="Times New Roman" w:hAnsi="Times New Roman" w:cs="Times New Roman"/>
          <w:noProof/>
          <w:sz w:val="24"/>
          <w:szCs w:val="24"/>
        </w:rPr>
      </w:pPr>
      <w:r>
        <w:rPr>
          <w:rFonts w:ascii="Times New Roman" w:hAnsi="Times New Roman"/>
          <w:noProof/>
          <w:sz w:val="24"/>
        </w:rPr>
        <w:t xml:space="preserve">От посочените по-горе данни може да се направи заключение, че </w:t>
      </w:r>
      <w:r>
        <w:rPr>
          <w:rFonts w:ascii="Times New Roman" w:hAnsi="Times New Roman"/>
          <w:b/>
          <w:noProof/>
          <w:sz w:val="24"/>
        </w:rPr>
        <w:t>не всички искания за информация са получили отговор</w:t>
      </w:r>
      <w:r>
        <w:rPr>
          <w:rFonts w:ascii="Times New Roman" w:hAnsi="Times New Roman"/>
          <w:noProof/>
          <w:sz w:val="24"/>
        </w:rPr>
        <w:t xml:space="preserve">. В повечето случаи броят на получените отговори е малко по-малък от броя на изпратените искания, различавайки се средно с </w:t>
      </w:r>
      <w:r>
        <w:rPr>
          <w:rFonts w:ascii="Times New Roman" w:hAnsi="Times New Roman"/>
          <w:b/>
          <w:noProof/>
          <w:sz w:val="24"/>
        </w:rPr>
        <w:t>около 3,9 % през 2016 г.</w:t>
      </w:r>
      <w:r>
        <w:rPr>
          <w:rFonts w:ascii="Times New Roman" w:hAnsi="Times New Roman"/>
          <w:noProof/>
          <w:sz w:val="24"/>
        </w:rPr>
        <w:t xml:space="preserve"> Когато става въпрос за държавите членки, които са най-активни в изпращането на искания, през 2016 г. 7 % от исканията в DE (9577), 4 % от исканията в AT (869) и 2 % от исканията в UK (1709) са останали изобщо без отговор.</w:t>
      </w:r>
    </w:p>
    <w:bookmarkEnd w:id="23"/>
    <w:p>
      <w:pPr>
        <w:jc w:val="both"/>
        <w:rPr>
          <w:rFonts w:ascii="Times New Roman" w:hAnsi="Times New Roman" w:cs="Times New Roman"/>
          <w:b/>
          <w:noProof/>
          <w:sz w:val="24"/>
          <w:szCs w:val="24"/>
        </w:rPr>
      </w:pPr>
      <w:r>
        <w:rPr>
          <w:rFonts w:ascii="Times New Roman" w:hAnsi="Times New Roman"/>
          <w:b/>
          <w:noProof/>
          <w:sz w:val="24"/>
        </w:rPr>
        <w:t>3.6. Отговори на искания</w:t>
      </w:r>
    </w:p>
    <w:p>
      <w:pPr>
        <w:jc w:val="both"/>
        <w:rPr>
          <w:rFonts w:ascii="Times New Roman" w:hAnsi="Times New Roman" w:cs="Times New Roman"/>
          <w:noProof/>
          <w:spacing w:val="-4"/>
          <w:sz w:val="24"/>
          <w:szCs w:val="24"/>
        </w:rPr>
      </w:pPr>
      <w:r>
        <w:rPr>
          <w:rFonts w:ascii="Times New Roman" w:hAnsi="Times New Roman"/>
          <w:noProof/>
          <w:spacing w:val="-4"/>
          <w:sz w:val="24"/>
        </w:rPr>
        <w:t>На графиката по-долу е показан обемът на отговорите, изпратени от всички взаимосвързани държави членки през 2016 г., в сравнение с обема на съответните искания за информация, получени от тях. За 2014 г. и 2015 г. — вж. приложението, раздел 1.5.</w:t>
      </w:r>
    </w:p>
    <w:p>
      <w:pPr>
        <w:rPr>
          <w:rFonts w:ascii="Times New Roman" w:hAnsi="Times New Roman" w:cs="Times New Roman"/>
          <w:noProof/>
          <w:sz w:val="24"/>
          <w:szCs w:val="24"/>
        </w:rPr>
      </w:pPr>
      <w:r>
        <w:rPr>
          <w:noProof/>
          <w:lang w:val="en-US" w:eastAsia="en-US" w:bidi="ar-SA"/>
        </w:rPr>
        <w:drawing>
          <wp:inline distT="0" distB="0" distL="0" distR="0">
            <wp:extent cx="5760085" cy="3347904"/>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760085" cy="3347904"/>
                    </a:xfrm>
                    <a:prstGeom prst="rect">
                      <a:avLst/>
                    </a:prstGeom>
                  </pic:spPr>
                </pic:pic>
              </a:graphicData>
            </a:graphic>
          </wp:inline>
        </w:drawing>
      </w:r>
    </w:p>
    <w:p>
      <w:pPr>
        <w:jc w:val="both"/>
        <w:rPr>
          <w:rFonts w:ascii="Times New Roman" w:hAnsi="Times New Roman" w:cs="Times New Roman"/>
          <w:noProof/>
          <w:sz w:val="24"/>
          <w:szCs w:val="24"/>
        </w:rPr>
      </w:pPr>
      <w:bookmarkStart w:id="25" w:name="_Hlk481164813"/>
      <w:r>
        <w:rPr>
          <w:rFonts w:ascii="Times New Roman" w:hAnsi="Times New Roman"/>
          <w:b/>
          <w:noProof/>
          <w:sz w:val="24"/>
        </w:rPr>
        <w:t>Обемът на получените искания и на съответните на тях изпратени отговори</w:t>
      </w:r>
      <w:r>
        <w:rPr>
          <w:rFonts w:ascii="Times New Roman" w:hAnsi="Times New Roman"/>
          <w:noProof/>
          <w:sz w:val="24"/>
        </w:rPr>
        <w:t xml:space="preserve">, </w:t>
      </w:r>
      <w:r>
        <w:rPr>
          <w:rFonts w:ascii="Times New Roman" w:hAnsi="Times New Roman"/>
          <w:b/>
          <w:noProof/>
          <w:sz w:val="24"/>
        </w:rPr>
        <w:t>се различава значително в отделните държави членки</w:t>
      </w:r>
      <w:r>
        <w:rPr>
          <w:rFonts w:ascii="Times New Roman" w:hAnsi="Times New Roman"/>
          <w:noProof/>
          <w:sz w:val="24"/>
        </w:rPr>
        <w:t>, от 62 000 (PL) до 63 искания (MT) годишно. При анализа на тези разлики трябва да бъдат взети предвид главно два фактора: общото население на държава членка и броят на нейните граждани, пребиваващи в други държави членки. За подробен анализ на статистиката на отделните държави членки, моля. вж. приложението, раздел 2.</w:t>
      </w:r>
    </w:p>
    <w:p>
      <w:pPr>
        <w:jc w:val="both"/>
        <w:rPr>
          <w:rFonts w:ascii="Times New Roman" w:hAnsi="Times New Roman" w:cs="Times New Roman"/>
          <w:noProof/>
          <w:sz w:val="24"/>
          <w:szCs w:val="24"/>
        </w:rPr>
      </w:pPr>
      <w:r>
        <w:rPr>
          <w:rFonts w:ascii="Times New Roman" w:hAnsi="Times New Roman"/>
          <w:noProof/>
          <w:sz w:val="24"/>
        </w:rPr>
        <w:t xml:space="preserve">Държавите членки, които получиха най-голям брой искания за информация и които впоследствие </w:t>
      </w:r>
      <w:r>
        <w:rPr>
          <w:rFonts w:ascii="Times New Roman" w:hAnsi="Times New Roman"/>
          <w:b/>
          <w:noProof/>
          <w:sz w:val="24"/>
        </w:rPr>
        <w:t>отговориха на най-голям брой искания</w:t>
      </w:r>
      <w:r>
        <w:rPr>
          <w:rFonts w:ascii="Times New Roman" w:hAnsi="Times New Roman"/>
          <w:noProof/>
          <w:sz w:val="24"/>
        </w:rPr>
        <w:t xml:space="preserve"> в абсолютни стойности (не задължително най-големият като съотношение спрямо получените от тях), бяха:</w:t>
      </w:r>
    </w:p>
    <w:p>
      <w:pPr>
        <w:jc w:val="both"/>
        <w:rPr>
          <w:rFonts w:ascii="Times New Roman" w:hAnsi="Times New Roman" w:cs="Times New Roman"/>
          <w:b/>
          <w:noProof/>
          <w:sz w:val="24"/>
          <w:szCs w:val="24"/>
        </w:rPr>
      </w:pPr>
      <w:r>
        <w:rPr>
          <w:rFonts w:ascii="Times New Roman" w:hAnsi="Times New Roman"/>
          <w:noProof/>
          <w:sz w:val="24"/>
        </w:rPr>
        <w:t xml:space="preserve">— през 2016 г.: </w:t>
      </w:r>
      <w:r>
        <w:rPr>
          <w:rFonts w:ascii="Times New Roman" w:hAnsi="Times New Roman"/>
          <w:b/>
          <w:noProof/>
          <w:sz w:val="24"/>
        </w:rPr>
        <w:t xml:space="preserve">PL </w:t>
      </w:r>
      <w:r>
        <w:rPr>
          <w:rFonts w:ascii="Times New Roman" w:hAnsi="Times New Roman"/>
          <w:noProof/>
          <w:sz w:val="24"/>
        </w:rPr>
        <w:t xml:space="preserve">(17,4 % от всички отговори), следвана от </w:t>
      </w:r>
      <w:r>
        <w:rPr>
          <w:rFonts w:ascii="Times New Roman" w:hAnsi="Times New Roman"/>
          <w:b/>
          <w:noProof/>
          <w:sz w:val="24"/>
        </w:rPr>
        <w:t xml:space="preserve">RO </w:t>
      </w:r>
      <w:r>
        <w:rPr>
          <w:rFonts w:ascii="Times New Roman" w:hAnsi="Times New Roman"/>
          <w:noProof/>
          <w:sz w:val="24"/>
        </w:rPr>
        <w:t>(16,2 %),</w:t>
      </w:r>
      <w:r>
        <w:rPr>
          <w:rFonts w:ascii="Times New Roman" w:hAnsi="Times New Roman"/>
          <w:b/>
          <w:noProof/>
          <w:sz w:val="24"/>
        </w:rPr>
        <w:t xml:space="preserve"> SK </w:t>
      </w:r>
      <w:r>
        <w:rPr>
          <w:rFonts w:ascii="Times New Roman" w:hAnsi="Times New Roman"/>
          <w:noProof/>
          <w:sz w:val="24"/>
        </w:rPr>
        <w:t>(9,1 %),</w:t>
      </w:r>
      <w:r>
        <w:rPr>
          <w:rFonts w:ascii="Times New Roman" w:hAnsi="Times New Roman"/>
          <w:b/>
          <w:noProof/>
          <w:sz w:val="24"/>
        </w:rPr>
        <w:t xml:space="preserve"> DE </w:t>
      </w:r>
      <w:r>
        <w:rPr>
          <w:rFonts w:ascii="Times New Roman" w:hAnsi="Times New Roman"/>
          <w:noProof/>
          <w:sz w:val="24"/>
        </w:rPr>
        <w:t>(6,2 %),</w:t>
      </w:r>
      <w:r>
        <w:rPr>
          <w:rFonts w:ascii="Times New Roman" w:hAnsi="Times New Roman"/>
          <w:b/>
          <w:noProof/>
          <w:sz w:val="24"/>
        </w:rPr>
        <w:t xml:space="preserve"> IT </w:t>
      </w:r>
      <w:r>
        <w:rPr>
          <w:rFonts w:ascii="Times New Roman" w:hAnsi="Times New Roman"/>
          <w:noProof/>
          <w:sz w:val="24"/>
        </w:rPr>
        <w:t>(5,1 %) и</w:t>
      </w:r>
      <w:r>
        <w:rPr>
          <w:rFonts w:ascii="Times New Roman" w:hAnsi="Times New Roman"/>
          <w:b/>
          <w:noProof/>
          <w:sz w:val="24"/>
        </w:rPr>
        <w:t xml:space="preserve"> FR </w:t>
      </w:r>
      <w:r>
        <w:rPr>
          <w:rFonts w:ascii="Times New Roman" w:hAnsi="Times New Roman"/>
          <w:noProof/>
          <w:sz w:val="24"/>
        </w:rPr>
        <w:t>(4,6 %)</w:t>
      </w:r>
    </w:p>
    <w:p>
      <w:pPr>
        <w:jc w:val="both"/>
        <w:rPr>
          <w:rFonts w:ascii="Times New Roman" w:hAnsi="Times New Roman" w:cs="Times New Roman"/>
          <w:b/>
          <w:noProof/>
          <w:sz w:val="24"/>
          <w:szCs w:val="24"/>
        </w:rPr>
      </w:pPr>
      <w:r>
        <w:rPr>
          <w:rFonts w:ascii="Times New Roman" w:hAnsi="Times New Roman"/>
          <w:noProof/>
          <w:sz w:val="24"/>
        </w:rPr>
        <w:t xml:space="preserve">— през 2015 г.: </w:t>
      </w:r>
      <w:r>
        <w:rPr>
          <w:rFonts w:ascii="Times New Roman" w:hAnsi="Times New Roman"/>
          <w:b/>
          <w:noProof/>
          <w:sz w:val="24"/>
        </w:rPr>
        <w:t xml:space="preserve">PL </w:t>
      </w:r>
      <w:r>
        <w:rPr>
          <w:rFonts w:ascii="Times New Roman" w:hAnsi="Times New Roman"/>
          <w:noProof/>
          <w:sz w:val="24"/>
        </w:rPr>
        <w:t xml:space="preserve">(18,9 %), следвана от </w:t>
      </w:r>
      <w:r>
        <w:rPr>
          <w:rFonts w:ascii="Times New Roman" w:hAnsi="Times New Roman"/>
          <w:b/>
          <w:noProof/>
          <w:sz w:val="24"/>
        </w:rPr>
        <w:t xml:space="preserve">RO </w:t>
      </w:r>
      <w:r>
        <w:rPr>
          <w:rFonts w:ascii="Times New Roman" w:hAnsi="Times New Roman"/>
          <w:noProof/>
          <w:sz w:val="24"/>
        </w:rPr>
        <w:t>(17,9 %),</w:t>
      </w:r>
      <w:r>
        <w:rPr>
          <w:rFonts w:ascii="Times New Roman" w:hAnsi="Times New Roman"/>
          <w:b/>
          <w:noProof/>
          <w:sz w:val="24"/>
        </w:rPr>
        <w:t xml:space="preserve"> DE </w:t>
      </w:r>
      <w:r>
        <w:rPr>
          <w:rFonts w:ascii="Times New Roman" w:hAnsi="Times New Roman"/>
          <w:noProof/>
          <w:sz w:val="24"/>
        </w:rPr>
        <w:t>(7,5 %),</w:t>
      </w:r>
      <w:r>
        <w:rPr>
          <w:rFonts w:ascii="Times New Roman" w:hAnsi="Times New Roman"/>
          <w:b/>
          <w:noProof/>
          <w:sz w:val="24"/>
        </w:rPr>
        <w:t xml:space="preserve"> IT </w:t>
      </w:r>
      <w:r>
        <w:rPr>
          <w:rFonts w:ascii="Times New Roman" w:hAnsi="Times New Roman"/>
          <w:noProof/>
          <w:sz w:val="24"/>
        </w:rPr>
        <w:t>(6,5 %),</w:t>
      </w:r>
      <w:r>
        <w:rPr>
          <w:rFonts w:ascii="Times New Roman" w:hAnsi="Times New Roman"/>
          <w:b/>
          <w:noProof/>
          <w:sz w:val="24"/>
        </w:rPr>
        <w:t xml:space="preserve"> LT </w:t>
      </w:r>
      <w:r>
        <w:rPr>
          <w:rFonts w:ascii="Times New Roman" w:hAnsi="Times New Roman"/>
          <w:noProof/>
          <w:sz w:val="24"/>
        </w:rPr>
        <w:t>(5,2 %) и</w:t>
      </w:r>
      <w:r>
        <w:rPr>
          <w:rFonts w:ascii="Times New Roman" w:hAnsi="Times New Roman"/>
          <w:b/>
          <w:noProof/>
          <w:sz w:val="24"/>
        </w:rPr>
        <w:t xml:space="preserve"> FR </w:t>
      </w:r>
      <w:r>
        <w:rPr>
          <w:rFonts w:ascii="Times New Roman" w:hAnsi="Times New Roman"/>
          <w:noProof/>
          <w:sz w:val="24"/>
        </w:rPr>
        <w:t>(4,9 %)</w:t>
      </w:r>
    </w:p>
    <w:p>
      <w:pPr>
        <w:jc w:val="both"/>
        <w:rPr>
          <w:rFonts w:ascii="Times New Roman" w:hAnsi="Times New Roman" w:cs="Times New Roman"/>
          <w:b/>
          <w:noProof/>
          <w:sz w:val="24"/>
          <w:szCs w:val="24"/>
        </w:rPr>
      </w:pPr>
      <w:r>
        <w:rPr>
          <w:rFonts w:ascii="Times New Roman" w:hAnsi="Times New Roman"/>
          <w:noProof/>
          <w:sz w:val="24"/>
        </w:rPr>
        <w:t xml:space="preserve">— през 2014 г.: </w:t>
      </w:r>
      <w:r>
        <w:rPr>
          <w:rFonts w:ascii="Times New Roman" w:hAnsi="Times New Roman"/>
          <w:b/>
          <w:noProof/>
          <w:sz w:val="24"/>
        </w:rPr>
        <w:t xml:space="preserve">PL </w:t>
      </w:r>
      <w:r>
        <w:rPr>
          <w:rFonts w:ascii="Times New Roman" w:hAnsi="Times New Roman"/>
          <w:noProof/>
          <w:sz w:val="24"/>
        </w:rPr>
        <w:t xml:space="preserve">(20,0 %), следвана от </w:t>
      </w:r>
      <w:r>
        <w:rPr>
          <w:rFonts w:ascii="Times New Roman" w:hAnsi="Times New Roman"/>
          <w:b/>
          <w:noProof/>
          <w:sz w:val="24"/>
        </w:rPr>
        <w:t xml:space="preserve">RO </w:t>
      </w:r>
      <w:r>
        <w:rPr>
          <w:rFonts w:ascii="Times New Roman" w:hAnsi="Times New Roman"/>
          <w:noProof/>
          <w:sz w:val="24"/>
        </w:rPr>
        <w:t>(13,0 %),</w:t>
      </w:r>
      <w:r>
        <w:rPr>
          <w:rFonts w:ascii="Times New Roman" w:hAnsi="Times New Roman"/>
          <w:b/>
          <w:noProof/>
          <w:sz w:val="24"/>
        </w:rPr>
        <w:t xml:space="preserve"> DE </w:t>
      </w:r>
      <w:r>
        <w:rPr>
          <w:rFonts w:ascii="Times New Roman" w:hAnsi="Times New Roman"/>
          <w:noProof/>
          <w:sz w:val="24"/>
        </w:rPr>
        <w:t>(9,9 %),</w:t>
      </w:r>
      <w:r>
        <w:rPr>
          <w:rFonts w:ascii="Times New Roman" w:hAnsi="Times New Roman"/>
          <w:b/>
          <w:noProof/>
          <w:sz w:val="24"/>
        </w:rPr>
        <w:t xml:space="preserve"> IT </w:t>
      </w:r>
      <w:r>
        <w:rPr>
          <w:rFonts w:ascii="Times New Roman" w:hAnsi="Times New Roman"/>
          <w:noProof/>
          <w:sz w:val="24"/>
        </w:rPr>
        <w:t>(8,5 %),</w:t>
      </w:r>
      <w:r>
        <w:rPr>
          <w:rFonts w:ascii="Times New Roman" w:hAnsi="Times New Roman"/>
          <w:b/>
          <w:noProof/>
          <w:sz w:val="24"/>
        </w:rPr>
        <w:t xml:space="preserve"> FR </w:t>
      </w:r>
      <w:r>
        <w:rPr>
          <w:rFonts w:ascii="Times New Roman" w:hAnsi="Times New Roman"/>
          <w:noProof/>
          <w:sz w:val="24"/>
        </w:rPr>
        <w:t>(5,2 %) и</w:t>
      </w:r>
      <w:r>
        <w:rPr>
          <w:rFonts w:ascii="Times New Roman" w:hAnsi="Times New Roman"/>
          <w:b/>
          <w:noProof/>
          <w:sz w:val="24"/>
        </w:rPr>
        <w:t xml:space="preserve"> LT </w:t>
      </w:r>
      <w:r>
        <w:rPr>
          <w:rFonts w:ascii="Times New Roman" w:hAnsi="Times New Roman"/>
          <w:noProof/>
          <w:sz w:val="24"/>
        </w:rPr>
        <w:t>(5,0 %)</w:t>
      </w:r>
    </w:p>
    <w:p>
      <w:pPr>
        <w:jc w:val="both"/>
        <w:rPr>
          <w:rFonts w:ascii="Times New Roman" w:hAnsi="Times New Roman" w:cs="Times New Roman"/>
          <w:noProof/>
          <w:sz w:val="24"/>
          <w:szCs w:val="24"/>
        </w:rPr>
      </w:pPr>
      <w:r>
        <w:rPr>
          <w:rFonts w:ascii="Times New Roman" w:hAnsi="Times New Roman"/>
          <w:noProof/>
          <w:sz w:val="24"/>
        </w:rPr>
        <w:t xml:space="preserve">Макар че като цяло всички държави членки дават отговор на исканията, </w:t>
      </w:r>
      <w:r>
        <w:rPr>
          <w:rFonts w:ascii="Times New Roman" w:hAnsi="Times New Roman"/>
          <w:b/>
          <w:noProof/>
          <w:sz w:val="24"/>
        </w:rPr>
        <w:t>не на всички искания за информация е изпратен отговор.</w:t>
      </w:r>
      <w:r>
        <w:rPr>
          <w:rFonts w:ascii="Times New Roman" w:hAnsi="Times New Roman"/>
          <w:noProof/>
          <w:sz w:val="24"/>
        </w:rPr>
        <w:t xml:space="preserve"> В повечето случаи броят на изпратените отговори е малко по-нисък от броя на получените искания за информация, средно с </w:t>
      </w:r>
      <w:r>
        <w:rPr>
          <w:rFonts w:ascii="Times New Roman" w:hAnsi="Times New Roman"/>
          <w:b/>
          <w:noProof/>
          <w:sz w:val="24"/>
        </w:rPr>
        <w:t>около 3,9 % през 2016 г.</w:t>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 xml:space="preserve">По отношение на държавите членки, получили най-голям брой искания през 2016 г., IT не е отговорила на 20,4 % от получените от нея искания (5579), FR на 3,9 % (657), DE на 2,5 % (552), PL на 1,9 % (1174), RO на 1,7 % (970) и SK на 0,1 % (47). </w:t>
      </w:r>
      <w:bookmarkStart w:id="26" w:name="_Hlk481154445"/>
    </w:p>
    <w:p>
      <w:pPr>
        <w:jc w:val="both"/>
        <w:rPr>
          <w:rFonts w:ascii="Times New Roman" w:hAnsi="Times New Roman" w:cs="Times New Roman"/>
          <w:noProof/>
          <w:sz w:val="24"/>
          <w:szCs w:val="24"/>
        </w:rPr>
      </w:pPr>
      <w:bookmarkStart w:id="27" w:name="_Hlk481154348"/>
      <w:r>
        <w:rPr>
          <w:rFonts w:ascii="Times New Roman" w:hAnsi="Times New Roman"/>
          <w:noProof/>
          <w:sz w:val="24"/>
        </w:rPr>
        <w:t xml:space="preserve">През 2016 г. държавите членки с най-висок процент искания, останали без отговор, бяха: CY (66, 1% от получените от нея искания), EL (34,9 %), IT (20,4 %) и LV (17,8 %). </w:t>
      </w:r>
    </w:p>
    <w:bookmarkEnd w:id="25"/>
    <w:bookmarkEnd w:id="26"/>
    <w:bookmarkEnd w:id="27"/>
    <w:p>
      <w:pPr>
        <w:jc w:val="both"/>
        <w:rPr>
          <w:rFonts w:ascii="Times New Roman" w:hAnsi="Times New Roman" w:cs="Times New Roman"/>
          <w:b/>
          <w:noProof/>
          <w:sz w:val="24"/>
          <w:szCs w:val="24"/>
        </w:rPr>
      </w:pPr>
      <w:r>
        <w:rPr>
          <w:rFonts w:ascii="Times New Roman" w:hAnsi="Times New Roman"/>
          <w:b/>
          <w:noProof/>
          <w:sz w:val="24"/>
        </w:rPr>
        <w:t>3.7. Отговори, при които не са спазени законоустановените срокове</w:t>
      </w:r>
    </w:p>
    <w:p>
      <w:pPr>
        <w:jc w:val="both"/>
        <w:rPr>
          <w:rFonts w:ascii="Times New Roman" w:hAnsi="Times New Roman" w:cs="Times New Roman"/>
          <w:noProof/>
          <w:sz w:val="24"/>
          <w:szCs w:val="24"/>
        </w:rPr>
      </w:pPr>
      <w:r>
        <w:rPr>
          <w:rFonts w:ascii="Times New Roman" w:hAnsi="Times New Roman"/>
          <w:noProof/>
          <w:sz w:val="24"/>
        </w:rPr>
        <w:t xml:space="preserve">Друг проблем е, че на някои искания не се отговаря в рамките на законоустановения срок. В таблицата по-долу се прави общ преглед на обема на отговорите, при които не е спазен законоустановеният срок, за всички държави членки през 2016 г. </w:t>
      </w:r>
    </w:p>
    <w:p>
      <w:pPr>
        <w:jc w:val="center"/>
        <w:rPr>
          <w:rFonts w:ascii="Times New Roman" w:hAnsi="Times New Roman" w:cs="Times New Roman"/>
          <w:noProof/>
          <w:sz w:val="24"/>
          <w:szCs w:val="24"/>
        </w:rPr>
      </w:pPr>
      <w:r>
        <w:rPr>
          <w:noProof/>
          <w:lang w:val="en-US" w:eastAsia="en-US" w:bidi="ar-SA"/>
        </w:rPr>
        <w:drawing>
          <wp:inline distT="0" distB="0" distL="0" distR="0">
            <wp:extent cx="5760085" cy="5751512"/>
            <wp:effectExtent l="0" t="0" r="0"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760085" cy="5751512"/>
                    </a:xfrm>
                    <a:prstGeom prst="rect">
                      <a:avLst/>
                    </a:prstGeom>
                  </pic:spPr>
                </pic:pic>
              </a:graphicData>
            </a:graphic>
          </wp:inline>
        </w:drawing>
      </w:r>
    </w:p>
    <w:p>
      <w:pPr>
        <w:contextualSpacing/>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 xml:space="preserve">През 2016 г. на около </w:t>
      </w:r>
      <w:r>
        <w:rPr>
          <w:rFonts w:ascii="Times New Roman" w:hAnsi="Times New Roman"/>
          <w:b/>
          <w:noProof/>
          <w:sz w:val="24"/>
        </w:rPr>
        <w:t>13 000 искания не е изпратен отговор в рамките на законоустановения срок.</w:t>
      </w:r>
      <w:r>
        <w:rPr>
          <w:rFonts w:ascii="Times New Roman" w:hAnsi="Times New Roman"/>
          <w:noProof/>
          <w:sz w:val="24"/>
        </w:rPr>
        <w:t xml:space="preserve"> Това представлява </w:t>
      </w:r>
      <w:r>
        <w:rPr>
          <w:rFonts w:ascii="Times New Roman" w:hAnsi="Times New Roman"/>
          <w:b/>
          <w:noProof/>
          <w:sz w:val="24"/>
        </w:rPr>
        <w:t>3,6 % от общия</w:t>
      </w:r>
      <w:r>
        <w:rPr>
          <w:rFonts w:ascii="Times New Roman" w:hAnsi="Times New Roman"/>
          <w:noProof/>
          <w:sz w:val="24"/>
        </w:rPr>
        <w:t xml:space="preserve"> брой искания. Държавите членки с най-големи проблеми по отношение на крайните срокове бяха: EL (28,1 % искания, при които е изтекъл крайният срок за отговор), FI (21,5 %), EE (20,5 %), RO (9,3 %) и IT (5,28 %). По отношение на отговорите, изпратени след законоустановения срок, 27,33 % от отговорите на LT бяха изпратени след крайния срок (4198), 21,33 % от отговорите на IE (2153), 19,56 % от отговорите на CY (134), 6,12 % от отговорите на RO (3535) и 4,92 % от отговорите на PL (3056).  </w:t>
      </w:r>
    </w:p>
    <w:p>
      <w:pPr>
        <w:rPr>
          <w:rFonts w:ascii="Times New Roman" w:hAnsi="Times New Roman" w:cs="Times New Roman"/>
          <w:b/>
          <w:noProof/>
          <w:sz w:val="24"/>
          <w:szCs w:val="24"/>
        </w:rPr>
      </w:pPr>
      <w:bookmarkStart w:id="28" w:name="_Toc479267023"/>
      <w:r>
        <w:rPr>
          <w:rFonts w:ascii="Times New Roman" w:hAnsi="Times New Roman"/>
          <w:b/>
          <w:noProof/>
          <w:sz w:val="24"/>
        </w:rPr>
        <w:t>3.8. Искания за целите на наказателното производство и за други цели</w:t>
      </w:r>
      <w:bookmarkEnd w:id="28"/>
    </w:p>
    <w:p>
      <w:pPr>
        <w:spacing w:after="0"/>
        <w:jc w:val="both"/>
        <w:rPr>
          <w:rFonts w:ascii="Times New Roman" w:hAnsi="Times New Roman" w:cs="Times New Roman"/>
          <w:noProof/>
          <w:sz w:val="24"/>
          <w:szCs w:val="24"/>
        </w:rPr>
      </w:pPr>
      <w:bookmarkStart w:id="29" w:name="_Hlk481158644"/>
      <w:r>
        <w:rPr>
          <w:rFonts w:ascii="Times New Roman" w:hAnsi="Times New Roman"/>
          <w:noProof/>
          <w:sz w:val="24"/>
        </w:rPr>
        <w:t>На графиката по-долу е представено съотношението между исканията за целите на наказателното производство и за други цели, различни от тези на наказателното производство, — от 2012 г. до 2016 г.</w:t>
      </w:r>
    </w:p>
    <w:p>
      <w:pPr>
        <w:spacing w:after="0"/>
        <w:jc w:val="both"/>
        <w:rPr>
          <w:rFonts w:ascii="Times New Roman" w:hAnsi="Times New Roman" w:cs="Times New Roman"/>
          <w:noProof/>
          <w:sz w:val="24"/>
          <w:szCs w:val="24"/>
        </w:rPr>
      </w:pPr>
    </w:p>
    <w:p>
      <w:pPr>
        <w:spacing w:after="0"/>
        <w:jc w:val="center"/>
        <w:rPr>
          <w:rFonts w:ascii="Times New Roman" w:hAnsi="Times New Roman" w:cs="Times New Roman"/>
          <w:noProof/>
          <w:sz w:val="24"/>
          <w:szCs w:val="24"/>
        </w:rPr>
      </w:pPr>
      <w:r>
        <w:rPr>
          <w:noProof/>
          <w:lang w:val="en-US" w:eastAsia="en-US" w:bidi="ar-SA"/>
        </w:rPr>
        <w:drawing>
          <wp:inline distT="0" distB="0" distL="0" distR="0">
            <wp:extent cx="3467100" cy="175394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3464113" cy="1752433"/>
                    </a:xfrm>
                    <a:prstGeom prst="rect">
                      <a:avLst/>
                    </a:prstGeom>
                  </pic:spPr>
                </pic:pic>
              </a:graphicData>
            </a:graphic>
          </wp:inline>
        </w:drawing>
      </w:r>
    </w:p>
    <w:p>
      <w:pPr>
        <w:spacing w:after="0"/>
        <w:jc w:val="center"/>
        <w:rPr>
          <w:rFonts w:ascii="Times New Roman" w:hAnsi="Times New Roman" w:cs="Times New Roman"/>
          <w:noProof/>
          <w:sz w:val="24"/>
          <w:szCs w:val="24"/>
        </w:rPr>
      </w:pPr>
    </w:p>
    <w:bookmarkEnd w:id="29"/>
    <w:p>
      <w:pPr>
        <w:jc w:val="center"/>
        <w:rPr>
          <w:rFonts w:ascii="Times New Roman" w:hAnsi="Times New Roman" w:cs="Times New Roman"/>
          <w:noProof/>
          <w:sz w:val="24"/>
          <w:szCs w:val="24"/>
        </w:rPr>
      </w:pPr>
      <w:r>
        <w:rPr>
          <w:noProof/>
          <w:lang w:val="en-US" w:eastAsia="en-US" w:bidi="ar-SA"/>
        </w:rPr>
        <w:drawing>
          <wp:inline distT="0" distB="0" distL="0" distR="0">
            <wp:extent cx="4552950" cy="3139048"/>
            <wp:effectExtent l="0" t="0" r="0"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4554753" cy="3140291"/>
                    </a:xfrm>
                    <a:prstGeom prst="rect">
                      <a:avLst/>
                    </a:prstGeom>
                  </pic:spPr>
                </pic:pic>
              </a:graphicData>
            </a:graphic>
          </wp:inline>
        </w:drawing>
      </w:r>
    </w:p>
    <w:p>
      <w:pPr>
        <w:jc w:val="both"/>
        <w:rPr>
          <w:rFonts w:ascii="Times New Roman" w:hAnsi="Times New Roman" w:cs="Times New Roman"/>
          <w:noProof/>
          <w:sz w:val="24"/>
          <w:szCs w:val="24"/>
        </w:rPr>
      </w:pPr>
      <w:r>
        <w:rPr>
          <w:rFonts w:ascii="Times New Roman" w:hAnsi="Times New Roman"/>
          <w:noProof/>
          <w:sz w:val="24"/>
        </w:rPr>
        <w:t xml:space="preserve">В периода на функциониране на ECRIS средно </w:t>
      </w:r>
      <w:r>
        <w:rPr>
          <w:rFonts w:ascii="Times New Roman" w:hAnsi="Times New Roman"/>
          <w:b/>
          <w:noProof/>
          <w:sz w:val="24"/>
        </w:rPr>
        <w:t>81 %</w:t>
      </w:r>
      <w:r>
        <w:rPr>
          <w:rFonts w:ascii="Times New Roman" w:hAnsi="Times New Roman"/>
          <w:noProof/>
          <w:sz w:val="24"/>
        </w:rPr>
        <w:t xml:space="preserve"> от всички искания бяха направени за целите на </w:t>
      </w:r>
      <w:r>
        <w:rPr>
          <w:rFonts w:ascii="Times New Roman" w:hAnsi="Times New Roman"/>
          <w:b/>
          <w:noProof/>
          <w:sz w:val="24"/>
        </w:rPr>
        <w:t>наказателното производство</w:t>
      </w:r>
      <w:r>
        <w:rPr>
          <w:rFonts w:ascii="Times New Roman" w:hAnsi="Times New Roman"/>
          <w:noProof/>
          <w:sz w:val="24"/>
        </w:rPr>
        <w:t xml:space="preserve">, а </w:t>
      </w:r>
      <w:r>
        <w:rPr>
          <w:rFonts w:ascii="Times New Roman" w:hAnsi="Times New Roman"/>
          <w:b/>
          <w:noProof/>
          <w:sz w:val="24"/>
        </w:rPr>
        <w:t>19 %</w:t>
      </w:r>
      <w:r>
        <w:rPr>
          <w:rFonts w:ascii="Times New Roman" w:hAnsi="Times New Roman"/>
          <w:noProof/>
          <w:sz w:val="24"/>
        </w:rPr>
        <w:t xml:space="preserve"> за </w:t>
      </w:r>
      <w:r>
        <w:rPr>
          <w:rFonts w:ascii="Times New Roman" w:hAnsi="Times New Roman"/>
          <w:b/>
          <w:noProof/>
          <w:sz w:val="24"/>
        </w:rPr>
        <w:t>други цели.</w:t>
      </w:r>
      <w:r>
        <w:rPr>
          <w:rFonts w:ascii="Times New Roman" w:hAnsi="Times New Roman"/>
          <w:noProof/>
          <w:sz w:val="24"/>
        </w:rPr>
        <w:t xml:space="preserve"> През 2016 г. броят на </w:t>
      </w:r>
      <w:r>
        <w:rPr>
          <w:rFonts w:ascii="Times New Roman" w:hAnsi="Times New Roman"/>
          <w:b/>
          <w:noProof/>
          <w:sz w:val="24"/>
        </w:rPr>
        <w:t>исканията за други цели</w:t>
      </w:r>
      <w:r>
        <w:rPr>
          <w:rFonts w:ascii="Times New Roman" w:hAnsi="Times New Roman"/>
          <w:noProof/>
          <w:sz w:val="24"/>
        </w:rPr>
        <w:t xml:space="preserve"> достигна </w:t>
      </w:r>
      <w:r>
        <w:rPr>
          <w:rFonts w:ascii="Times New Roman" w:hAnsi="Times New Roman"/>
          <w:b/>
          <w:noProof/>
          <w:sz w:val="24"/>
        </w:rPr>
        <w:t>79 000</w:t>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 xml:space="preserve">През периода 2012—2014 г. процентът на исканията за други цели беше стабилен. Нарастването до </w:t>
      </w:r>
      <w:r>
        <w:rPr>
          <w:rFonts w:ascii="Times New Roman" w:hAnsi="Times New Roman"/>
          <w:b/>
          <w:noProof/>
          <w:sz w:val="24"/>
        </w:rPr>
        <w:t>22 %</w:t>
      </w:r>
      <w:r>
        <w:rPr>
          <w:rFonts w:ascii="Times New Roman" w:hAnsi="Times New Roman"/>
          <w:noProof/>
          <w:sz w:val="24"/>
        </w:rPr>
        <w:t xml:space="preserve"> </w:t>
      </w:r>
      <w:r>
        <w:rPr>
          <w:rFonts w:ascii="Times New Roman" w:hAnsi="Times New Roman"/>
          <w:b/>
          <w:noProof/>
          <w:sz w:val="24"/>
        </w:rPr>
        <w:t>през 2016 г.</w:t>
      </w:r>
      <w:r>
        <w:rPr>
          <w:rFonts w:ascii="Times New Roman" w:hAnsi="Times New Roman"/>
          <w:noProof/>
          <w:sz w:val="24"/>
        </w:rPr>
        <w:t xml:space="preserve"> беше главно в резултат на увеличаващия се брой на исканията за целите на </w:t>
      </w:r>
      <w:r>
        <w:rPr>
          <w:rFonts w:ascii="Times New Roman" w:hAnsi="Times New Roman"/>
          <w:b/>
          <w:noProof/>
          <w:sz w:val="24"/>
        </w:rPr>
        <w:t>назначенията</w:t>
      </w:r>
      <w:r>
        <w:rPr>
          <w:rFonts w:ascii="Times New Roman" w:hAnsi="Times New Roman"/>
          <w:noProof/>
          <w:sz w:val="24"/>
        </w:rPr>
        <w:t xml:space="preserve"> за професионални или организирани доброволни </w:t>
      </w:r>
      <w:r>
        <w:rPr>
          <w:rFonts w:ascii="Times New Roman" w:hAnsi="Times New Roman"/>
          <w:b/>
          <w:noProof/>
          <w:sz w:val="24"/>
        </w:rPr>
        <w:t xml:space="preserve">дейности, включващи пряк и редовен контакт с деца </w:t>
      </w:r>
      <w:r>
        <w:rPr>
          <w:rFonts w:ascii="Times New Roman" w:hAnsi="Times New Roman"/>
          <w:noProof/>
          <w:sz w:val="24"/>
        </w:rPr>
        <w:t xml:space="preserve">в изпълнение на </w:t>
      </w:r>
      <w:r>
        <w:rPr>
          <w:rFonts w:ascii="Times New Roman" w:hAnsi="Times New Roman"/>
          <w:b/>
          <w:noProof/>
          <w:sz w:val="24"/>
        </w:rPr>
        <w:t>Директива 2011/93/ЕС.</w:t>
      </w:r>
      <w:r>
        <w:rPr>
          <w:rFonts w:ascii="Times New Roman" w:hAnsi="Times New Roman"/>
          <w:noProof/>
          <w:sz w:val="24"/>
        </w:rPr>
        <w:t xml:space="preserve"> Такива бяха близо </w:t>
      </w:r>
      <w:r>
        <w:rPr>
          <w:rFonts w:ascii="Times New Roman" w:hAnsi="Times New Roman"/>
          <w:b/>
          <w:noProof/>
          <w:sz w:val="24"/>
        </w:rPr>
        <w:t>8000 искания през 2016 г.</w:t>
      </w:r>
      <w:r>
        <w:rPr>
          <w:rFonts w:ascii="Times New Roman" w:hAnsi="Times New Roman"/>
          <w:noProof/>
          <w:sz w:val="24"/>
        </w:rPr>
        <w:t xml:space="preserve"> или 10 % от всички искания за други цели. За сравнение, през 2012 г. обемът на тези искания беше незначителен (7 искания).</w:t>
      </w:r>
    </w:p>
    <w:p>
      <w:pPr>
        <w:jc w:val="both"/>
        <w:rPr>
          <w:rFonts w:ascii="Times New Roman" w:hAnsi="Times New Roman" w:cs="Times New Roman"/>
          <w:noProof/>
          <w:sz w:val="24"/>
          <w:szCs w:val="24"/>
        </w:rPr>
      </w:pPr>
      <w:r>
        <w:rPr>
          <w:rFonts w:ascii="Times New Roman" w:hAnsi="Times New Roman"/>
          <w:noProof/>
          <w:sz w:val="24"/>
        </w:rPr>
        <w:t xml:space="preserve">През 2016 г. повечето искания за други цели, различни от тези на наказателното производство, бяха направени от </w:t>
      </w:r>
      <w:r>
        <w:rPr>
          <w:rFonts w:ascii="Times New Roman" w:hAnsi="Times New Roman"/>
          <w:b/>
          <w:noProof/>
          <w:sz w:val="24"/>
        </w:rPr>
        <w:t>отделни</w:t>
      </w:r>
      <w:r>
        <w:rPr>
          <w:rFonts w:ascii="Times New Roman" w:hAnsi="Times New Roman"/>
          <w:noProof/>
          <w:sz w:val="24"/>
        </w:rPr>
        <w:t xml:space="preserve"> лица </w:t>
      </w:r>
      <w:r>
        <w:rPr>
          <w:rFonts w:ascii="Times New Roman" w:hAnsi="Times New Roman"/>
          <w:b/>
          <w:noProof/>
          <w:sz w:val="24"/>
        </w:rPr>
        <w:t>за получаване на информация за собствените им досиета за съдимост</w:t>
      </w:r>
      <w:r>
        <w:rPr>
          <w:rFonts w:ascii="Times New Roman" w:hAnsi="Times New Roman"/>
          <w:noProof/>
          <w:sz w:val="24"/>
        </w:rPr>
        <w:t xml:space="preserve"> — 68 % от всички искания за други цели и 15 % от всички направени искания. Следващият най-висок брой искания се отнася до искания от страна на компетентен административен орган за производство, което няма наказателноправен характер (14 % от исканията за други цели и 3,1 % от всички направени искания), искания за назначения в съответствие с Директива 2011/93/ЕС (съответно: 9,9 % и 2,2 %) и искания за получаване на разрешение за притежание на оръжие (съответно: 3,5 % и 0,8 %).</w:t>
      </w:r>
    </w:p>
    <w:p>
      <w:pPr>
        <w:jc w:val="both"/>
        <w:rPr>
          <w:rFonts w:ascii="Times New Roman" w:hAnsi="Times New Roman" w:cs="Times New Roman"/>
          <w:noProof/>
          <w:sz w:val="24"/>
          <w:szCs w:val="24"/>
        </w:rPr>
      </w:pPr>
      <w:r>
        <w:rPr>
          <w:rFonts w:ascii="Times New Roman" w:hAnsi="Times New Roman"/>
          <w:noProof/>
          <w:sz w:val="24"/>
        </w:rPr>
        <w:t>Исканията, свързани с важната цел за получаване на различно гражданство, представляваха само около 1,4 % от всички искания за други цели и 0,3 % от всички искания.</w:t>
      </w:r>
    </w:p>
    <w:p>
      <w:pPr>
        <w:jc w:val="both"/>
        <w:rPr>
          <w:rFonts w:ascii="Times New Roman" w:hAnsi="Times New Roman" w:cs="Times New Roman"/>
          <w:noProof/>
          <w:sz w:val="24"/>
          <w:szCs w:val="24"/>
        </w:rPr>
      </w:pPr>
      <w:r>
        <w:rPr>
          <w:rFonts w:ascii="Times New Roman" w:hAnsi="Times New Roman"/>
          <w:noProof/>
          <w:sz w:val="24"/>
        </w:rPr>
        <w:t>За повече подробности относно обема на исканията за различните категории цели в периода 2014—2016 г. — вж. приложението, раздел 1.6.</w:t>
      </w:r>
    </w:p>
    <w:p>
      <w:pPr>
        <w:rPr>
          <w:rFonts w:ascii="Times New Roman" w:hAnsi="Times New Roman" w:cs="Times New Roman"/>
          <w:b/>
          <w:noProof/>
          <w:sz w:val="24"/>
          <w:szCs w:val="24"/>
        </w:rPr>
      </w:pPr>
      <w:bookmarkStart w:id="30" w:name="_Toc479267024"/>
      <w:r>
        <w:rPr>
          <w:rFonts w:ascii="Times New Roman" w:hAnsi="Times New Roman"/>
          <w:b/>
          <w:noProof/>
          <w:sz w:val="24"/>
        </w:rPr>
        <w:t xml:space="preserve">3.9. Искания, засягащи граждани на ЕС и </w:t>
      </w:r>
      <w:bookmarkEnd w:id="30"/>
      <w:r>
        <w:rPr>
          <w:rFonts w:ascii="Times New Roman" w:hAnsi="Times New Roman"/>
          <w:b/>
          <w:noProof/>
          <w:sz w:val="24"/>
        </w:rPr>
        <w:t>ГТД</w:t>
      </w:r>
    </w:p>
    <w:p>
      <w:pPr>
        <w:spacing w:after="0"/>
        <w:jc w:val="both"/>
        <w:rPr>
          <w:rFonts w:ascii="Times New Roman" w:hAnsi="Times New Roman" w:cs="Times New Roman"/>
          <w:noProof/>
          <w:sz w:val="24"/>
          <w:szCs w:val="24"/>
        </w:rPr>
      </w:pPr>
      <w:r>
        <w:rPr>
          <w:rFonts w:ascii="Times New Roman" w:hAnsi="Times New Roman"/>
          <w:noProof/>
          <w:sz w:val="24"/>
        </w:rPr>
        <w:t>На графиките по-долу е представено съотношението между искания, засягащи граждани на ЕС и ГТД — годишно</w:t>
      </w:r>
      <w:r>
        <w:rPr>
          <w:rStyle w:val="FootnoteReference"/>
          <w:rFonts w:ascii="Times New Roman" w:hAnsi="Times New Roman"/>
          <w:noProof/>
          <w:sz w:val="24"/>
        </w:rPr>
        <w:footnoteReference w:id="12"/>
      </w:r>
      <w:r>
        <w:rPr>
          <w:rFonts w:ascii="Times New Roman" w:hAnsi="Times New Roman"/>
          <w:noProof/>
          <w:sz w:val="24"/>
        </w:rPr>
        <w:t xml:space="preserve"> и средно, за целия период на функциониране на ECRIS.</w:t>
      </w:r>
    </w:p>
    <w:p>
      <w:pPr>
        <w:spacing w:after="0"/>
        <w:jc w:val="both"/>
        <w:rPr>
          <w:rFonts w:ascii="Times New Roman" w:hAnsi="Times New Roman" w:cs="Times New Roman"/>
          <w:noProof/>
          <w:sz w:val="24"/>
          <w:szCs w:val="24"/>
        </w:rPr>
      </w:pPr>
    </w:p>
    <w:p>
      <w:pPr>
        <w:jc w:val="center"/>
        <w:rPr>
          <w:rFonts w:ascii="Times New Roman" w:hAnsi="Times New Roman" w:cs="Times New Roman"/>
          <w:noProof/>
          <w:sz w:val="24"/>
          <w:szCs w:val="24"/>
        </w:rPr>
      </w:pPr>
      <w:r>
        <w:rPr>
          <w:noProof/>
          <w:lang w:val="en-US" w:eastAsia="en-US" w:bidi="ar-SA"/>
        </w:rPr>
        <w:drawing>
          <wp:inline distT="0" distB="0" distL="0" distR="0">
            <wp:extent cx="2933700" cy="232527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933700" cy="2325274"/>
                    </a:xfrm>
                    <a:prstGeom prst="rect">
                      <a:avLst/>
                    </a:prstGeom>
                  </pic:spPr>
                </pic:pic>
              </a:graphicData>
            </a:graphic>
          </wp:inline>
        </w:drawing>
      </w:r>
      <w:r>
        <w:rPr>
          <w:rStyle w:val="CommentReference"/>
          <w:rFonts w:ascii="Times New Roman" w:hAnsi="Times New Roman"/>
          <w:noProof/>
          <w:sz w:val="24"/>
        </w:rPr>
        <w:t xml:space="preserve"> </w:t>
      </w:r>
    </w:p>
    <w:p>
      <w:pPr>
        <w:contextualSpacing/>
        <w:jc w:val="center"/>
        <w:rPr>
          <w:rFonts w:ascii="Times New Roman" w:hAnsi="Times New Roman" w:cs="Times New Roman"/>
          <w:noProof/>
          <w:sz w:val="24"/>
          <w:szCs w:val="24"/>
        </w:rPr>
      </w:pPr>
      <w:r>
        <w:rPr>
          <w:noProof/>
          <w:lang w:val="en-US" w:eastAsia="en-US" w:bidi="ar-SA"/>
        </w:rPr>
        <w:drawing>
          <wp:inline distT="0" distB="0" distL="0" distR="0">
            <wp:extent cx="4610100" cy="3021685"/>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4614215" cy="3024382"/>
                    </a:xfrm>
                    <a:prstGeom prst="rect">
                      <a:avLst/>
                    </a:prstGeom>
                  </pic:spPr>
                </pic:pic>
              </a:graphicData>
            </a:graphic>
          </wp:inline>
        </w:drawing>
      </w:r>
    </w:p>
    <w:p>
      <w:pPr>
        <w:contextualSpacing/>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 xml:space="preserve">Средно </w:t>
      </w:r>
      <w:r>
        <w:rPr>
          <w:rFonts w:ascii="Times New Roman" w:hAnsi="Times New Roman"/>
          <w:b/>
          <w:noProof/>
          <w:sz w:val="24"/>
        </w:rPr>
        <w:t>90 %</w:t>
      </w:r>
      <w:r>
        <w:rPr>
          <w:rFonts w:ascii="Times New Roman" w:hAnsi="Times New Roman"/>
          <w:noProof/>
          <w:sz w:val="24"/>
        </w:rPr>
        <w:t xml:space="preserve"> от всички искания засягат </w:t>
      </w:r>
      <w:r>
        <w:rPr>
          <w:rFonts w:ascii="Times New Roman" w:hAnsi="Times New Roman"/>
          <w:b/>
          <w:noProof/>
          <w:sz w:val="24"/>
        </w:rPr>
        <w:t>граждани на ЕС</w:t>
      </w:r>
      <w:r>
        <w:rPr>
          <w:rFonts w:ascii="Times New Roman" w:hAnsi="Times New Roman"/>
          <w:noProof/>
          <w:sz w:val="24"/>
        </w:rPr>
        <w:t xml:space="preserve">, а около </w:t>
      </w:r>
      <w:r>
        <w:rPr>
          <w:rFonts w:ascii="Times New Roman" w:hAnsi="Times New Roman"/>
          <w:b/>
          <w:noProof/>
          <w:sz w:val="24"/>
        </w:rPr>
        <w:t>10 % засягат ГТД.</w:t>
      </w:r>
      <w:r>
        <w:rPr>
          <w:rFonts w:ascii="Times New Roman" w:hAnsi="Times New Roman"/>
          <w:noProof/>
          <w:sz w:val="24"/>
        </w:rPr>
        <w:t xml:space="preserve"> Делът на исканията за лица без гражданство е пределен (0,03 %).</w:t>
      </w:r>
    </w:p>
    <w:p>
      <w:pPr>
        <w:jc w:val="both"/>
        <w:rPr>
          <w:rFonts w:ascii="Times New Roman" w:hAnsi="Times New Roman" w:cs="Times New Roman"/>
          <w:noProof/>
          <w:sz w:val="24"/>
          <w:szCs w:val="24"/>
        </w:rPr>
      </w:pPr>
      <w:r>
        <w:rPr>
          <w:rFonts w:ascii="Times New Roman" w:hAnsi="Times New Roman"/>
          <w:noProof/>
          <w:sz w:val="24"/>
        </w:rPr>
        <w:t xml:space="preserve">През първата година от функционирането на ECRIS процентът на исканията, засягащи ГТД, беше много нисък (5 %). През 2013 г. този процент се удвои и оттогава остава стабилен. През 2016 г. броят на </w:t>
      </w:r>
      <w:r>
        <w:rPr>
          <w:rFonts w:ascii="Times New Roman" w:hAnsi="Times New Roman"/>
          <w:b/>
          <w:noProof/>
          <w:sz w:val="24"/>
        </w:rPr>
        <w:t xml:space="preserve">исканията за информация за ГТД </w:t>
      </w:r>
      <w:r>
        <w:rPr>
          <w:rFonts w:ascii="Times New Roman" w:hAnsi="Times New Roman"/>
          <w:noProof/>
          <w:sz w:val="24"/>
        </w:rPr>
        <w:t xml:space="preserve">достигна </w:t>
      </w:r>
      <w:r>
        <w:rPr>
          <w:rFonts w:ascii="Times New Roman" w:hAnsi="Times New Roman"/>
          <w:b/>
          <w:noProof/>
          <w:sz w:val="24"/>
        </w:rPr>
        <w:t>над</w:t>
      </w:r>
      <w:r>
        <w:rPr>
          <w:rFonts w:ascii="Times New Roman" w:hAnsi="Times New Roman"/>
          <w:noProof/>
          <w:sz w:val="24"/>
        </w:rPr>
        <w:t xml:space="preserve"> </w:t>
      </w:r>
      <w:r>
        <w:rPr>
          <w:rFonts w:ascii="Times New Roman" w:hAnsi="Times New Roman"/>
          <w:b/>
          <w:noProof/>
          <w:sz w:val="24"/>
        </w:rPr>
        <w:t>33 000</w:t>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 xml:space="preserve">Допълването на правната рамка, предложено от Комисията заедно с настоящия доклад, ще подобри системата ECRIS по отношение на ГТД чрез въвеждане на целева централизирана система, позволяваща ефикасно да се установи(ят) държавата(ите) членка(и), притежаваща(и) в регистрите за съдимост информация за ГТД. Очаква се тази мярка да доведе до значително нарастване на исканията за ГТД. </w:t>
      </w:r>
    </w:p>
    <w:p>
      <w:pPr>
        <w:rPr>
          <w:rFonts w:ascii="Times New Roman" w:hAnsi="Times New Roman" w:cs="Times New Roman"/>
          <w:b/>
          <w:noProof/>
          <w:sz w:val="24"/>
          <w:szCs w:val="24"/>
        </w:rPr>
      </w:pPr>
      <w:bookmarkStart w:id="31" w:name="_Toc479267025"/>
      <w:r>
        <w:rPr>
          <w:rFonts w:ascii="Times New Roman" w:hAnsi="Times New Roman"/>
          <w:b/>
          <w:noProof/>
          <w:sz w:val="24"/>
        </w:rPr>
        <w:t>3.10.</w:t>
      </w:r>
      <w:bookmarkEnd w:id="31"/>
      <w:r>
        <w:rPr>
          <w:rFonts w:ascii="Times New Roman" w:hAnsi="Times New Roman"/>
          <w:b/>
          <w:noProof/>
          <w:sz w:val="24"/>
        </w:rPr>
        <w:t xml:space="preserve"> Отговори, съдържащи информация за присъди</w:t>
      </w:r>
    </w:p>
    <w:p>
      <w:pPr>
        <w:jc w:val="both"/>
        <w:rPr>
          <w:rFonts w:ascii="Times New Roman" w:hAnsi="Times New Roman" w:cs="Times New Roman"/>
          <w:noProof/>
          <w:sz w:val="24"/>
          <w:szCs w:val="24"/>
        </w:rPr>
      </w:pPr>
      <w:r>
        <w:rPr>
          <w:rFonts w:ascii="Times New Roman" w:hAnsi="Times New Roman"/>
          <w:noProof/>
          <w:sz w:val="24"/>
        </w:rPr>
        <w:t>На графиката по-долу е представена информация за дела на отговорите на искания, съдържащи информация за една или повече присъди, отговори, в които няма информация за присъди, и други отговори — годишно</w:t>
      </w:r>
      <w:r>
        <w:rPr>
          <w:rStyle w:val="FootnoteReference"/>
          <w:rFonts w:ascii="Times New Roman" w:hAnsi="Times New Roman"/>
          <w:noProof/>
          <w:sz w:val="24"/>
        </w:rPr>
        <w:footnoteReference w:id="13"/>
      </w:r>
      <w:r>
        <w:rPr>
          <w:rFonts w:ascii="Times New Roman" w:hAnsi="Times New Roman"/>
          <w:noProof/>
          <w:sz w:val="24"/>
        </w:rPr>
        <w:t xml:space="preserve"> и средно, за периода на функциониране на ECRIS.</w:t>
      </w:r>
    </w:p>
    <w:p>
      <w:pPr>
        <w:jc w:val="center"/>
        <w:rPr>
          <w:rFonts w:ascii="Times New Roman" w:hAnsi="Times New Roman" w:cs="Times New Roman"/>
          <w:noProof/>
          <w:sz w:val="24"/>
          <w:szCs w:val="24"/>
        </w:rPr>
      </w:pPr>
      <w:r>
        <w:rPr>
          <w:noProof/>
          <w:lang w:val="en-US" w:eastAsia="en-US" w:bidi="ar-SA"/>
        </w:rPr>
        <w:drawing>
          <wp:inline distT="0" distB="0" distL="0" distR="0">
            <wp:extent cx="3560986" cy="2114550"/>
            <wp:effectExtent l="0" t="0" r="190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3565560" cy="2117266"/>
                    </a:xfrm>
                    <a:prstGeom prst="rect">
                      <a:avLst/>
                    </a:prstGeom>
                  </pic:spPr>
                </pic:pic>
              </a:graphicData>
            </a:graphic>
          </wp:inline>
        </w:drawing>
      </w:r>
      <w:r>
        <w:rPr>
          <w:rStyle w:val="CommentReference"/>
          <w:rFonts w:ascii="Times New Roman" w:hAnsi="Times New Roman"/>
          <w:noProof/>
          <w:sz w:val="24"/>
        </w:rPr>
        <w:t xml:space="preserve"> </w:t>
      </w:r>
    </w:p>
    <w:p>
      <w:pPr>
        <w:jc w:val="center"/>
        <w:rPr>
          <w:rFonts w:ascii="Times New Roman" w:hAnsi="Times New Roman" w:cs="Times New Roman"/>
          <w:noProof/>
          <w:sz w:val="24"/>
          <w:szCs w:val="24"/>
        </w:rPr>
      </w:pPr>
      <w:r>
        <w:rPr>
          <w:noProof/>
          <w:lang w:val="en-US" w:eastAsia="en-US" w:bidi="ar-SA"/>
        </w:rPr>
        <w:drawing>
          <wp:inline distT="0" distB="0" distL="0" distR="0">
            <wp:extent cx="4162425" cy="2843248"/>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4175282" cy="2852030"/>
                    </a:xfrm>
                    <a:prstGeom prst="rect">
                      <a:avLst/>
                    </a:prstGeom>
                  </pic:spPr>
                </pic:pic>
              </a:graphicData>
            </a:graphic>
          </wp:inline>
        </w:drawing>
      </w:r>
    </w:p>
    <w:p>
      <w:pPr>
        <w:contextualSpacing/>
        <w:jc w:val="both"/>
        <w:rPr>
          <w:rFonts w:ascii="Times New Roman" w:hAnsi="Times New Roman" w:cs="Times New Roman"/>
          <w:noProof/>
          <w:sz w:val="24"/>
          <w:szCs w:val="24"/>
        </w:rPr>
      </w:pPr>
      <w:r>
        <w:rPr>
          <w:rFonts w:ascii="Times New Roman" w:hAnsi="Times New Roman"/>
          <w:noProof/>
          <w:sz w:val="24"/>
        </w:rPr>
        <w:t xml:space="preserve">Считано от първата година на функциониране на ECRIS, </w:t>
      </w:r>
      <w:r>
        <w:rPr>
          <w:rFonts w:ascii="Times New Roman" w:hAnsi="Times New Roman"/>
          <w:b/>
          <w:noProof/>
          <w:sz w:val="24"/>
        </w:rPr>
        <w:t xml:space="preserve">31 % от отговорите съдържаха информация за предишни присъди. </w:t>
      </w:r>
      <w:r>
        <w:rPr>
          <w:rFonts w:ascii="Times New Roman" w:hAnsi="Times New Roman"/>
          <w:noProof/>
          <w:sz w:val="24"/>
        </w:rPr>
        <w:t xml:space="preserve">Това означава, че в 31 % от случаите въпросното лице вече е било осъждано един или повече пъти, което доказва значението на ECRIS като инструмент за получаване на информация от регистрите за съдимост. През </w:t>
      </w:r>
      <w:r>
        <w:rPr>
          <w:rFonts w:ascii="Times New Roman" w:hAnsi="Times New Roman"/>
          <w:b/>
          <w:noProof/>
          <w:sz w:val="24"/>
        </w:rPr>
        <w:t>2016 г.</w:t>
      </w:r>
      <w:r>
        <w:rPr>
          <w:rFonts w:ascii="Times New Roman" w:hAnsi="Times New Roman"/>
          <w:noProof/>
          <w:sz w:val="24"/>
        </w:rPr>
        <w:t xml:space="preserve"> това бяха над </w:t>
      </w:r>
      <w:r>
        <w:rPr>
          <w:rFonts w:ascii="Times New Roman" w:hAnsi="Times New Roman"/>
          <w:b/>
          <w:noProof/>
          <w:sz w:val="24"/>
        </w:rPr>
        <w:t xml:space="preserve">105 000 отговора, включително информация за присъдите. </w:t>
      </w:r>
      <w:r>
        <w:rPr>
          <w:rFonts w:ascii="Times New Roman" w:hAnsi="Times New Roman"/>
          <w:noProof/>
          <w:sz w:val="24"/>
        </w:rPr>
        <w:t>През последните пет години отговорите, които не съдържаха информация за присъди, представляваха средно 63 %, а другите отговори бяха 6 %.</w:t>
      </w:r>
    </w:p>
    <w:p>
      <w:pPr>
        <w:rPr>
          <w:rStyle w:val="Hyperlink"/>
          <w:rFonts w:ascii="Times New Roman" w:hAnsi="Times New Roman" w:cs="Times New Roman"/>
          <w:i/>
          <w:noProof/>
          <w:sz w:val="24"/>
          <w:szCs w:val="24"/>
        </w:rPr>
      </w:pPr>
      <w:bookmarkStart w:id="32" w:name="_Toc479267027"/>
      <w:bookmarkStart w:id="33" w:name="_Toc479267028"/>
      <w:bookmarkStart w:id="34" w:name="_Toc479267029"/>
      <w:bookmarkStart w:id="35" w:name="_Toc479267030"/>
      <w:bookmarkStart w:id="36" w:name="_Toc479267031"/>
      <w:bookmarkStart w:id="37" w:name="_Toc479267032"/>
      <w:bookmarkStart w:id="38" w:name="_Toc479267033"/>
      <w:bookmarkStart w:id="39" w:name="_Toc479267034"/>
      <w:bookmarkStart w:id="40" w:name="_Toc479267035"/>
      <w:bookmarkStart w:id="41" w:name="_Toc479267036"/>
      <w:bookmarkStart w:id="42" w:name="_Toc479267037"/>
      <w:bookmarkStart w:id="43" w:name="_Toc479267038"/>
      <w:bookmarkStart w:id="44" w:name="_Toc479267039"/>
      <w:bookmarkStart w:id="45" w:name="_Toc479267040"/>
      <w:bookmarkStart w:id="46" w:name="_Toc479267041"/>
      <w:bookmarkStart w:id="47" w:name="_Toc479267042"/>
      <w:bookmarkStart w:id="48" w:name="_Toc479267043"/>
      <w:bookmarkStart w:id="49" w:name="_Toc479267044"/>
      <w:bookmarkStart w:id="50" w:name="_Toc479267045"/>
      <w:bookmarkStart w:id="51" w:name="_Toc479267046"/>
      <w:bookmarkStart w:id="52" w:name="_Toc479267047"/>
      <w:bookmarkStart w:id="53" w:name="_Toc479267048"/>
      <w:bookmarkStart w:id="54" w:name="_Toc479267049"/>
      <w:bookmarkStart w:id="55" w:name="_Toc479267050"/>
      <w:bookmarkStart w:id="56" w:name="_Toc479267051"/>
      <w:bookmarkStart w:id="57" w:name="_Toc479267052"/>
      <w:bookmarkStart w:id="58" w:name="_Toc479267053"/>
      <w:bookmarkStart w:id="59" w:name="_Toc479267054"/>
      <w:bookmarkStart w:id="60" w:name="_Toc479267055"/>
      <w:bookmarkStart w:id="61" w:name="_Toc479267056"/>
      <w:bookmarkStart w:id="62" w:name="_Toc479267057"/>
      <w:bookmarkStart w:id="63" w:name="_Toc479267058"/>
      <w:bookmarkStart w:id="64" w:name="_Toc479267059"/>
      <w:bookmarkStart w:id="65" w:name="_Toc479267060"/>
      <w:bookmarkStart w:id="66" w:name="_Toc479267061"/>
      <w:bookmarkStart w:id="67" w:name="_Toc479267062"/>
      <w:bookmarkStart w:id="68" w:name="_Toc479267063"/>
      <w:bookmarkStart w:id="69" w:name="_Toc479267064"/>
      <w:bookmarkStart w:id="70" w:name="_Toc479267065"/>
      <w:bookmarkStart w:id="71" w:name="_Toc479267066"/>
      <w:bookmarkStart w:id="72" w:name="_Toc479267067"/>
      <w:bookmarkStart w:id="73" w:name="_Toc479267068"/>
      <w:bookmarkStart w:id="74" w:name="_Toc479267069"/>
      <w:bookmarkStart w:id="75" w:name="_Toc479267070"/>
      <w:bookmarkStart w:id="76" w:name="_Toc479267071"/>
      <w:bookmarkStart w:id="77" w:name="_Toc479267072"/>
      <w:bookmarkStart w:id="78" w:name="_Toc479267073"/>
      <w:bookmarkStart w:id="79" w:name="_Toc479267074"/>
      <w:bookmarkStart w:id="80" w:name="_Toc479267075"/>
      <w:bookmarkStart w:id="81" w:name="_Toc479267076"/>
      <w:bookmarkStart w:id="82" w:name="_Toc479267077"/>
      <w:bookmarkStart w:id="83" w:name="_Toc479267078"/>
      <w:bookmarkStart w:id="84" w:name="_Toc479267079"/>
      <w:bookmarkStart w:id="85" w:name="_Toc479267080"/>
      <w:bookmarkStart w:id="86" w:name="_Toc479267081"/>
      <w:bookmarkStart w:id="87" w:name="_Toc479267082"/>
      <w:bookmarkStart w:id="88" w:name="_Toc479267083"/>
      <w:bookmarkStart w:id="89" w:name="_Toc479267084"/>
      <w:bookmarkStart w:id="90" w:name="_Toc479267085"/>
      <w:bookmarkStart w:id="91" w:name="_Toc479267086"/>
      <w:bookmarkStart w:id="92" w:name="_Toc479267087"/>
      <w:bookmarkStart w:id="93" w:name="_Toc479267088"/>
      <w:bookmarkStart w:id="94" w:name="_Toc479267089"/>
      <w:bookmarkStart w:id="95" w:name="_Toc479267090"/>
      <w:bookmarkStart w:id="96" w:name="_Toc479267091"/>
      <w:bookmarkStart w:id="97" w:name="_Toc479267092"/>
      <w:bookmarkStart w:id="98" w:name="_Toc479267093"/>
      <w:bookmarkStart w:id="99" w:name="_Toc479267094"/>
      <w:bookmarkStart w:id="100" w:name="_Toc479267095"/>
      <w:bookmarkStart w:id="101" w:name="_Toc479267096"/>
      <w:bookmarkStart w:id="102" w:name="_Toc479267097"/>
      <w:bookmarkStart w:id="103" w:name="_Toc479267098"/>
      <w:bookmarkStart w:id="104" w:name="_Toc479267099"/>
      <w:bookmarkStart w:id="105" w:name="_Toc479267100"/>
      <w:bookmarkStart w:id="106" w:name="_Toc479267101"/>
      <w:bookmarkStart w:id="107" w:name="_Toc479267102"/>
      <w:bookmarkStart w:id="108" w:name="_Toc479267103"/>
      <w:bookmarkStart w:id="109" w:name="_Toc479267104"/>
      <w:bookmarkStart w:id="110" w:name="_Toc479267105"/>
      <w:bookmarkStart w:id="111" w:name="_Toc479267106"/>
      <w:bookmarkStart w:id="112" w:name="_Toc479267107"/>
      <w:bookmarkStart w:id="113" w:name="_Toc479267108"/>
      <w:bookmarkStart w:id="114" w:name="_Toc479267109"/>
      <w:bookmarkStart w:id="115" w:name="_Toc479267110"/>
      <w:bookmarkStart w:id="116" w:name="_Toc479267111"/>
      <w:bookmarkStart w:id="117" w:name="_Toc479267112"/>
      <w:bookmarkStart w:id="118" w:name="_Toc479267113"/>
      <w:bookmarkStart w:id="119" w:name="_Toc479267114"/>
      <w:bookmarkStart w:id="120" w:name="_Toc479267115"/>
      <w:bookmarkStart w:id="121" w:name="_Toc479267116"/>
      <w:bookmarkStart w:id="122" w:name="_Toc479267117"/>
      <w:bookmarkStart w:id="123" w:name="_Toc479267118"/>
      <w:bookmarkStart w:id="124" w:name="_Toc479267119"/>
      <w:bookmarkStart w:id="125" w:name="_Toc479267120"/>
      <w:bookmarkStart w:id="126" w:name="_Toc479267121"/>
      <w:bookmarkStart w:id="127" w:name="_Toc479267122"/>
      <w:bookmarkStart w:id="128" w:name="_Toc479267123"/>
      <w:bookmarkStart w:id="129" w:name="_Toc479267124"/>
      <w:bookmarkStart w:id="130" w:name="_Toc479267125"/>
      <w:bookmarkStart w:id="131" w:name="_Toc479267126"/>
      <w:bookmarkStart w:id="132" w:name="_Toc479267127"/>
      <w:bookmarkStart w:id="133" w:name="_Toc479267128"/>
      <w:bookmarkStart w:id="134" w:name="_Toc479267129"/>
      <w:bookmarkStart w:id="135" w:name="_Toc479267130"/>
      <w:bookmarkStart w:id="136" w:name="_Toc479267131"/>
      <w:bookmarkStart w:id="137" w:name="_Toc479267132"/>
      <w:bookmarkStart w:id="138" w:name="_Toc479267133"/>
      <w:bookmarkStart w:id="139" w:name="_Toc479267134"/>
      <w:bookmarkStart w:id="140" w:name="_Toc479267135"/>
      <w:bookmarkStart w:id="141" w:name="_Toc479267136"/>
      <w:bookmarkStart w:id="142" w:name="_Toc479267137"/>
      <w:bookmarkStart w:id="143" w:name="_Toc479267138"/>
      <w:bookmarkStart w:id="144" w:name="_Toc479267139"/>
      <w:bookmarkStart w:id="145" w:name="_Toc479267140"/>
      <w:bookmarkStart w:id="146" w:name="_Toc479267141"/>
      <w:bookmarkStart w:id="147" w:name="_Toc479267142"/>
      <w:bookmarkStart w:id="148" w:name="_Toc479267143"/>
      <w:bookmarkStart w:id="149" w:name="_Toc479267144"/>
      <w:bookmarkStart w:id="150" w:name="_Toc479267145"/>
      <w:bookmarkStart w:id="151" w:name="_Toc479267146"/>
      <w:bookmarkStart w:id="152" w:name="_Toc479267147"/>
      <w:bookmarkStart w:id="153" w:name="_Toc479267148"/>
      <w:bookmarkStart w:id="154" w:name="_Toc479267149"/>
      <w:bookmarkStart w:id="155" w:name="_Toc479267150"/>
      <w:bookmarkStart w:id="156" w:name="_Toc479267151"/>
      <w:bookmarkStart w:id="157" w:name="_Toc479267152"/>
      <w:bookmarkStart w:id="158" w:name="_Toc479267153"/>
      <w:bookmarkStart w:id="159" w:name="_Toc479267154"/>
      <w:bookmarkStart w:id="160" w:name="_Toc479267155"/>
      <w:bookmarkStart w:id="161" w:name="_Toc479267156"/>
      <w:bookmarkStart w:id="162" w:name="_Toc479267157"/>
      <w:bookmarkStart w:id="163" w:name="_Toc479267158"/>
      <w:bookmarkStart w:id="164" w:name="_Toc479267159"/>
      <w:bookmarkStart w:id="165" w:name="_Toc479267160"/>
      <w:bookmarkStart w:id="166" w:name="_Toc479267161"/>
      <w:bookmarkStart w:id="167" w:name="_Toc479267162"/>
      <w:bookmarkStart w:id="168" w:name="_Toc479267163"/>
      <w:bookmarkStart w:id="169" w:name="_Toc479267164"/>
      <w:bookmarkStart w:id="170" w:name="_Toc479267165"/>
      <w:bookmarkStart w:id="171" w:name="_Toc479267166"/>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sectPr>
      <w:headerReference w:type="even" r:id="rId33"/>
      <w:headerReference w:type="default" r:id="rId34"/>
      <w:footerReference w:type="even" r:id="rId35"/>
      <w:footerReference w:type="default" r:id="rId36"/>
      <w:headerReference w:type="first" r:id="rId37"/>
      <w:footerReference w:type="first" r:id="rId38"/>
      <w:pgSz w:w="11907" w:h="16840" w:code="9"/>
      <w:pgMar w:top="1418" w:right="1418" w:bottom="1418" w:left="1418" w:header="851" w:footer="255" w:gutter="0"/>
      <w:cols w:space="720"/>
      <w:titlePg/>
      <w:docGrid w:linePitch="245"/>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8E24B8" w15:done="0"/>
  <w15:commentEx w15:paraId="6E86590D" w15:done="0"/>
  <w15:commentEx w15:paraId="439AA53A" w15:done="0"/>
  <w15:commentEx w15:paraId="2D71B520" w15:done="0"/>
  <w15:commentEx w15:paraId="419EC50D" w15:done="0"/>
  <w15:commentEx w15:paraId="2E89FC3D" w15:done="0"/>
  <w15:commentEx w15:paraId="03DFCC02" w15:done="0"/>
  <w15:commentEx w15:paraId="03D9DADC" w15:done="0"/>
  <w15:commentEx w15:paraId="26B4E71E" w15:done="0"/>
  <w15:commentEx w15:paraId="694DD74E" w15:done="0"/>
  <w15:commentEx w15:paraId="5880BD8A" w15:done="0"/>
  <w15:commentEx w15:paraId="62A36268" w15:done="0"/>
  <w15:commentEx w15:paraId="7802DCA6" w15:done="0"/>
  <w15:commentEx w15:paraId="42F0B0F2" w15:done="0"/>
  <w15:commentEx w15:paraId="571BF361" w15:done="0"/>
  <w15:commentEx w15:paraId="38371697" w15:done="0"/>
  <w15:commentEx w15:paraId="5EB460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614629"/>
      <w:docPartObj>
        <w:docPartGallery w:val="Page Numbers (Bottom of Page)"/>
        <w:docPartUnique/>
      </w:docPartObj>
    </w:sdtPr>
    <w:sdtEndPr>
      <w:rPr>
        <w:noProof/>
      </w:rPr>
    </w:sdtEndPr>
    <w:sdtContent>
      <w:p>
        <w:pPr>
          <w:pStyle w:val="Footer"/>
        </w:pPr>
        <w:r>
          <w:fldChar w:fldCharType="begin"/>
        </w:r>
        <w:r>
          <w:instrText xml:space="preserve"> PAGE   \* MERGEFORMAT </w:instrText>
        </w:r>
        <w:r>
          <w:fldChar w:fldCharType="separate"/>
        </w:r>
        <w:r>
          <w:rPr>
            <w:noProof/>
          </w:rPr>
          <w:t>19</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531446"/>
      <w:docPartObj>
        <w:docPartGallery w:val="Page Numbers (Bottom of Page)"/>
        <w:docPartUnique/>
      </w:docPartObj>
    </w:sdtPr>
    <w:sdtEndPr>
      <w:rPr>
        <w:noProof/>
      </w:rPr>
    </w:sdtEndPr>
    <w:sdtContent>
      <w:p>
        <w:pPr>
          <w:pStyle w:val="Footer"/>
        </w:pPr>
        <w:r>
          <w:fldChar w:fldCharType="begin"/>
        </w:r>
        <w:r>
          <w:instrText xml:space="preserve"> PAGE   \* MERGEFORMAT </w:instrText>
        </w:r>
        <w:r>
          <w:fldChar w:fldCharType="separate"/>
        </w:r>
        <w:r>
          <w:rPr>
            <w:noProof/>
          </w:rPr>
          <w:t>2</w:t>
        </w:r>
        <w:r>
          <w:rPr>
            <w:noProof/>
          </w:rPr>
          <w:fldChar w:fldCharType="end"/>
        </w:r>
      </w:p>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after="0"/>
      </w:pPr>
    </w:p>
  </w:footnote>
  <w:footnote w:id="2">
    <w:p>
      <w:pPr>
        <w:pStyle w:val="FootnoteText"/>
        <w:spacing w:after="0"/>
        <w:rPr>
          <w:rFonts w:ascii="Times New Roman" w:hAnsi="Times New Roman" w:cs="Times New Roman"/>
          <w:sz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ОВ L 93, 7.4.2009 г., стр. 23.</w:t>
      </w:r>
    </w:p>
  </w:footnote>
  <w:footnote w:id="3">
    <w:p>
      <w:pPr>
        <w:pStyle w:val="FootnoteText"/>
        <w:spacing w:after="0"/>
        <w:rPr>
          <w:rFonts w:ascii="Times New Roman" w:hAnsi="Times New Roman" w:cs="Times New Roman"/>
          <w:sz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ОВ L 93, 7.4.2009 г., стр. 33.</w:t>
      </w:r>
    </w:p>
    <w:p>
      <w:pPr>
        <w:pStyle w:val="FootnoteText"/>
      </w:pPr>
    </w:p>
  </w:footnote>
  <w:footnote w:id="4">
    <w:p>
      <w:pPr>
        <w:pStyle w:val="FootnoteText"/>
        <w:spacing w:after="0"/>
        <w:ind w:left="709" w:hanging="709"/>
        <w:jc w:val="both"/>
        <w:rPr>
          <w:rFonts w:ascii="Times New Roman" w:hAnsi="Times New Roman" w:cs="Times New Roman"/>
          <w:sz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В член 6, параграф 2 от Решение 2009/316/ПВР на Съвета се предвижда приемане на мерки за изпълнение на ECRIS от Съвета, по-специално установяването на системи и процедури за вписване, позволяващи мониторинг на функционирането на ECRIS, изготвяне на статистика, която няма отношение към личните данни, а е свързана с обмена на информация, получена от регистрите за съдимост, чрез ECRIS.</w:t>
      </w:r>
    </w:p>
  </w:footnote>
  <w:footnote w:id="5">
    <w:p>
      <w:pPr>
        <w:pStyle w:val="FootnoteText"/>
        <w:spacing w:after="0"/>
        <w:ind w:left="709" w:hanging="709"/>
        <w:jc w:val="both"/>
        <w:rPr>
          <w:rFonts w:ascii="Times New Roman" w:hAnsi="Times New Roman" w:cs="Times New Roman"/>
          <w:sz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Доклад на Комисията до Европейския парламент и Съвета относно прилагането на Рамково решение 2009/315/ПВР на Съвета от 26 февруари 2009 г. относно организацията и съдържанието на обмена на информация, получена от регистрите за съдимост, между държавите членки, COM (2016) 6 final.</w:t>
      </w:r>
    </w:p>
  </w:footnote>
  <w:footnote w:id="6">
    <w:p>
      <w:pPr>
        <w:pStyle w:val="FootnoteText"/>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COM(2017)344 final.</w:t>
      </w:r>
    </w:p>
  </w:footnote>
  <w:footnote w:id="7">
    <w:p>
      <w:pPr>
        <w:pStyle w:val="FootnoteText"/>
        <w:spacing w:after="0"/>
        <w:ind w:left="709" w:hanging="709"/>
        <w:jc w:val="both"/>
        <w:rPr>
          <w:rFonts w:ascii="Times New Roman" w:hAnsi="Times New Roman" w:cs="Times New Roman"/>
          <w:sz w:val="20"/>
        </w:rPr>
      </w:pPr>
      <w:r>
        <w:rPr>
          <w:rStyle w:val="FootnoteReference"/>
        </w:rPr>
        <w:footnoteRef/>
      </w:r>
      <w:r>
        <w:t xml:space="preserve"> </w:t>
      </w:r>
      <w:r>
        <w:tab/>
      </w:r>
      <w:r>
        <w:rPr>
          <w:rFonts w:ascii="Times New Roman" w:hAnsi="Times New Roman"/>
          <w:spacing w:val="-4"/>
          <w:sz w:val="20"/>
        </w:rPr>
        <w:t>Директива 2011/93/ЕС на Европейския парламент и на Съвета от 13 декември 2011 г. относно борбата със сексуалното насилие и със сексуалната експлоатация на деца, както и с детската порнография и за замяна на Рамково решение 2004/68/ПВР на Съвета, ОВ L 335, 17.12.2011 г., стр. 1.</w:t>
      </w:r>
    </w:p>
  </w:footnote>
  <w:footnote w:id="8">
    <w:p>
      <w:pPr>
        <w:pStyle w:val="FootnoteText"/>
        <w:spacing w:after="0"/>
        <w:rPr>
          <w:rFonts w:ascii="Times New Roman" w:hAnsi="Times New Roman" w:cs="Times New Roman"/>
          <w:sz w:val="20"/>
        </w:rPr>
      </w:pPr>
      <w:r>
        <w:rPr>
          <w:rStyle w:val="FootnoteReference"/>
          <w:rFonts w:ascii="Times New Roman" w:hAnsi="Times New Roman"/>
          <w:sz w:val="20"/>
        </w:rPr>
        <w:footnoteRef/>
      </w:r>
      <w:r>
        <w:tab/>
      </w:r>
      <w:r>
        <w:rPr>
          <w:rFonts w:ascii="Times New Roman" w:hAnsi="Times New Roman"/>
          <w:spacing w:val="-8"/>
          <w:sz w:val="20"/>
        </w:rPr>
        <w:t xml:space="preserve">Вж. статистиката на Евростат: </w:t>
      </w:r>
      <w:hyperlink r:id="rId1">
        <w:r>
          <w:rPr>
            <w:rStyle w:val="Hyperlink"/>
            <w:rFonts w:ascii="Times New Roman" w:hAnsi="Times New Roman"/>
            <w:spacing w:val="-8"/>
            <w:sz w:val="20"/>
          </w:rPr>
          <w:t>http://ec.europa.eu/eurostat/statistics-explained/index.php/File:Non-</w:t>
        </w:r>
      </w:hyperlink>
      <w:r>
        <w:tab/>
      </w:r>
      <w:r>
        <w:rPr>
          <w:rFonts w:ascii="Times New Roman" w:hAnsi="Times New Roman"/>
          <w:sz w:val="20"/>
        </w:rPr>
        <w:t>national_population_by_group_of_citizenship,_1_January_2016_(%C2%B9).png</w:t>
      </w:r>
    </w:p>
  </w:footnote>
  <w:footnote w:id="9">
    <w:p>
      <w:pPr>
        <w:pStyle w:val="FootnoteText"/>
        <w:ind w:left="709" w:hanging="709"/>
        <w:rPr>
          <w:rFonts w:ascii="Times New Roman" w:hAnsi="Times New Roman" w:cs="Times New Roman"/>
          <w:sz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Рамково решение 2008/675/ПВР на Съвета за вземане предвид присъдите, постановени в държавите — членки на Европейския съюз, в хода на новообразувани наказателни производства, ОВ L 220, 15.8.2008 г., стр. 32.</w:t>
      </w:r>
    </w:p>
  </w:footnote>
  <w:footnote w:id="10">
    <w:p>
      <w:pPr>
        <w:pStyle w:val="FootnoteText"/>
        <w:ind w:left="709" w:hanging="709"/>
        <w:rPr>
          <w:rFonts w:ascii="Times New Roman" w:hAnsi="Times New Roman" w:cs="Times New Roman"/>
          <w:sz w:val="20"/>
        </w:rPr>
      </w:pPr>
      <w:r>
        <w:rPr>
          <w:rStyle w:val="FootnoteReference"/>
          <w:rFonts w:ascii="Times New Roman" w:hAnsi="Times New Roman"/>
          <w:sz w:val="20"/>
        </w:rPr>
        <w:footnoteRef/>
      </w:r>
      <w:r>
        <w:t xml:space="preserve"> </w:t>
      </w:r>
      <w:r>
        <w:tab/>
      </w:r>
      <w:r>
        <w:rPr>
          <w:rFonts w:ascii="Times New Roman" w:hAnsi="Times New Roman"/>
          <w:sz w:val="20"/>
        </w:rPr>
        <w:t>Други отговори са например откриването на повече от едно лице, когато някое от лицата не е гражданин на държавата членка, получила искането, и т.н.</w:t>
      </w:r>
    </w:p>
  </w:footnote>
  <w:footnote w:id="11">
    <w:p>
      <w:pPr>
        <w:pStyle w:val="FootnoteText"/>
        <w:ind w:left="709" w:hanging="709"/>
        <w:jc w:val="both"/>
        <w:rPr>
          <w:rFonts w:ascii="Times New Roman" w:hAnsi="Times New Roman" w:cs="Times New Roman"/>
          <w:sz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За сравнителната таблица с най-активните държави членки по отношение на обема на изпращане на нотификации, искания и отговори (отделно по категория) — вж. приложението, раздел 1.2.</w:t>
      </w:r>
    </w:p>
  </w:footnote>
  <w:footnote w:id="12">
    <w:p>
      <w:pPr>
        <w:pStyle w:val="FootnoteText"/>
        <w:rPr>
          <w:rFonts w:ascii="Times New Roman" w:hAnsi="Times New Roman" w:cs="Times New Roman"/>
          <w:sz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Вж. също таблица в приложението, раздел 1.7.</w:t>
      </w:r>
    </w:p>
  </w:footnote>
  <w:footnote w:id="13">
    <w:p>
      <w:pPr>
        <w:pStyle w:val="FootnoteText"/>
        <w:rPr>
          <w:rFonts w:ascii="Times New Roman" w:hAnsi="Times New Roman" w:cs="Times New Roman"/>
          <w:sz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Вж. бележка под линия 9. Вж. също така таблицата в приложението, раздел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27B5"/>
    <w:multiLevelType w:val="hybridMultilevel"/>
    <w:tmpl w:val="587E3CAE"/>
    <w:lvl w:ilvl="0" w:tplc="147079E8">
      <w:start w:val="1"/>
      <w:numFmt w:val="bullet"/>
      <w:pStyle w:val="Listbullet2cm"/>
      <w:lvlText w:val=""/>
      <w:lvlJc w:val="left"/>
      <w:pPr>
        <w:tabs>
          <w:tab w:val="num" w:pos="1494"/>
        </w:tabs>
        <w:ind w:left="1474" w:hanging="340"/>
      </w:pPr>
      <w:rPr>
        <w:rFonts w:ascii="Symbol" w:hAnsi="Symbol" w:hint="default"/>
        <w:sz w:val="20"/>
      </w:rPr>
    </w:lvl>
    <w:lvl w:ilvl="1" w:tplc="2752F458">
      <w:start w:val="1"/>
      <w:numFmt w:val="bullet"/>
      <w:pStyle w:val="Listbullet2cm"/>
      <w:lvlText w:val=""/>
      <w:lvlJc w:val="left"/>
      <w:pPr>
        <w:tabs>
          <w:tab w:val="num" w:pos="1440"/>
        </w:tabs>
        <w:ind w:left="1420" w:hanging="340"/>
      </w:pPr>
      <w:rPr>
        <w:rFonts w:ascii="Symbol" w:hAnsi="Symbol" w:hint="default"/>
      </w:rPr>
    </w:lvl>
    <w:lvl w:ilvl="2" w:tplc="53A40F5C" w:tentative="1">
      <w:start w:val="1"/>
      <w:numFmt w:val="bullet"/>
      <w:lvlText w:val=""/>
      <w:lvlJc w:val="left"/>
      <w:pPr>
        <w:tabs>
          <w:tab w:val="num" w:pos="2160"/>
        </w:tabs>
        <w:ind w:left="2160" w:hanging="360"/>
      </w:pPr>
      <w:rPr>
        <w:rFonts w:ascii="Wingdings" w:hAnsi="Wingdings" w:hint="default"/>
      </w:rPr>
    </w:lvl>
    <w:lvl w:ilvl="3" w:tplc="7A2C8FDE" w:tentative="1">
      <w:start w:val="1"/>
      <w:numFmt w:val="bullet"/>
      <w:lvlText w:val=""/>
      <w:lvlJc w:val="left"/>
      <w:pPr>
        <w:tabs>
          <w:tab w:val="num" w:pos="2880"/>
        </w:tabs>
        <w:ind w:left="2880" w:hanging="360"/>
      </w:pPr>
      <w:rPr>
        <w:rFonts w:ascii="Symbol" w:hAnsi="Symbol" w:hint="default"/>
      </w:rPr>
    </w:lvl>
    <w:lvl w:ilvl="4" w:tplc="B874C7CC" w:tentative="1">
      <w:start w:val="1"/>
      <w:numFmt w:val="bullet"/>
      <w:lvlText w:val="o"/>
      <w:lvlJc w:val="left"/>
      <w:pPr>
        <w:tabs>
          <w:tab w:val="num" w:pos="3600"/>
        </w:tabs>
        <w:ind w:left="3600" w:hanging="360"/>
      </w:pPr>
      <w:rPr>
        <w:rFonts w:ascii="Courier New" w:hAnsi="Courier New" w:hint="default"/>
      </w:rPr>
    </w:lvl>
    <w:lvl w:ilvl="5" w:tplc="63D690E6" w:tentative="1">
      <w:start w:val="1"/>
      <w:numFmt w:val="bullet"/>
      <w:lvlText w:val=""/>
      <w:lvlJc w:val="left"/>
      <w:pPr>
        <w:tabs>
          <w:tab w:val="num" w:pos="4320"/>
        </w:tabs>
        <w:ind w:left="4320" w:hanging="360"/>
      </w:pPr>
      <w:rPr>
        <w:rFonts w:ascii="Wingdings" w:hAnsi="Wingdings" w:hint="default"/>
      </w:rPr>
    </w:lvl>
    <w:lvl w:ilvl="6" w:tplc="2D3E0C88" w:tentative="1">
      <w:start w:val="1"/>
      <w:numFmt w:val="bullet"/>
      <w:lvlText w:val=""/>
      <w:lvlJc w:val="left"/>
      <w:pPr>
        <w:tabs>
          <w:tab w:val="num" w:pos="5040"/>
        </w:tabs>
        <w:ind w:left="5040" w:hanging="360"/>
      </w:pPr>
      <w:rPr>
        <w:rFonts w:ascii="Symbol" w:hAnsi="Symbol" w:hint="default"/>
      </w:rPr>
    </w:lvl>
    <w:lvl w:ilvl="7" w:tplc="0AEC5C3E" w:tentative="1">
      <w:start w:val="1"/>
      <w:numFmt w:val="bullet"/>
      <w:lvlText w:val="o"/>
      <w:lvlJc w:val="left"/>
      <w:pPr>
        <w:tabs>
          <w:tab w:val="num" w:pos="5760"/>
        </w:tabs>
        <w:ind w:left="5760" w:hanging="360"/>
      </w:pPr>
      <w:rPr>
        <w:rFonts w:ascii="Courier New" w:hAnsi="Courier New" w:hint="default"/>
      </w:rPr>
    </w:lvl>
    <w:lvl w:ilvl="8" w:tplc="180A8BE6" w:tentative="1">
      <w:start w:val="1"/>
      <w:numFmt w:val="bullet"/>
      <w:lvlText w:val=""/>
      <w:lvlJc w:val="left"/>
      <w:pPr>
        <w:tabs>
          <w:tab w:val="num" w:pos="6480"/>
        </w:tabs>
        <w:ind w:left="6480" w:hanging="360"/>
      </w:pPr>
      <w:rPr>
        <w:rFonts w:ascii="Wingdings" w:hAnsi="Wingdings" w:hint="default"/>
      </w:rPr>
    </w:lvl>
  </w:abstractNum>
  <w:abstractNum w:abstractNumId="1">
    <w:nsid w:val="01A431A5"/>
    <w:multiLevelType w:val="singleLevel"/>
    <w:tmpl w:val="FCDAD016"/>
    <w:lvl w:ilvl="0">
      <w:start w:val="1"/>
      <w:numFmt w:val="bullet"/>
      <w:pStyle w:val="ListBullet1"/>
      <w:lvlText w:val=""/>
      <w:lvlJc w:val="left"/>
      <w:pPr>
        <w:tabs>
          <w:tab w:val="num" w:pos="360"/>
        </w:tabs>
        <w:ind w:left="360" w:hanging="360"/>
      </w:pPr>
      <w:rPr>
        <w:rFonts w:ascii="Wingdings" w:hAnsi="Wingdings" w:hint="default"/>
      </w:rPr>
    </w:lvl>
  </w:abstractNum>
  <w:abstractNum w:abstractNumId="2">
    <w:nsid w:val="061C00CF"/>
    <w:multiLevelType w:val="hybridMultilevel"/>
    <w:tmpl w:val="ABCAFF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F20208"/>
    <w:multiLevelType w:val="singleLevel"/>
    <w:tmpl w:val="B5AC3962"/>
    <w:lvl w:ilvl="0">
      <w:start w:val="1"/>
      <w:numFmt w:val="bullet"/>
      <w:pStyle w:val="Bullet"/>
      <w:lvlText w:val=""/>
      <w:lvlJc w:val="left"/>
      <w:pPr>
        <w:tabs>
          <w:tab w:val="num" w:pos="360"/>
        </w:tabs>
        <w:ind w:left="360" w:hanging="360"/>
      </w:pPr>
      <w:rPr>
        <w:rFonts w:ascii="Symbol" w:hAnsi="Symbol" w:hint="default"/>
      </w:rPr>
    </w:lvl>
  </w:abstractNum>
  <w:abstractNum w:abstractNumId="4">
    <w:nsid w:val="0EA86DCF"/>
    <w:multiLevelType w:val="hybridMultilevel"/>
    <w:tmpl w:val="023E7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D3773A"/>
    <w:multiLevelType w:val="singleLevel"/>
    <w:tmpl w:val="18CA76E8"/>
    <w:lvl w:ilvl="0">
      <w:start w:val="1"/>
      <w:numFmt w:val="bullet"/>
      <w:pStyle w:val="TaBult1"/>
      <w:lvlText w:val=""/>
      <w:lvlJc w:val="left"/>
      <w:pPr>
        <w:tabs>
          <w:tab w:val="num" w:pos="360"/>
        </w:tabs>
        <w:ind w:left="360" w:hanging="360"/>
      </w:pPr>
      <w:rPr>
        <w:rFonts w:ascii="Wingdings" w:hAnsi="Wingdings" w:hint="default"/>
      </w:rPr>
    </w:lvl>
  </w:abstractNum>
  <w:abstractNum w:abstractNumId="6">
    <w:nsid w:val="20231E57"/>
    <w:multiLevelType w:val="singleLevel"/>
    <w:tmpl w:val="B5E20F18"/>
    <w:lvl w:ilvl="0">
      <w:start w:val="1"/>
      <w:numFmt w:val="bullet"/>
      <w:pStyle w:val="Bullet1"/>
      <w:lvlText w:val=""/>
      <w:lvlJc w:val="left"/>
      <w:pPr>
        <w:tabs>
          <w:tab w:val="num" w:pos="360"/>
        </w:tabs>
        <w:ind w:left="360" w:hanging="360"/>
      </w:pPr>
      <w:rPr>
        <w:rFonts w:ascii="Symbol" w:hAnsi="Symbol" w:hint="default"/>
      </w:rPr>
    </w:lvl>
  </w:abstractNum>
  <w:abstractNum w:abstractNumId="7">
    <w:nsid w:val="22E44180"/>
    <w:multiLevelType w:val="multilevel"/>
    <w:tmpl w:val="6C90453A"/>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3CF01AE"/>
    <w:multiLevelType w:val="multilevel"/>
    <w:tmpl w:val="1E66B5CC"/>
    <w:lvl w:ilvl="0">
      <w:start w:val="1"/>
      <w:numFmt w:val="bullet"/>
      <w:pStyle w:val="List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B75631B"/>
    <w:multiLevelType w:val="singleLevel"/>
    <w:tmpl w:val="D1F2C4D8"/>
    <w:lvl w:ilvl="0">
      <w:start w:val="1"/>
      <w:numFmt w:val="bullet"/>
      <w:pStyle w:val="ListNumber"/>
      <w:lvlText w:val=""/>
      <w:lvlJc w:val="left"/>
      <w:pPr>
        <w:tabs>
          <w:tab w:val="num" w:pos="765"/>
        </w:tabs>
        <w:ind w:left="765" w:hanging="283"/>
      </w:pPr>
      <w:rPr>
        <w:rFonts w:ascii="Symbol" w:hAnsi="Symbol"/>
      </w:rPr>
    </w:lvl>
  </w:abstractNum>
  <w:abstractNum w:abstractNumId="10">
    <w:nsid w:val="2CD40552"/>
    <w:multiLevelType w:val="hybridMultilevel"/>
    <w:tmpl w:val="726C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144D28"/>
    <w:multiLevelType w:val="singleLevel"/>
    <w:tmpl w:val="6DC45E2C"/>
    <w:lvl w:ilvl="0">
      <w:start w:val="1"/>
      <w:numFmt w:val="bullet"/>
      <w:pStyle w:val="Bullet10"/>
      <w:lvlText w:val=""/>
      <w:lvlJc w:val="left"/>
      <w:pPr>
        <w:tabs>
          <w:tab w:val="num" w:pos="360"/>
        </w:tabs>
        <w:ind w:left="360" w:hanging="360"/>
      </w:pPr>
      <w:rPr>
        <w:rFonts w:ascii="Symbol" w:hAnsi="Symbol" w:hint="default"/>
      </w:rPr>
    </w:lvl>
  </w:abstractNum>
  <w:abstractNum w:abstractNumId="12">
    <w:nsid w:val="3C914D61"/>
    <w:multiLevelType w:val="singleLevel"/>
    <w:tmpl w:val="C2F6FA2A"/>
    <w:lvl w:ilvl="0">
      <w:start w:val="1"/>
      <w:numFmt w:val="decimal"/>
      <w:pStyle w:val="Listnumber2cm"/>
      <w:lvlText w:val="%1"/>
      <w:lvlJc w:val="left"/>
      <w:pPr>
        <w:tabs>
          <w:tab w:val="num" w:pos="1701"/>
        </w:tabs>
        <w:ind w:left="1701" w:hanging="567"/>
      </w:pPr>
      <w:rPr>
        <w:rFonts w:hint="default"/>
      </w:rPr>
    </w:lvl>
  </w:abstractNum>
  <w:abstractNum w:abstractNumId="13">
    <w:nsid w:val="3E503334"/>
    <w:multiLevelType w:val="hybridMultilevel"/>
    <w:tmpl w:val="53A41F24"/>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4AA7DEB"/>
    <w:multiLevelType w:val="singleLevel"/>
    <w:tmpl w:val="5798E670"/>
    <w:lvl w:ilvl="0">
      <w:start w:val="1"/>
      <w:numFmt w:val="bullet"/>
      <w:pStyle w:val="Puce2"/>
      <w:lvlText w:val=""/>
      <w:lvlJc w:val="left"/>
      <w:pPr>
        <w:tabs>
          <w:tab w:val="num" w:pos="927"/>
        </w:tabs>
        <w:ind w:left="907" w:hanging="340"/>
      </w:pPr>
      <w:rPr>
        <w:rFonts w:ascii="Wingdings" w:hAnsi="Wingdings" w:hint="default"/>
      </w:rPr>
    </w:lvl>
  </w:abstractNum>
  <w:abstractNum w:abstractNumId="15">
    <w:nsid w:val="465D172F"/>
    <w:multiLevelType w:val="multilevel"/>
    <w:tmpl w:val="9CBAF6BE"/>
    <w:lvl w:ilvl="0">
      <w:start w:val="1"/>
      <w:numFmt w:val="decimal"/>
      <w:pStyle w:val="ListNumber1"/>
      <w:lvlText w:val="(%1)"/>
      <w:lvlJc w:val="left"/>
      <w:pPr>
        <w:tabs>
          <w:tab w:val="num" w:pos="1191"/>
        </w:tabs>
        <w:ind w:left="1191" w:hanging="709"/>
      </w:pPr>
      <w:rPr>
        <w:rFonts w:hint="default"/>
      </w:rPr>
    </w:lvl>
    <w:lvl w:ilvl="1">
      <w:start w:val="1"/>
      <w:numFmt w:val="lowerLetter"/>
      <w:pStyle w:val="ListNumber1Level2"/>
      <w:lvlText w:val="(%2)"/>
      <w:lvlJc w:val="left"/>
      <w:pPr>
        <w:tabs>
          <w:tab w:val="num" w:pos="1899"/>
        </w:tabs>
        <w:ind w:left="1899" w:hanging="708"/>
      </w:pPr>
      <w:rPr>
        <w:rFonts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4C3B30B9"/>
    <w:multiLevelType w:val="hybridMultilevel"/>
    <w:tmpl w:val="AD448F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EF12FAC"/>
    <w:multiLevelType w:val="hybridMultilevel"/>
    <w:tmpl w:val="DA3CDF7E"/>
    <w:lvl w:ilvl="0" w:tplc="E06C52E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2195C26"/>
    <w:multiLevelType w:val="singleLevel"/>
    <w:tmpl w:val="2A2099E6"/>
    <w:lvl w:ilvl="0">
      <w:start w:val="1"/>
      <w:numFmt w:val="bullet"/>
      <w:pStyle w:val="Lista"/>
      <w:lvlText w:val=""/>
      <w:lvlJc w:val="left"/>
      <w:pPr>
        <w:tabs>
          <w:tab w:val="num" w:pos="360"/>
        </w:tabs>
        <w:ind w:left="360" w:hanging="360"/>
      </w:pPr>
      <w:rPr>
        <w:rFonts w:ascii="Symbol" w:hAnsi="Symbol" w:hint="default"/>
      </w:rPr>
    </w:lvl>
  </w:abstractNum>
  <w:abstractNum w:abstractNumId="19">
    <w:nsid w:val="5BB02CEE"/>
    <w:multiLevelType w:val="hybridMultilevel"/>
    <w:tmpl w:val="A478F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5EA11F0"/>
    <w:multiLevelType w:val="hybridMultilevel"/>
    <w:tmpl w:val="16D07B52"/>
    <w:lvl w:ilvl="0" w:tplc="E898B9B8">
      <w:start w:val="1"/>
      <w:numFmt w:val="bullet"/>
      <w:pStyle w:val="Listbullet1cm"/>
      <w:lvlText w:val=""/>
      <w:lvlJc w:val="left"/>
      <w:pPr>
        <w:tabs>
          <w:tab w:val="num" w:pos="1647"/>
        </w:tabs>
        <w:ind w:left="1627" w:hanging="340"/>
      </w:pPr>
      <w:rPr>
        <w:rFonts w:ascii="Symbol" w:hAnsi="Symbol" w:hint="default"/>
        <w:sz w:val="20"/>
      </w:rPr>
    </w:lvl>
    <w:lvl w:ilvl="1" w:tplc="387C74FA" w:tentative="1">
      <w:start w:val="1"/>
      <w:numFmt w:val="bullet"/>
      <w:lvlText w:val="o"/>
      <w:lvlJc w:val="left"/>
      <w:pPr>
        <w:tabs>
          <w:tab w:val="num" w:pos="1440"/>
        </w:tabs>
        <w:ind w:left="1440" w:hanging="360"/>
      </w:pPr>
      <w:rPr>
        <w:rFonts w:ascii="Courier New" w:hAnsi="Courier New" w:hint="default"/>
      </w:rPr>
    </w:lvl>
    <w:lvl w:ilvl="2" w:tplc="3B7E9B3E" w:tentative="1">
      <w:start w:val="1"/>
      <w:numFmt w:val="bullet"/>
      <w:lvlText w:val=""/>
      <w:lvlJc w:val="left"/>
      <w:pPr>
        <w:tabs>
          <w:tab w:val="num" w:pos="2160"/>
        </w:tabs>
        <w:ind w:left="2160" w:hanging="360"/>
      </w:pPr>
      <w:rPr>
        <w:rFonts w:ascii="Wingdings" w:hAnsi="Wingdings" w:hint="default"/>
      </w:rPr>
    </w:lvl>
    <w:lvl w:ilvl="3" w:tplc="24345B38" w:tentative="1">
      <w:start w:val="1"/>
      <w:numFmt w:val="bullet"/>
      <w:lvlText w:val=""/>
      <w:lvlJc w:val="left"/>
      <w:pPr>
        <w:tabs>
          <w:tab w:val="num" w:pos="2880"/>
        </w:tabs>
        <w:ind w:left="2880" w:hanging="360"/>
      </w:pPr>
      <w:rPr>
        <w:rFonts w:ascii="Symbol" w:hAnsi="Symbol" w:hint="default"/>
      </w:rPr>
    </w:lvl>
    <w:lvl w:ilvl="4" w:tplc="C8B8E8CC" w:tentative="1">
      <w:start w:val="1"/>
      <w:numFmt w:val="bullet"/>
      <w:lvlText w:val="o"/>
      <w:lvlJc w:val="left"/>
      <w:pPr>
        <w:tabs>
          <w:tab w:val="num" w:pos="3600"/>
        </w:tabs>
        <w:ind w:left="3600" w:hanging="360"/>
      </w:pPr>
      <w:rPr>
        <w:rFonts w:ascii="Courier New" w:hAnsi="Courier New" w:hint="default"/>
      </w:rPr>
    </w:lvl>
    <w:lvl w:ilvl="5" w:tplc="83DABCBE" w:tentative="1">
      <w:start w:val="1"/>
      <w:numFmt w:val="bullet"/>
      <w:lvlText w:val=""/>
      <w:lvlJc w:val="left"/>
      <w:pPr>
        <w:tabs>
          <w:tab w:val="num" w:pos="4320"/>
        </w:tabs>
        <w:ind w:left="4320" w:hanging="360"/>
      </w:pPr>
      <w:rPr>
        <w:rFonts w:ascii="Wingdings" w:hAnsi="Wingdings" w:hint="default"/>
      </w:rPr>
    </w:lvl>
    <w:lvl w:ilvl="6" w:tplc="65D04D92" w:tentative="1">
      <w:start w:val="1"/>
      <w:numFmt w:val="bullet"/>
      <w:lvlText w:val=""/>
      <w:lvlJc w:val="left"/>
      <w:pPr>
        <w:tabs>
          <w:tab w:val="num" w:pos="5040"/>
        </w:tabs>
        <w:ind w:left="5040" w:hanging="360"/>
      </w:pPr>
      <w:rPr>
        <w:rFonts w:ascii="Symbol" w:hAnsi="Symbol" w:hint="default"/>
      </w:rPr>
    </w:lvl>
    <w:lvl w:ilvl="7" w:tplc="476C85D6" w:tentative="1">
      <w:start w:val="1"/>
      <w:numFmt w:val="bullet"/>
      <w:lvlText w:val="o"/>
      <w:lvlJc w:val="left"/>
      <w:pPr>
        <w:tabs>
          <w:tab w:val="num" w:pos="5760"/>
        </w:tabs>
        <w:ind w:left="5760" w:hanging="360"/>
      </w:pPr>
      <w:rPr>
        <w:rFonts w:ascii="Courier New" w:hAnsi="Courier New" w:hint="default"/>
      </w:rPr>
    </w:lvl>
    <w:lvl w:ilvl="8" w:tplc="DF8A4592" w:tentative="1">
      <w:start w:val="1"/>
      <w:numFmt w:val="bullet"/>
      <w:lvlText w:val=""/>
      <w:lvlJc w:val="left"/>
      <w:pPr>
        <w:tabs>
          <w:tab w:val="num" w:pos="6480"/>
        </w:tabs>
        <w:ind w:left="6480" w:hanging="360"/>
      </w:pPr>
      <w:rPr>
        <w:rFonts w:ascii="Wingdings" w:hAnsi="Wingdings" w:hint="default"/>
      </w:rPr>
    </w:lvl>
  </w:abstractNum>
  <w:abstractNum w:abstractNumId="21">
    <w:nsid w:val="662B5C67"/>
    <w:multiLevelType w:val="singleLevel"/>
    <w:tmpl w:val="8F10F890"/>
    <w:lvl w:ilvl="0">
      <w:start w:val="1"/>
      <w:numFmt w:val="bullet"/>
      <w:pStyle w:val="BodyTextIndent"/>
      <w:lvlText w:val="–"/>
      <w:lvlJc w:val="left"/>
      <w:pPr>
        <w:tabs>
          <w:tab w:val="num" w:pos="283"/>
        </w:tabs>
        <w:ind w:left="283" w:hanging="283"/>
      </w:pPr>
      <w:rPr>
        <w:rFonts w:ascii="Times New Roman" w:hAnsi="Times New Roman"/>
      </w:rPr>
    </w:lvl>
  </w:abstractNum>
  <w:abstractNum w:abstractNumId="22">
    <w:nsid w:val="66C02E3F"/>
    <w:multiLevelType w:val="hybridMultilevel"/>
    <w:tmpl w:val="91B0992A"/>
    <w:lvl w:ilvl="0" w:tplc="BE84792A">
      <w:start w:val="1"/>
      <w:numFmt w:val="decimal"/>
      <w:lvlText w:val="%1."/>
      <w:lvlJc w:val="left"/>
      <w:pPr>
        <w:tabs>
          <w:tab w:val="num" w:pos="720"/>
        </w:tabs>
        <w:ind w:left="720" w:hanging="360"/>
      </w:pPr>
    </w:lvl>
    <w:lvl w:ilvl="1" w:tplc="AB4ADF3A">
      <w:start w:val="1"/>
      <w:numFmt w:val="bullet"/>
      <w:pStyle w:val="TableBullet"/>
      <w:lvlText w:val=""/>
      <w:lvlJc w:val="left"/>
      <w:pPr>
        <w:tabs>
          <w:tab w:val="num" w:pos="1440"/>
        </w:tabs>
        <w:ind w:left="1420" w:hanging="340"/>
      </w:pPr>
      <w:rPr>
        <w:rFonts w:ascii="Symbol" w:hAnsi="Symbol" w:hint="default"/>
      </w:rPr>
    </w:lvl>
    <w:lvl w:ilvl="2" w:tplc="728012D0">
      <w:start w:val="1"/>
      <w:numFmt w:val="lowerRoman"/>
      <w:lvlText w:val="%3."/>
      <w:lvlJc w:val="right"/>
      <w:pPr>
        <w:tabs>
          <w:tab w:val="num" w:pos="2160"/>
        </w:tabs>
        <w:ind w:left="2160" w:hanging="180"/>
      </w:pPr>
    </w:lvl>
    <w:lvl w:ilvl="3" w:tplc="188E441A" w:tentative="1">
      <w:start w:val="1"/>
      <w:numFmt w:val="decimal"/>
      <w:lvlText w:val="%4."/>
      <w:lvlJc w:val="left"/>
      <w:pPr>
        <w:tabs>
          <w:tab w:val="num" w:pos="2880"/>
        </w:tabs>
        <w:ind w:left="2880" w:hanging="360"/>
      </w:pPr>
    </w:lvl>
    <w:lvl w:ilvl="4" w:tplc="FD262742" w:tentative="1">
      <w:start w:val="1"/>
      <w:numFmt w:val="lowerLetter"/>
      <w:lvlText w:val="%5."/>
      <w:lvlJc w:val="left"/>
      <w:pPr>
        <w:tabs>
          <w:tab w:val="num" w:pos="3600"/>
        </w:tabs>
        <w:ind w:left="3600" w:hanging="360"/>
      </w:pPr>
    </w:lvl>
    <w:lvl w:ilvl="5" w:tplc="77C2C0B4" w:tentative="1">
      <w:start w:val="1"/>
      <w:numFmt w:val="lowerRoman"/>
      <w:lvlText w:val="%6."/>
      <w:lvlJc w:val="right"/>
      <w:pPr>
        <w:tabs>
          <w:tab w:val="num" w:pos="4320"/>
        </w:tabs>
        <w:ind w:left="4320" w:hanging="180"/>
      </w:pPr>
    </w:lvl>
    <w:lvl w:ilvl="6" w:tplc="38D81E78" w:tentative="1">
      <w:start w:val="1"/>
      <w:numFmt w:val="decimal"/>
      <w:lvlText w:val="%7."/>
      <w:lvlJc w:val="left"/>
      <w:pPr>
        <w:tabs>
          <w:tab w:val="num" w:pos="5040"/>
        </w:tabs>
        <w:ind w:left="5040" w:hanging="360"/>
      </w:pPr>
    </w:lvl>
    <w:lvl w:ilvl="7" w:tplc="20EC8814" w:tentative="1">
      <w:start w:val="1"/>
      <w:numFmt w:val="lowerLetter"/>
      <w:lvlText w:val="%8."/>
      <w:lvlJc w:val="left"/>
      <w:pPr>
        <w:tabs>
          <w:tab w:val="num" w:pos="5760"/>
        </w:tabs>
        <w:ind w:left="5760" w:hanging="360"/>
      </w:pPr>
    </w:lvl>
    <w:lvl w:ilvl="8" w:tplc="EF3C8C46" w:tentative="1">
      <w:start w:val="1"/>
      <w:numFmt w:val="lowerRoman"/>
      <w:lvlText w:val="%9."/>
      <w:lvlJc w:val="right"/>
      <w:pPr>
        <w:tabs>
          <w:tab w:val="num" w:pos="6480"/>
        </w:tabs>
        <w:ind w:left="6480" w:hanging="180"/>
      </w:pPr>
    </w:lvl>
  </w:abstractNum>
  <w:abstractNum w:abstractNumId="23">
    <w:nsid w:val="67381CEE"/>
    <w:multiLevelType w:val="hybridMultilevel"/>
    <w:tmpl w:val="BAF01B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858419E"/>
    <w:multiLevelType w:val="multilevel"/>
    <w:tmpl w:val="DDD0F768"/>
    <w:lvl w:ilvl="0">
      <w:start w:val="1"/>
      <w:numFmt w:val="bullet"/>
      <w:pStyle w:val="SteriaBullet"/>
      <w:lvlText w:val=""/>
      <w:lvlJc w:val="left"/>
      <w:pPr>
        <w:tabs>
          <w:tab w:val="num" w:pos="4235"/>
        </w:tabs>
        <w:ind w:left="4235" w:hanging="360"/>
      </w:pPr>
      <w:rPr>
        <w:rFonts w:ascii="Wingdings" w:hAnsi="Wingdings" w:hint="default"/>
        <w:color w:val="FF5900"/>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6AE4708B"/>
    <w:multiLevelType w:val="hybridMultilevel"/>
    <w:tmpl w:val="9654C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D6764EE"/>
    <w:multiLevelType w:val="multilevel"/>
    <w:tmpl w:val="590CAE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3130"/>
        </w:tabs>
        <w:ind w:left="3130" w:hanging="720"/>
      </w:pPr>
    </w:lvl>
    <w:lvl w:ilvl="3">
      <w:start w:val="1"/>
      <w:numFmt w:val="decimal"/>
      <w:pStyle w:val="Heading4"/>
      <w:lvlText w:val="%1.%2.%3.%4"/>
      <w:lvlJc w:val="left"/>
      <w:pPr>
        <w:tabs>
          <w:tab w:val="num" w:pos="3842"/>
        </w:tabs>
        <w:ind w:left="3842" w:hanging="864"/>
      </w:pPr>
    </w:lvl>
    <w:lvl w:ilvl="4">
      <w:start w:val="1"/>
      <w:numFmt w:val="decimal"/>
      <w:pStyle w:val="Heading5"/>
      <w:lvlText w:val="%1.%2.%3.%4.%5"/>
      <w:lvlJc w:val="left"/>
      <w:pPr>
        <w:tabs>
          <w:tab w:val="num" w:pos="4269"/>
        </w:tabs>
        <w:ind w:left="4269"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7">
    <w:nsid w:val="74A06403"/>
    <w:multiLevelType w:val="hybridMultilevel"/>
    <w:tmpl w:val="9F4A8AF2"/>
    <w:lvl w:ilvl="0" w:tplc="DC7AC5D2">
      <w:start w:val="1"/>
      <w:numFmt w:val="decimal"/>
      <w:pStyle w:val="Listnumber1cm"/>
      <w:lvlText w:val="%1"/>
      <w:lvlJc w:val="left"/>
      <w:pPr>
        <w:tabs>
          <w:tab w:val="num" w:pos="927"/>
        </w:tabs>
        <w:ind w:left="851" w:hanging="284"/>
      </w:pPr>
      <w:rPr>
        <w:rFonts w:hint="default"/>
      </w:rPr>
    </w:lvl>
    <w:lvl w:ilvl="1" w:tplc="AFFCEF48" w:tentative="1">
      <w:start w:val="1"/>
      <w:numFmt w:val="lowerLetter"/>
      <w:lvlText w:val="%2."/>
      <w:lvlJc w:val="left"/>
      <w:pPr>
        <w:tabs>
          <w:tab w:val="num" w:pos="1440"/>
        </w:tabs>
        <w:ind w:left="1440" w:hanging="360"/>
      </w:pPr>
    </w:lvl>
    <w:lvl w:ilvl="2" w:tplc="279CE068" w:tentative="1">
      <w:start w:val="1"/>
      <w:numFmt w:val="lowerRoman"/>
      <w:lvlText w:val="%3."/>
      <w:lvlJc w:val="right"/>
      <w:pPr>
        <w:tabs>
          <w:tab w:val="num" w:pos="2160"/>
        </w:tabs>
        <w:ind w:left="2160" w:hanging="180"/>
      </w:pPr>
    </w:lvl>
    <w:lvl w:ilvl="3" w:tplc="BA000492" w:tentative="1">
      <w:start w:val="1"/>
      <w:numFmt w:val="decimal"/>
      <w:lvlText w:val="%4."/>
      <w:lvlJc w:val="left"/>
      <w:pPr>
        <w:tabs>
          <w:tab w:val="num" w:pos="2880"/>
        </w:tabs>
        <w:ind w:left="2880" w:hanging="360"/>
      </w:pPr>
    </w:lvl>
    <w:lvl w:ilvl="4" w:tplc="A1E8A902" w:tentative="1">
      <w:start w:val="1"/>
      <w:numFmt w:val="lowerLetter"/>
      <w:lvlText w:val="%5."/>
      <w:lvlJc w:val="left"/>
      <w:pPr>
        <w:tabs>
          <w:tab w:val="num" w:pos="3600"/>
        </w:tabs>
        <w:ind w:left="3600" w:hanging="360"/>
      </w:pPr>
    </w:lvl>
    <w:lvl w:ilvl="5" w:tplc="4D2E328A" w:tentative="1">
      <w:start w:val="1"/>
      <w:numFmt w:val="lowerRoman"/>
      <w:lvlText w:val="%6."/>
      <w:lvlJc w:val="right"/>
      <w:pPr>
        <w:tabs>
          <w:tab w:val="num" w:pos="4320"/>
        </w:tabs>
        <w:ind w:left="4320" w:hanging="180"/>
      </w:pPr>
    </w:lvl>
    <w:lvl w:ilvl="6" w:tplc="27E29162" w:tentative="1">
      <w:start w:val="1"/>
      <w:numFmt w:val="decimal"/>
      <w:lvlText w:val="%7."/>
      <w:lvlJc w:val="left"/>
      <w:pPr>
        <w:tabs>
          <w:tab w:val="num" w:pos="5040"/>
        </w:tabs>
        <w:ind w:left="5040" w:hanging="360"/>
      </w:pPr>
    </w:lvl>
    <w:lvl w:ilvl="7" w:tplc="D1B82ED0" w:tentative="1">
      <w:start w:val="1"/>
      <w:numFmt w:val="lowerLetter"/>
      <w:lvlText w:val="%8."/>
      <w:lvlJc w:val="left"/>
      <w:pPr>
        <w:tabs>
          <w:tab w:val="num" w:pos="5760"/>
        </w:tabs>
        <w:ind w:left="5760" w:hanging="360"/>
      </w:pPr>
    </w:lvl>
    <w:lvl w:ilvl="8" w:tplc="2C0A0A6A" w:tentative="1">
      <w:start w:val="1"/>
      <w:numFmt w:val="lowerRoman"/>
      <w:lvlText w:val="%9."/>
      <w:lvlJc w:val="right"/>
      <w:pPr>
        <w:tabs>
          <w:tab w:val="num" w:pos="6480"/>
        </w:tabs>
        <w:ind w:left="6480" w:hanging="180"/>
      </w:pPr>
    </w:lvl>
  </w:abstractNum>
  <w:abstractNum w:abstractNumId="28">
    <w:nsid w:val="7EE31169"/>
    <w:multiLevelType w:val="hybridMultilevel"/>
    <w:tmpl w:val="29BED7C2"/>
    <w:lvl w:ilvl="0" w:tplc="E06C52E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22"/>
  </w:num>
  <w:num w:numId="3">
    <w:abstractNumId w:val="0"/>
  </w:num>
  <w:num w:numId="4">
    <w:abstractNumId w:val="12"/>
  </w:num>
  <w:num w:numId="5">
    <w:abstractNumId w:val="20"/>
  </w:num>
  <w:num w:numId="6">
    <w:abstractNumId w:val="27"/>
  </w:num>
  <w:num w:numId="7">
    <w:abstractNumId w:val="15"/>
  </w:num>
  <w:num w:numId="8">
    <w:abstractNumId w:val="3"/>
  </w:num>
  <w:num w:numId="9">
    <w:abstractNumId w:val="6"/>
  </w:num>
  <w:num w:numId="10">
    <w:abstractNumId w:val="11"/>
  </w:num>
  <w:num w:numId="11">
    <w:abstractNumId w:val="18"/>
  </w:num>
  <w:num w:numId="12">
    <w:abstractNumId w:val="8"/>
  </w:num>
  <w:num w:numId="13">
    <w:abstractNumId w:val="1"/>
  </w:num>
  <w:num w:numId="14">
    <w:abstractNumId w:val="9"/>
  </w:num>
  <w:num w:numId="15">
    <w:abstractNumId w:val="14"/>
  </w:num>
  <w:num w:numId="16">
    <w:abstractNumId w:val="24"/>
  </w:num>
  <w:num w:numId="17">
    <w:abstractNumId w:val="5"/>
  </w:num>
  <w:num w:numId="18">
    <w:abstractNumId w:val="21"/>
  </w:num>
  <w:num w:numId="19">
    <w:abstractNumId w:val="10"/>
  </w:num>
  <w:num w:numId="20">
    <w:abstractNumId w:val="25"/>
  </w:num>
  <w:num w:numId="21">
    <w:abstractNumId w:val="7"/>
  </w:num>
  <w:num w:numId="22">
    <w:abstractNumId w:val="16"/>
  </w:num>
  <w:num w:numId="23">
    <w:abstractNumId w:val="26"/>
  </w:num>
  <w:num w:numId="24">
    <w:abstractNumId w:val="26"/>
  </w:num>
  <w:num w:numId="25">
    <w:abstractNumId w:val="26"/>
  </w:num>
  <w:num w:numId="26">
    <w:abstractNumId w:val="26"/>
  </w:num>
  <w:num w:numId="27">
    <w:abstractNumId w:val="13"/>
  </w:num>
  <w:num w:numId="28">
    <w:abstractNumId w:val="17"/>
  </w:num>
  <w:num w:numId="29">
    <w:abstractNumId w:val="28"/>
  </w:num>
  <w:num w:numId="30">
    <w:abstractNumId w:val="26"/>
  </w:num>
  <w:num w:numId="31">
    <w:abstractNumId w:val="19"/>
  </w:num>
  <w:num w:numId="32">
    <w:abstractNumId w:val="4"/>
  </w:num>
  <w:num w:numId="33">
    <w:abstractNumId w:val="26"/>
  </w:num>
  <w:num w:numId="34">
    <w:abstractNumId w:val="26"/>
  </w:num>
  <w:num w:numId="35">
    <w:abstractNumId w:val="26"/>
  </w:num>
  <w:num w:numId="36">
    <w:abstractNumId w:val="26"/>
  </w:num>
  <w:num w:numId="37">
    <w:abstractNumId w:val="26"/>
  </w:num>
  <w:num w:numId="38">
    <w:abstractNumId w:val="26"/>
  </w:num>
  <w:num w:numId="39">
    <w:abstractNumId w:val="26"/>
  </w:num>
  <w:num w:numId="40">
    <w:abstractNumId w:val="26"/>
  </w:num>
  <w:num w:numId="41">
    <w:abstractNumId w:val="2"/>
  </w:num>
  <w:num w:numId="42">
    <w:abstractNumId w:val="23"/>
  </w:num>
  <w:numIdMacAtCleanup w:val="22"/>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szula Karkowska">
    <w15:presenceInfo w15:providerId="Windows Live" w15:userId="166d648e068a8d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C7AE5FD0C3654EB2AC3A69A41B7AA54C"/>
    <w:docVar w:name="LW_CROSSREFERENCE" w:val="{SWD(2017) 242 final}"/>
    <w:docVar w:name="LW_DocType" w:val="NORMAL"/>
    <w:docVar w:name="LW_EMISSION" w:val="29.6.2017"/>
    <w:docVar w:name="LW_EMISSION_ISODATE" w:val="2017-06-29"/>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341"/>
    <w:docVar w:name="LW_REF.INTERNE" w:val="&lt;UNUSED&gt;"/>
    <w:docVar w:name="LW_SOUS.TITRE.OBJ.CP" w:val="&lt;UNUSED&gt;"/>
    <w:docVar w:name="LW_SUPERTITRE" w:val="&lt;UNUSED&gt;"/>
    <w:docVar w:name="LW_TITRE.OBJ.CP" w:val="\u1086?\u1090?\u1085?\u1086?\u1089?\u1085?\u1086? \u1086?\u1073?\u1084?\u1077?\u1085?\u1072? \u1095?\u1088?\u1077?\u1079? \u1045?\u1074?\u1088?\u1086?\u1087?\u1077?\u1081?\u1089?\u1082?\u1072?\u1090?\u1072? \u1080?\u1085?\u1092?\u1086?\u1088?\u1084?\u1072?\u1094?\u1080?\u1086?\u1085?\u1085?\u1072? \u1089?\u1080?\u1089?\u1090?\u1077?\u1084?\u1072? \u1079?\u1072? \u1088?\u1077?\u1075?\u1080?\u1089?\u1090?\u1088?\u1080?\u1090?\u1077? \u1079?\u1072? \u1089?\u1098?\u1076?\u1080?\u1084?\u1086?\u1089?\u1090? (ECRIS) \u1085?\u1072? \u1080?\u1085?\u1092?\u1086?\u1088?\u1084?\u1072?\u1094?\u1080?\u1103?, \u1087?\u1086?\u1083?\u1091?\u1095?\u1077?\u1085?\u1072? \u1086?\u1090? \u1088?\u1077?\u1075?\u1080?\u1089?\u1090?\u1088?\u1080?\u1090?\u1077? \u1079?\u1072? \u1089?\u1098?\u1076?\u1080?\u1084?\u1086?\u1089?\u1090?, \u1084?\u1077?\u1078?\u1076?\u1091? \u1076?\u1098?\u1088?\u1078?\u1072?\u1074?\u1080?\u1090?\u1077? \u1095?\u1083?\u1077?\u1085?\u1082?\u1080?"/>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style>
  <w:style w:type="paragraph" w:styleId="Heading1">
    <w:name w:val="heading 1"/>
    <w:aliases w:val="t1,TITRE1,heading 1,Titre 11,t1.T1.Titre 1,Titre 1ed,t1.T1.Titre 1Annexe,H1,t1.T1,h1,l1,H,GSA1,Titre 1:,T1,Chapitre 1,1,Level 1,Heading 1 Colored,Chapter title,ch,MIGHeading 1,ch1,Bold 18,CMG H1,NCS-H1,überschrift1,überschrift11,überschrift12"/>
    <w:basedOn w:val="Normal"/>
    <w:next w:val="Normal"/>
    <w:uiPriority w:val="9"/>
    <w:qFormat/>
    <w:pPr>
      <w:keepNext/>
      <w:pageBreakBefore/>
      <w:numPr>
        <w:numId w:val="1"/>
      </w:numPr>
      <w:pBdr>
        <w:bottom w:val="single" w:sz="12" w:space="1" w:color="FF6600"/>
      </w:pBdr>
      <w:spacing w:before="120" w:after="240"/>
      <w:outlineLvl w:val="0"/>
    </w:pPr>
    <w:rPr>
      <w:b/>
      <w:smallCaps/>
      <w:color w:val="000080"/>
      <w:kern w:val="28"/>
      <w:sz w:val="36"/>
    </w:rPr>
  </w:style>
  <w:style w:type="paragraph" w:styleId="Heading2">
    <w:name w:val="heading 2"/>
    <w:aliases w:val="T2,h2,L2,H2,Punt 2,l2,2,Titre 21,t2.T2,t2,Contrat 2,Ctt,t2.T2.Titre 2,TITRE 2,Titre 2ed,Heading 2 Hidden,heading 2,Chapter Number/Appendix Letter,chn,Titre niveau 2,Level 2,Chapitre 2,paragraphe,Titre 2 - RAO,Specf Titre 2,Heading 2a,Header 2"/>
    <w:basedOn w:val="Normal"/>
    <w:next w:val="Normal"/>
    <w:link w:val="Heading2Char"/>
    <w:qFormat/>
    <w:pPr>
      <w:keepNext/>
      <w:numPr>
        <w:ilvl w:val="1"/>
        <w:numId w:val="1"/>
      </w:numPr>
      <w:pBdr>
        <w:bottom w:val="single" w:sz="12" w:space="1" w:color="000080"/>
      </w:pBdr>
      <w:spacing w:before="120"/>
      <w:outlineLvl w:val="1"/>
    </w:pPr>
    <w:rPr>
      <w:b/>
      <w:bCs/>
      <w:smallCaps/>
      <w:color w:val="000080"/>
      <w:sz w:val="32"/>
    </w:rPr>
  </w:style>
  <w:style w:type="paragraph" w:styleId="Heading3">
    <w:name w:val="heading 3"/>
    <w:aliases w:val="3,Titre 31,t3.T3,heading 3,Titre 3+,H3,Titre niveau 3,Titre3,t3,Contrat 3,Titre 3 SQ,Titre 3 SQ1,Titre 3 SQ2,Titre 3 SQ3,Titre 3 SQ4,Titre 3 SQ5,Titre 3 SQ6,Titre 3 SQ7,h3,3rd level,l3,CT,Heading 3 - old,Titre 3 .3,Titre 311,Titre 3 .31,1.2.3."/>
    <w:basedOn w:val="Normal"/>
    <w:next w:val="Normal"/>
    <w:qFormat/>
    <w:pPr>
      <w:keepNext/>
      <w:numPr>
        <w:ilvl w:val="2"/>
        <w:numId w:val="1"/>
      </w:numPr>
      <w:spacing w:before="240" w:after="60"/>
      <w:outlineLvl w:val="2"/>
    </w:pPr>
    <w:rPr>
      <w:b/>
      <w:bCs/>
      <w:smallCaps/>
      <w:color w:val="000080"/>
      <w:sz w:val="28"/>
    </w:rPr>
  </w:style>
  <w:style w:type="paragraph" w:styleId="Heading4">
    <w:name w:val="heading 4"/>
    <w:aliases w:val="4,H4,Titre 41,t4.T4,t4,Chapitre 1.1.1.,Alinéa,dash,h4,Ref Heading 1,rh1,First Subheading,T4,t4.T4.Titre 4,heading 4,l4,I4,(Shift Ctrl 4),Schedules,Heading 4 CFMU"/>
    <w:basedOn w:val="Normal"/>
    <w:next w:val="Normal"/>
    <w:link w:val="Heading4Char"/>
    <w:qFormat/>
    <w:pPr>
      <w:keepNext/>
      <w:numPr>
        <w:ilvl w:val="3"/>
        <w:numId w:val="1"/>
      </w:numPr>
      <w:spacing w:before="240" w:after="60"/>
      <w:outlineLvl w:val="3"/>
    </w:pPr>
    <w:rPr>
      <w:b/>
      <w:smallCaps/>
      <w:color w:val="000080"/>
      <w:sz w:val="24"/>
    </w:rPr>
  </w:style>
  <w:style w:type="paragraph" w:styleId="Heading5">
    <w:name w:val="heading 5"/>
    <w:aliases w:val="H5,Chapitre 1.1.1.1.,Ref Heading 2,rh2,h5,Second Subheading,heading 5,Heading 5 CFMU,Para 5,(Shift Ctrl 5),Appendix A to X,Heading 5   Appendix A to X"/>
    <w:basedOn w:val="Normal"/>
    <w:next w:val="Normal"/>
    <w:qFormat/>
    <w:pPr>
      <w:numPr>
        <w:ilvl w:val="4"/>
        <w:numId w:val="1"/>
      </w:numPr>
      <w:spacing w:before="240" w:after="60"/>
      <w:outlineLvl w:val="4"/>
    </w:pPr>
    <w:rPr>
      <w:b/>
      <w:bCs/>
      <w:smallCaps/>
      <w:color w:val="000080"/>
    </w:rPr>
  </w:style>
  <w:style w:type="paragraph" w:styleId="Heading6">
    <w:name w:val="heading 6"/>
    <w:aliases w:val="6,Heading 6  Appendix Y &amp; Z,h6,Heading 6 CFMU"/>
    <w:basedOn w:val="Normal"/>
    <w:next w:val="Normal"/>
    <w:qFormat/>
    <w:pPr>
      <w:numPr>
        <w:ilvl w:val="5"/>
        <w:numId w:val="1"/>
      </w:numPr>
      <w:spacing w:before="240" w:after="60"/>
      <w:outlineLvl w:val="5"/>
    </w:pPr>
    <w:rPr>
      <w:i/>
      <w:sz w:val="22"/>
    </w:rPr>
  </w:style>
  <w:style w:type="paragraph" w:styleId="Heading7">
    <w:name w:val="heading 7"/>
    <w:aliases w:val="H7,(Shift Ctrl 7),Heading 7 CFMU"/>
    <w:basedOn w:val="Normal"/>
    <w:next w:val="Normal"/>
    <w:qFormat/>
    <w:pPr>
      <w:numPr>
        <w:ilvl w:val="6"/>
        <w:numId w:val="1"/>
      </w:numPr>
      <w:spacing w:before="240" w:after="60"/>
      <w:outlineLvl w:val="6"/>
    </w:pPr>
  </w:style>
  <w:style w:type="paragraph" w:styleId="Heading8">
    <w:name w:val="heading 8"/>
    <w:aliases w:val="Heading 8 CFMU"/>
    <w:basedOn w:val="Normal"/>
    <w:next w:val="Normal"/>
    <w:qFormat/>
    <w:pPr>
      <w:numPr>
        <w:ilvl w:val="7"/>
        <w:numId w:val="1"/>
      </w:numPr>
      <w:spacing w:before="240" w:after="60"/>
      <w:outlineLvl w:val="7"/>
    </w:pPr>
    <w:rPr>
      <w:i/>
    </w:rPr>
  </w:style>
  <w:style w:type="paragraph" w:styleId="Heading9">
    <w:name w:val="heading 9"/>
    <w:aliases w:val="App Heading,Heading 9 CFMU"/>
    <w:basedOn w:val="Normal"/>
    <w:next w:val="Normal"/>
    <w:qFormat/>
    <w:pPr>
      <w:numPr>
        <w:ilvl w:val="8"/>
        <w:numId w:val="1"/>
      </w:numPr>
      <w:spacing w:before="240" w:after="60"/>
      <w:outlineLvl w:val="8"/>
    </w:pPr>
    <w:rPr>
      <w:b/>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FMU"/>
    <w:basedOn w:val="Normal"/>
    <w:pPr>
      <w:tabs>
        <w:tab w:val="center" w:pos="4320"/>
        <w:tab w:val="right" w:pos="8640"/>
      </w:tabs>
      <w:spacing w:after="0"/>
      <w:jc w:val="center"/>
    </w:pPr>
    <w:rPr>
      <w:color w:val="000080"/>
    </w:rPr>
  </w:style>
  <w:style w:type="paragraph" w:customStyle="1" w:styleId="Bullet1">
    <w:name w:val="Bullet 1"/>
    <w:basedOn w:val="Normal"/>
    <w:pPr>
      <w:numPr>
        <w:numId w:val="9"/>
      </w:numPr>
      <w:tabs>
        <w:tab w:val="clear" w:pos="360"/>
        <w:tab w:val="num" w:pos="900"/>
      </w:tabs>
      <w:spacing w:after="0"/>
      <w:ind w:left="900"/>
      <w:jc w:val="both"/>
    </w:pPr>
    <w:rPr>
      <w:sz w:val="22"/>
    </w:rPr>
  </w:style>
  <w:style w:type="paragraph" w:customStyle="1" w:styleId="Listnumber1cm">
    <w:name w:val="List number 1cm"/>
    <w:basedOn w:val="Normal"/>
    <w:pPr>
      <w:numPr>
        <w:numId w:val="6"/>
      </w:numPr>
      <w:tabs>
        <w:tab w:val="clear" w:pos="927"/>
        <w:tab w:val="left" w:pos="851"/>
      </w:tabs>
    </w:pPr>
  </w:style>
  <w:style w:type="paragraph" w:customStyle="1" w:styleId="Tableheading">
    <w:name w:val="Table heading"/>
    <w:basedOn w:val="Normal"/>
    <w:pPr>
      <w:spacing w:before="120"/>
      <w:jc w:val="center"/>
    </w:pPr>
    <w:rPr>
      <w:b/>
      <w:color w:val="000080"/>
    </w:rPr>
  </w:style>
  <w:style w:type="paragraph" w:customStyle="1" w:styleId="Tabletext">
    <w:name w:val="Table text"/>
    <w:basedOn w:val="Normal"/>
    <w:pPr>
      <w:spacing w:before="60" w:after="60"/>
    </w:pPr>
  </w:style>
  <w:style w:type="paragraph" w:styleId="TOC1">
    <w:name w:val="toc 1"/>
    <w:basedOn w:val="Normal"/>
    <w:next w:val="Normal"/>
    <w:autoRedefine/>
    <w:uiPriority w:val="39"/>
    <w:pPr>
      <w:spacing w:before="120"/>
    </w:pPr>
    <w:rPr>
      <w:b/>
      <w:bCs/>
      <w:caps/>
      <w:szCs w:val="24"/>
    </w:rPr>
  </w:style>
  <w:style w:type="character" w:styleId="Hyperlink">
    <w:name w:val="Hyperlink"/>
    <w:uiPriority w:val="99"/>
    <w:rPr>
      <w:color w:val="0000FF"/>
      <w:u w:val="single"/>
    </w:rPr>
  </w:style>
  <w:style w:type="paragraph" w:styleId="Footer">
    <w:name w:val="footer"/>
    <w:aliases w:val="Footer CFMU"/>
    <w:basedOn w:val="Normal"/>
    <w:link w:val="FooterChar"/>
    <w:uiPriority w:val="99"/>
    <w:pPr>
      <w:tabs>
        <w:tab w:val="center" w:pos="4320"/>
        <w:tab w:val="right" w:pos="8640"/>
      </w:tabs>
      <w:spacing w:before="60" w:after="60"/>
      <w:jc w:val="center"/>
    </w:pPr>
    <w:rPr>
      <w:b/>
      <w:bCs/>
      <w:color w:val="000080"/>
      <w:sz w:val="16"/>
    </w:rPr>
  </w:style>
  <w:style w:type="paragraph" w:styleId="Title">
    <w:name w:val="Title"/>
    <w:basedOn w:val="Normal"/>
    <w:next w:val="Normal"/>
    <w:link w:val="TitleChar"/>
    <w:qFormat/>
    <w:pPr>
      <w:keepLines/>
      <w:spacing w:before="480" w:after="480"/>
      <w:jc w:val="center"/>
    </w:pPr>
    <w:rPr>
      <w:b/>
      <w:caps/>
      <w:color w:val="000080"/>
      <w:sz w:val="32"/>
    </w:rPr>
  </w:style>
  <w:style w:type="paragraph" w:styleId="TOC2">
    <w:name w:val="toc 2"/>
    <w:basedOn w:val="Normal"/>
    <w:next w:val="Normal"/>
    <w:autoRedefine/>
    <w:uiPriority w:val="39"/>
    <w:pPr>
      <w:ind w:left="200"/>
    </w:pPr>
    <w:rPr>
      <w:smallCaps/>
      <w:szCs w:val="24"/>
    </w:rPr>
  </w:style>
  <w:style w:type="paragraph" w:styleId="TOC3">
    <w:name w:val="toc 3"/>
    <w:basedOn w:val="Normal"/>
    <w:next w:val="Normal"/>
    <w:autoRedefine/>
    <w:uiPriority w:val="39"/>
    <w:pPr>
      <w:ind w:left="400"/>
    </w:pPr>
    <w:rPr>
      <w:i/>
      <w:iCs/>
      <w:szCs w:val="24"/>
    </w:rPr>
  </w:style>
  <w:style w:type="paragraph" w:styleId="TOC4">
    <w:name w:val="toc 4"/>
    <w:basedOn w:val="Normal"/>
    <w:next w:val="Normal"/>
    <w:autoRedefine/>
    <w:uiPriority w:val="39"/>
    <w:pPr>
      <w:ind w:left="600"/>
    </w:pPr>
    <w:rPr>
      <w:szCs w:val="21"/>
    </w:rPr>
  </w:style>
  <w:style w:type="paragraph" w:styleId="TOC5">
    <w:name w:val="toc 5"/>
    <w:basedOn w:val="Normal"/>
    <w:next w:val="Normal"/>
    <w:autoRedefine/>
    <w:semiHidden/>
    <w:pPr>
      <w:ind w:left="800"/>
    </w:pPr>
    <w:rPr>
      <w:szCs w:val="21"/>
    </w:rPr>
  </w:style>
  <w:style w:type="paragraph" w:styleId="TOC6">
    <w:name w:val="toc 6"/>
    <w:basedOn w:val="Normal"/>
    <w:next w:val="Normal"/>
    <w:autoRedefine/>
    <w:semiHidden/>
    <w:pPr>
      <w:ind w:left="1000"/>
    </w:pPr>
    <w:rPr>
      <w:szCs w:val="21"/>
    </w:rPr>
  </w:style>
  <w:style w:type="paragraph" w:styleId="TOC7">
    <w:name w:val="toc 7"/>
    <w:basedOn w:val="Normal"/>
    <w:next w:val="Normal"/>
    <w:autoRedefine/>
    <w:semiHidden/>
    <w:pPr>
      <w:ind w:left="1200"/>
    </w:pPr>
    <w:rPr>
      <w:szCs w:val="21"/>
    </w:rPr>
  </w:style>
  <w:style w:type="paragraph" w:styleId="TOC8">
    <w:name w:val="toc 8"/>
    <w:basedOn w:val="Normal"/>
    <w:next w:val="Normal"/>
    <w:autoRedefine/>
    <w:semiHidden/>
    <w:pPr>
      <w:ind w:left="1400"/>
    </w:pPr>
    <w:rPr>
      <w:szCs w:val="21"/>
    </w:rPr>
  </w:style>
  <w:style w:type="paragraph" w:styleId="TOC9">
    <w:name w:val="toc 9"/>
    <w:basedOn w:val="Normal"/>
    <w:next w:val="Normal"/>
    <w:autoRedefine/>
    <w:semiHidden/>
    <w:pPr>
      <w:ind w:left="1600"/>
    </w:pPr>
    <w:rPr>
      <w:szCs w:val="21"/>
    </w:rPr>
  </w:style>
  <w:style w:type="paragraph" w:customStyle="1" w:styleId="TableBullet">
    <w:name w:val="Table Bullet"/>
    <w:basedOn w:val="Normal"/>
    <w:pPr>
      <w:numPr>
        <w:ilvl w:val="1"/>
        <w:numId w:val="2"/>
      </w:numPr>
      <w:tabs>
        <w:tab w:val="clear" w:pos="1440"/>
        <w:tab w:val="num" w:pos="128"/>
      </w:tabs>
      <w:ind w:left="128" w:hanging="128"/>
    </w:pPr>
  </w:style>
  <w:style w:type="character" w:styleId="FollowedHyperlink">
    <w:name w:val="FollowedHyperlink"/>
    <w:rPr>
      <w:color w:val="800080"/>
      <w:u w:val="single"/>
    </w:rPr>
  </w:style>
  <w:style w:type="paragraph" w:customStyle="1" w:styleId="Listbullet1cm">
    <w:name w:val="List bullet 1cm"/>
    <w:basedOn w:val="Normal"/>
    <w:pPr>
      <w:numPr>
        <w:numId w:val="5"/>
      </w:numPr>
      <w:tabs>
        <w:tab w:val="clear" w:pos="1647"/>
        <w:tab w:val="num" w:pos="851"/>
      </w:tabs>
      <w:ind w:left="851" w:hanging="284"/>
    </w:pPr>
    <w:rPr>
      <w:rFonts w:eastAsia="MS Mincho"/>
    </w:rPr>
  </w:style>
  <w:style w:type="paragraph" w:customStyle="1" w:styleId="Listbullet2cm">
    <w:name w:val="List bullet 2cm"/>
    <w:basedOn w:val="Normal"/>
    <w:pPr>
      <w:numPr>
        <w:numId w:val="3"/>
      </w:numPr>
    </w:pPr>
  </w:style>
  <w:style w:type="paragraph" w:styleId="FootnoteText">
    <w:name w:val="footnote text"/>
    <w:basedOn w:val="Normal"/>
    <w:link w:val="FootnoteTextChar"/>
    <w:semiHidden/>
    <w:rPr>
      <w:sz w:val="16"/>
    </w:rPr>
  </w:style>
  <w:style w:type="character" w:styleId="FootnoteReference">
    <w:name w:val="footnote reference"/>
    <w:semiHidden/>
    <w:rPr>
      <w:vertAlign w:val="superscript"/>
    </w:rPr>
  </w:style>
  <w:style w:type="paragraph" w:customStyle="1" w:styleId="Listnumber2cm">
    <w:name w:val="List number 2cm"/>
    <w:basedOn w:val="Listbullet2cm"/>
    <w:pPr>
      <w:numPr>
        <w:numId w:val="4"/>
      </w:numPr>
      <w:tabs>
        <w:tab w:val="clear" w:pos="1701"/>
        <w:tab w:val="num" w:pos="1418"/>
      </w:tabs>
      <w:ind w:left="1418" w:hanging="284"/>
    </w:pPr>
  </w:style>
  <w:style w:type="paragraph" w:customStyle="1" w:styleId="ListNumber1">
    <w:name w:val="List Number 1"/>
    <w:basedOn w:val="Normal"/>
    <w:pPr>
      <w:numPr>
        <w:numId w:val="7"/>
      </w:numPr>
      <w:spacing w:before="240" w:after="240"/>
      <w:jc w:val="both"/>
    </w:pPr>
    <w:rPr>
      <w:sz w:val="22"/>
    </w:rPr>
  </w:style>
  <w:style w:type="paragraph" w:customStyle="1" w:styleId="ListNumber1Level2">
    <w:name w:val="List Number 1 (Level 2)"/>
    <w:basedOn w:val="Normal"/>
    <w:pPr>
      <w:numPr>
        <w:ilvl w:val="1"/>
        <w:numId w:val="7"/>
      </w:numPr>
      <w:spacing w:after="240"/>
      <w:jc w:val="both"/>
    </w:pPr>
    <w:rPr>
      <w:sz w:val="22"/>
    </w:rPr>
  </w:style>
  <w:style w:type="paragraph" w:customStyle="1" w:styleId="ListNumber1Level3">
    <w:name w:val="List Number 1 (Level 3)"/>
    <w:basedOn w:val="Normal"/>
    <w:pPr>
      <w:numPr>
        <w:ilvl w:val="2"/>
        <w:numId w:val="7"/>
      </w:numPr>
      <w:spacing w:after="240"/>
      <w:jc w:val="both"/>
    </w:pPr>
    <w:rPr>
      <w:sz w:val="22"/>
    </w:rPr>
  </w:style>
  <w:style w:type="paragraph" w:customStyle="1" w:styleId="ListNumber1Level4">
    <w:name w:val="List Number 1 (Level 4)"/>
    <w:basedOn w:val="Normal"/>
    <w:pPr>
      <w:numPr>
        <w:ilvl w:val="3"/>
        <w:numId w:val="7"/>
      </w:numPr>
      <w:spacing w:after="240"/>
      <w:jc w:val="both"/>
    </w:pPr>
    <w:rPr>
      <w:sz w:val="22"/>
    </w:rPr>
  </w:style>
  <w:style w:type="paragraph" w:customStyle="1" w:styleId="Bullet">
    <w:name w:val="Bullet"/>
    <w:basedOn w:val="Normal"/>
    <w:pPr>
      <w:numPr>
        <w:numId w:val="8"/>
      </w:numPr>
      <w:ind w:left="357" w:hanging="357"/>
      <w:jc w:val="both"/>
    </w:pPr>
    <w:rPr>
      <w:snapToGrid w:val="0"/>
      <w:color w:val="000000"/>
      <w:sz w:val="22"/>
    </w:rPr>
  </w:style>
  <w:style w:type="paragraph" w:customStyle="1" w:styleId="Bullet10">
    <w:name w:val="Bullet1"/>
    <w:basedOn w:val="Normal"/>
    <w:pPr>
      <w:numPr>
        <w:numId w:val="10"/>
      </w:numPr>
      <w:spacing w:before="40" w:after="0"/>
    </w:pPr>
    <w:rPr>
      <w:rFonts w:ascii="Times New Roman" w:hAnsi="Times New Roman"/>
      <w:snapToGrid w:val="0"/>
    </w:rPr>
  </w:style>
  <w:style w:type="paragraph" w:customStyle="1" w:styleId="Bullet2">
    <w:name w:val="Bullet2"/>
    <w:basedOn w:val="Bullet10"/>
    <w:pPr>
      <w:numPr>
        <w:numId w:val="0"/>
      </w:numPr>
      <w:tabs>
        <w:tab w:val="num" w:pos="720"/>
      </w:tabs>
      <w:ind w:left="720" w:hanging="360"/>
    </w:pPr>
  </w:style>
  <w:style w:type="paragraph" w:customStyle="1" w:styleId="Heading1t1TITRE1Titre11t1T1Titre1Titre1edt1T1Titre1AnnexeH1t1T1h1l1HGSA1Titre1T1Chapitre11Level1Heading1ColoredChaptertitlechMIGHeading1ch1Bold18CMGH1NCS-H1berschrift1berschrift11">
    <w:name w:val="Heading 1.t1.TITRE1.Titre 11.t1.T1.Titre 1.Titre 1ed.t1.T1.Titre 1Annexe.H1.t1.T1.h1.l1.H.GSA1.Titre 1:.T1.Chapitre 1.1.Level 1.Heading 1 Colored.Chapter title.ch.MIGHeading 1.ch1.Bold 18.CMG H1.NCS-H1.überschrift1.überschrift11"/>
    <w:basedOn w:val="Normal"/>
    <w:next w:val="Normal"/>
    <w:pPr>
      <w:keepNext/>
      <w:tabs>
        <w:tab w:val="num" w:pos="432"/>
      </w:tabs>
      <w:spacing w:before="240" w:after="60"/>
      <w:ind w:left="432" w:hanging="432"/>
      <w:outlineLvl w:val="0"/>
    </w:pPr>
    <w:rPr>
      <w:b/>
      <w:kern w:val="28"/>
      <w:sz w:val="28"/>
    </w:rPr>
  </w:style>
  <w:style w:type="paragraph" w:customStyle="1" w:styleId="Lista">
    <w:name w:val="List a)"/>
    <w:basedOn w:val="Normal"/>
    <w:pPr>
      <w:numPr>
        <w:numId w:val="11"/>
      </w:numPr>
      <w:spacing w:before="60" w:after="0"/>
      <w:jc w:val="both"/>
    </w:pPr>
    <w:rPr>
      <w:snapToGrid w:val="0"/>
      <w:color w:val="000000"/>
      <w:sz w:val="22"/>
    </w:rPr>
  </w:style>
  <w:style w:type="paragraph" w:styleId="ListBullet">
    <w:name w:val="List Bullet"/>
    <w:basedOn w:val="Normal"/>
    <w:autoRedefine/>
    <w:pPr>
      <w:numPr>
        <w:numId w:val="12"/>
      </w:numPr>
      <w:tabs>
        <w:tab w:val="clear" w:pos="720"/>
        <w:tab w:val="num" w:pos="1260"/>
      </w:tabs>
      <w:spacing w:after="0"/>
      <w:ind w:left="1260"/>
      <w:jc w:val="both"/>
    </w:pPr>
    <w:rPr>
      <w:noProof/>
      <w:snapToGrid w:val="0"/>
      <w:color w:val="000000"/>
      <w:sz w:val="22"/>
    </w:rPr>
  </w:style>
  <w:style w:type="paragraph" w:customStyle="1" w:styleId="ListBullet1">
    <w:name w:val="List Bullet 1"/>
    <w:basedOn w:val="Normal"/>
    <w:pPr>
      <w:numPr>
        <w:numId w:val="13"/>
      </w:numPr>
      <w:spacing w:before="120" w:after="0"/>
      <w:ind w:left="1276" w:hanging="284"/>
    </w:pPr>
    <w:rPr>
      <w:rFonts w:ascii="Times New Roman" w:hAnsi="Times New Roman"/>
      <w:sz w:val="22"/>
    </w:rPr>
  </w:style>
  <w:style w:type="paragraph" w:styleId="ListNumber">
    <w:name w:val="List Number"/>
    <w:basedOn w:val="Normal"/>
    <w:pPr>
      <w:numPr>
        <w:numId w:val="14"/>
      </w:numPr>
      <w:spacing w:after="240"/>
      <w:jc w:val="both"/>
    </w:pPr>
    <w:rPr>
      <w:sz w:val="22"/>
    </w:rPr>
  </w:style>
  <w:style w:type="paragraph" w:customStyle="1" w:styleId="perso1">
    <w:name w:val="perso1"/>
    <w:pPr>
      <w:tabs>
        <w:tab w:val="num" w:pos="432"/>
      </w:tabs>
      <w:ind w:left="432" w:hanging="432"/>
    </w:pPr>
    <w:rPr>
      <w:b/>
      <w:sz w:val="24"/>
      <w:u w:val="single"/>
    </w:rPr>
  </w:style>
  <w:style w:type="paragraph" w:customStyle="1" w:styleId="Puce2">
    <w:name w:val="Puce2"/>
    <w:basedOn w:val="Normal"/>
    <w:pPr>
      <w:numPr>
        <w:numId w:val="15"/>
      </w:numPr>
      <w:spacing w:after="0"/>
      <w:jc w:val="both"/>
    </w:pPr>
    <w:rPr>
      <w:snapToGrid w:val="0"/>
      <w:color w:val="000000"/>
      <w:sz w:val="22"/>
    </w:rPr>
  </w:style>
  <w:style w:type="paragraph" w:customStyle="1" w:styleId="SteriaBullet">
    <w:name w:val="Steria Bullet"/>
    <w:basedOn w:val="SteriaResponse"/>
    <w:pPr>
      <w:numPr>
        <w:numId w:val="16"/>
      </w:numPr>
      <w:tabs>
        <w:tab w:val="clear" w:pos="4235"/>
      </w:tabs>
      <w:ind w:left="357" w:hanging="357"/>
    </w:pPr>
  </w:style>
  <w:style w:type="paragraph" w:customStyle="1" w:styleId="SteriaResponse">
    <w:name w:val="Steria Response"/>
    <w:pPr>
      <w:spacing w:after="240" w:line="260" w:lineRule="exact"/>
    </w:pPr>
    <w:rPr>
      <w:color w:val="000080"/>
      <w:sz w:val="22"/>
    </w:rPr>
  </w:style>
  <w:style w:type="paragraph" w:customStyle="1" w:styleId="TaBult1">
    <w:name w:val="TaBult 1"/>
    <w:basedOn w:val="Normal"/>
    <w:pPr>
      <w:numPr>
        <w:numId w:val="17"/>
      </w:numPr>
      <w:spacing w:before="60" w:after="60"/>
      <w:ind w:left="426" w:hanging="284"/>
      <w:jc w:val="both"/>
    </w:pPr>
    <w:rPr>
      <w:rFonts w:ascii="Times New Roman" w:hAnsi="Times New Roman"/>
      <w:sz w:val="22"/>
    </w:rPr>
  </w:style>
  <w:style w:type="paragraph" w:customStyle="1" w:styleId="Bullet20">
    <w:name w:val="Bullet 2"/>
    <w:basedOn w:val="Normal"/>
    <w:pPr>
      <w:tabs>
        <w:tab w:val="num" w:pos="1260"/>
      </w:tabs>
      <w:spacing w:after="0"/>
      <w:ind w:left="1260" w:hanging="360"/>
      <w:jc w:val="both"/>
    </w:pPr>
    <w:rPr>
      <w:sz w:val="22"/>
    </w:rPr>
  </w:style>
  <w:style w:type="paragraph" w:customStyle="1" w:styleId="bp">
    <w:name w:val="bp"/>
    <w:basedOn w:val="Normal"/>
    <w:pPr>
      <w:spacing w:before="100" w:after="100"/>
    </w:pPr>
    <w:rPr>
      <w:rFonts w:ascii="Arial Unicode MS" w:eastAsia="Arial Unicode MS" w:hAnsi="Arial Unicode MS"/>
      <w:sz w:val="24"/>
    </w:rPr>
  </w:style>
  <w:style w:type="paragraph" w:styleId="List2">
    <w:name w:val="List 2"/>
    <w:basedOn w:val="Normal"/>
    <w:pPr>
      <w:tabs>
        <w:tab w:val="num" w:pos="360"/>
      </w:tabs>
      <w:spacing w:before="60" w:after="0"/>
      <w:ind w:left="360" w:hanging="360"/>
      <w:jc w:val="both"/>
    </w:pPr>
    <w:rPr>
      <w:snapToGrid w:val="0"/>
      <w:color w:val="000000"/>
      <w:sz w:val="22"/>
    </w:rPr>
  </w:style>
  <w:style w:type="paragraph" w:customStyle="1" w:styleId="BodySingle">
    <w:name w:val="*Body Single"/>
    <w:basedOn w:val="Normal"/>
    <w:pPr>
      <w:spacing w:after="0" w:line="220" w:lineRule="atLeast"/>
      <w:ind w:left="2304"/>
    </w:pPr>
    <w:rPr>
      <w:sz w:val="22"/>
      <w:szCs w:val="24"/>
    </w:rPr>
  </w:style>
  <w:style w:type="paragraph" w:customStyle="1" w:styleId="Text2">
    <w:name w:val="Text 2"/>
    <w:basedOn w:val="Default"/>
    <w:next w:val="Default"/>
    <w:link w:val="Text2Char"/>
    <w:pPr>
      <w:autoSpaceDE/>
      <w:autoSpaceDN/>
      <w:adjustRightInd/>
      <w:spacing w:before="120" w:after="120"/>
    </w:pPr>
  </w:style>
  <w:style w:type="paragraph" w:customStyle="1" w:styleId="Default">
    <w:name w:val="Default"/>
    <w:pPr>
      <w:autoSpaceDE w:val="0"/>
      <w:autoSpaceDN w:val="0"/>
      <w:adjustRightInd w:val="0"/>
    </w:pPr>
    <w:rPr>
      <w:rFonts w:ascii="TimesNewRoman" w:hAnsi="TimesNewRoman"/>
    </w:rPr>
  </w:style>
  <w:style w:type="paragraph" w:styleId="BodyText">
    <w:name w:val="Body Text"/>
    <w:aliases w:val="EDS Question Text"/>
    <w:basedOn w:val="Normal"/>
    <w:pPr>
      <w:spacing w:after="0"/>
      <w:ind w:right="-1054"/>
    </w:pPr>
    <w:rPr>
      <w:noProof/>
    </w:rPr>
  </w:style>
  <w:style w:type="paragraph" w:styleId="BodyText2">
    <w:name w:val="Body Text 2"/>
    <w:basedOn w:val="Normal"/>
    <w:pPr>
      <w:spacing w:after="0"/>
    </w:pPr>
    <w:rPr>
      <w:color w:val="000000"/>
      <w:sz w:val="22"/>
    </w:rPr>
  </w:style>
  <w:style w:type="paragraph" w:styleId="BodyText3">
    <w:name w:val="Body Text 3"/>
    <w:basedOn w:val="Normal"/>
    <w:pPr>
      <w:spacing w:after="0"/>
      <w:jc w:val="both"/>
    </w:pPr>
    <w:rPr>
      <w:snapToGrid w:val="0"/>
      <w:color w:val="000000"/>
      <w:sz w:val="22"/>
    </w:rPr>
  </w:style>
  <w:style w:type="paragraph" w:styleId="BlockText">
    <w:name w:val="Block Text"/>
    <w:basedOn w:val="Normal"/>
    <w:pPr>
      <w:pBdr>
        <w:top w:val="single" w:sz="4" w:space="1" w:color="auto"/>
        <w:left w:val="single" w:sz="4" w:space="4" w:color="auto"/>
        <w:bottom w:val="single" w:sz="4" w:space="1" w:color="auto"/>
        <w:right w:val="single" w:sz="4" w:space="4" w:color="auto"/>
      </w:pBdr>
      <w:spacing w:after="0"/>
      <w:ind w:left="720" w:right="720"/>
    </w:pPr>
    <w:rPr>
      <w:rFonts w:ascii="Times New Roman" w:hAnsi="Times New Roman"/>
      <w:b/>
      <w:bCs/>
      <w:color w:val="FF0000"/>
      <w:sz w:val="24"/>
      <w:szCs w:val="24"/>
    </w:rPr>
  </w:style>
  <w:style w:type="paragraph" w:customStyle="1" w:styleId="cellheading">
    <w:name w:val="cellheading"/>
    <w:basedOn w:val="Normal"/>
    <w:pPr>
      <w:spacing w:after="144"/>
    </w:pPr>
    <w:rPr>
      <w:rFonts w:ascii="Verdana" w:eastAsia="Arial Unicode MS" w:hAnsi="Verdana"/>
      <w:b/>
      <w:color w:val="000000"/>
    </w:rPr>
  </w:style>
  <w:style w:type="paragraph" w:styleId="NormalWeb">
    <w:name w:val="Normal (Web)"/>
    <w:basedOn w:val="Normal"/>
    <w:pPr>
      <w:spacing w:before="100" w:beforeAutospacing="1" w:after="100" w:afterAutospacing="1"/>
    </w:pPr>
    <w:rPr>
      <w:rFonts w:ascii="Times New Roman" w:hAnsi="Times New Roman"/>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rPr>
  </w:style>
  <w:style w:type="table" w:styleId="TableGrid">
    <w:name w:val="Table Grid"/>
    <w:basedOn w:val="TableNormal"/>
    <w:uiPriority w:val="59"/>
    <w:pPr>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Heading2Char">
    <w:name w:val="Heading 2 Char"/>
    <w:aliases w:val="T2 Char,h2 Char,L2 Char,H2 Char,Punt 2 Char,l2 Char,2 Char,Titre 21 Char,t2.T2 Char,t2 Char,Contrat 2 Char,Ctt Char,t2.T2.Titre 2 Char,TITRE 2 Char,Titre 2ed Char,Heading 2 Hidden Char,heading 2 Char,Chapter Number/Appendix Letter Char"/>
    <w:link w:val="Heading2"/>
    <w:rPr>
      <w:b/>
      <w:bCs/>
      <w:smallCaps/>
      <w:color w:val="000080"/>
      <w:sz w:val="32"/>
    </w:rPr>
  </w:style>
  <w:style w:type="character" w:customStyle="1" w:styleId="Heading4Char">
    <w:name w:val="Heading 4 Char"/>
    <w:aliases w:val="4 Char,H4 Char,Titre 41 Char,t4.T4 Char,t4 Char,Chapitre 1.1.1. Char,Alinéa Char,dash Char,h4 Char,Ref Heading 1 Char,rh1 Char,First Subheading Char,T4 Char,t4.T4.Titre 4 Char,heading 4 Char,l4 Char,I4 Char,(Shift Ctrl 4) Char"/>
    <w:link w:val="Heading4"/>
    <w:rPr>
      <w:b/>
      <w:smallCaps/>
      <w:color w:val="000080"/>
      <w:sz w:val="24"/>
    </w:rPr>
  </w:style>
  <w:style w:type="paragraph" w:styleId="BodyTextIndent">
    <w:name w:val="Body Text Indent"/>
    <w:basedOn w:val="Normal"/>
    <w:pPr>
      <w:numPr>
        <w:numId w:val="18"/>
      </w:numPr>
      <w:tabs>
        <w:tab w:val="clear" w:pos="283"/>
      </w:tabs>
      <w:ind w:firstLine="0"/>
      <w:jc w:val="both"/>
    </w:pPr>
    <w:rPr>
      <w:rFonts w:ascii="Times New Roman" w:hAnsi="Times New Roman"/>
      <w:sz w:val="22"/>
    </w:rPr>
  </w:style>
  <w:style w:type="character" w:customStyle="1" w:styleId="Text2Char">
    <w:name w:val="Text 2 Char"/>
    <w:link w:val="Text2"/>
    <w:rPr>
      <w:rFonts w:ascii="TimesNewRoman" w:hAnsi="TimesNewRoman"/>
      <w:lang w:val="bg-BG" w:eastAsia="bg-BG" w:bidi="bg-BG"/>
    </w:rPr>
  </w:style>
  <w:style w:type="character" w:styleId="HTMLCode">
    <w:name w:val="HTML Code"/>
    <w:semiHidden/>
    <w:unhideWhenUsed/>
    <w:rPr>
      <w:rFonts w:ascii="Courier New" w:eastAsia="Times New Roman" w:hAnsi="Courier New" w:cs="Courier New"/>
      <w:sz w:val="20"/>
      <w:szCs w:val="20"/>
    </w:rPr>
  </w:style>
  <w:style w:type="character" w:customStyle="1" w:styleId="Heading2Char2">
    <w:name w:val="Heading 2 Char2"/>
    <w:aliases w:val="Heading 2 Char1 Char,Heading 2 Char Char Char,Heading 2 Char Char1"/>
    <w:locked/>
    <w:rPr>
      <w:b/>
      <w:sz w:val="24"/>
      <w:lang w:val="bg-BG" w:eastAsia="bg-BG" w:bidi="bg-BG"/>
    </w:rPr>
  </w:style>
  <w:style w:type="paragraph" w:customStyle="1" w:styleId="NumPar1">
    <w:name w:val="NumPar 1"/>
    <w:basedOn w:val="Normal"/>
    <w:next w:val="Normal"/>
    <w:pPr>
      <w:numPr>
        <w:numId w:val="21"/>
      </w:numPr>
      <w:spacing w:before="120"/>
      <w:jc w:val="both"/>
    </w:pPr>
    <w:rPr>
      <w:rFonts w:ascii="Times New Roman" w:hAnsi="Times New Roman"/>
      <w:sz w:val="24"/>
      <w:szCs w:val="24"/>
    </w:rPr>
  </w:style>
  <w:style w:type="paragraph" w:customStyle="1" w:styleId="NumPar2">
    <w:name w:val="NumPar 2"/>
    <w:basedOn w:val="Normal"/>
    <w:next w:val="Normal"/>
    <w:pPr>
      <w:numPr>
        <w:ilvl w:val="1"/>
        <w:numId w:val="21"/>
      </w:numPr>
      <w:spacing w:before="120"/>
      <w:jc w:val="both"/>
    </w:pPr>
    <w:rPr>
      <w:rFonts w:ascii="Times New Roman" w:hAnsi="Times New Roman"/>
      <w:sz w:val="24"/>
      <w:szCs w:val="24"/>
    </w:rPr>
  </w:style>
  <w:style w:type="paragraph" w:customStyle="1" w:styleId="NumPar3">
    <w:name w:val="NumPar 3"/>
    <w:basedOn w:val="Normal"/>
    <w:next w:val="Normal"/>
    <w:pPr>
      <w:numPr>
        <w:ilvl w:val="2"/>
        <w:numId w:val="21"/>
      </w:numPr>
      <w:spacing w:before="120"/>
      <w:jc w:val="both"/>
    </w:pPr>
    <w:rPr>
      <w:rFonts w:ascii="Times New Roman" w:hAnsi="Times New Roman"/>
      <w:sz w:val="24"/>
      <w:szCs w:val="24"/>
    </w:rPr>
  </w:style>
  <w:style w:type="paragraph" w:customStyle="1" w:styleId="NumPar4">
    <w:name w:val="NumPar 4"/>
    <w:basedOn w:val="Normal"/>
    <w:next w:val="Normal"/>
    <w:pPr>
      <w:numPr>
        <w:ilvl w:val="3"/>
        <w:numId w:val="21"/>
      </w:numPr>
      <w:spacing w:before="120"/>
      <w:jc w:val="both"/>
    </w:pPr>
    <w:rPr>
      <w:rFonts w:ascii="Times New Roman" w:hAnsi="Times New Roman"/>
      <w:sz w:val="24"/>
      <w:szCs w:val="24"/>
    </w:rPr>
  </w:style>
  <w:style w:type="paragraph" w:styleId="ListParagraph">
    <w:name w:val="List Paragraph"/>
    <w:basedOn w:val="Normal"/>
    <w:uiPriority w:val="34"/>
    <w:qFormat/>
    <w:pPr>
      <w:spacing w:after="0"/>
      <w:ind w:left="720"/>
    </w:pPr>
    <w:rPr>
      <w:rFonts w:ascii="Calibri" w:hAnsi="Calibri"/>
      <w:sz w:val="22"/>
      <w:szCs w:val="22"/>
    </w:rPr>
  </w:style>
  <w:style w:type="character" w:customStyle="1" w:styleId="CommentTextChar">
    <w:name w:val="Comment Text Char"/>
    <w:basedOn w:val="DefaultParagraphFont"/>
    <w:link w:val="CommentText"/>
    <w:semiHidden/>
    <w:rPr>
      <w:rFonts w:ascii="Arial" w:hAnsi="Arial"/>
      <w:lang w:eastAsia="bg-BG"/>
    </w:rPr>
  </w:style>
  <w:style w:type="paragraph" w:styleId="Revision">
    <w:name w:val="Revision"/>
    <w:hidden/>
    <w:uiPriority w:val="99"/>
    <w:semiHidden/>
    <w:rPr>
      <w:sz w:val="18"/>
    </w:rPr>
  </w:style>
  <w:style w:type="character" w:customStyle="1" w:styleId="FootnoteTextChar">
    <w:name w:val="Footnote Text Char"/>
    <w:basedOn w:val="DefaultParagraphFont"/>
    <w:link w:val="FootnoteText"/>
    <w:semiHidden/>
    <w:rPr>
      <w:rFonts w:ascii="Arial" w:hAnsi="Arial"/>
      <w:sz w:val="16"/>
      <w:lang w:eastAsia="bg-BG"/>
    </w:rPr>
  </w:style>
  <w:style w:type="paragraph" w:styleId="EndnoteText">
    <w:name w:val="endnote text"/>
    <w:basedOn w:val="Normal"/>
    <w:link w:val="EndnoteTextChar"/>
    <w:semiHidden/>
    <w:unhideWhenUsed/>
    <w:pPr>
      <w:spacing w:after="0"/>
    </w:pPr>
  </w:style>
  <w:style w:type="character" w:customStyle="1" w:styleId="EndnoteTextChar">
    <w:name w:val="Endnote Text Char"/>
    <w:basedOn w:val="DefaultParagraphFont"/>
    <w:link w:val="EndnoteText"/>
    <w:semiHidden/>
  </w:style>
  <w:style w:type="character" w:styleId="EndnoteReference">
    <w:name w:val="endnote reference"/>
    <w:basedOn w:val="DefaultParagraphFont"/>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jc w:val="both"/>
    </w:pPr>
    <w:rPr>
      <w:rFonts w:ascii="Times New Roman" w:eastAsiaTheme="minorHAnsi" w:hAnsi="Times New Roman" w:cs="Times New Roman"/>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pPr>
    <w:rPr>
      <w:rFonts w:ascii="Times New Roman" w:hAnsi="Times New Roman" w:cs="Times New Roman"/>
      <w:color w:val="000080"/>
      <w:sz w:val="24"/>
    </w:rPr>
  </w:style>
  <w:style w:type="character" w:customStyle="1" w:styleId="TitleChar">
    <w:name w:val="Title Char"/>
    <w:basedOn w:val="DefaultParagraphFont"/>
    <w:link w:val="Title"/>
    <w:rPr>
      <w:b/>
      <w:caps/>
      <w:color w:val="000080"/>
      <w:sz w:val="32"/>
    </w:rPr>
  </w:style>
  <w:style w:type="character" w:customStyle="1" w:styleId="FooterCoverPageChar">
    <w:name w:val="Footer Cover Page Char"/>
    <w:basedOn w:val="TitleChar"/>
    <w:link w:val="FooterCoverPage"/>
    <w:rPr>
      <w:rFonts w:ascii="Times New Roman" w:hAnsi="Times New Roman" w:cs="Times New Roman"/>
      <w:b w:val="0"/>
      <w:caps w:val="0"/>
      <w:color w:val="000080"/>
      <w:sz w:val="24"/>
    </w:rPr>
  </w:style>
  <w:style w:type="paragraph" w:customStyle="1" w:styleId="HeaderCoverPage">
    <w:name w:val="Header Cover Page"/>
    <w:basedOn w:val="Normal"/>
    <w:link w:val="HeaderCoverPageChar"/>
    <w:pPr>
      <w:tabs>
        <w:tab w:val="center" w:pos="4535"/>
        <w:tab w:val="right" w:pos="9071"/>
      </w:tabs>
      <w:jc w:val="both"/>
    </w:pPr>
    <w:rPr>
      <w:rFonts w:ascii="Times New Roman" w:hAnsi="Times New Roman" w:cs="Times New Roman"/>
      <w:color w:val="000080"/>
      <w:sz w:val="24"/>
    </w:rPr>
  </w:style>
  <w:style w:type="character" w:customStyle="1" w:styleId="HeaderCoverPageChar">
    <w:name w:val="Header Cover Page Char"/>
    <w:basedOn w:val="TitleChar"/>
    <w:link w:val="HeaderCoverPage"/>
    <w:rPr>
      <w:rFonts w:ascii="Times New Roman" w:hAnsi="Times New Roman" w:cs="Times New Roman"/>
      <w:b w:val="0"/>
      <w:caps w:val="0"/>
      <w:color w:val="000080"/>
      <w:sz w:val="24"/>
    </w:rPr>
  </w:style>
  <w:style w:type="character" w:customStyle="1" w:styleId="FooterChar">
    <w:name w:val="Footer Char"/>
    <w:aliases w:val="Footer CFMU Char"/>
    <w:basedOn w:val="DefaultParagraphFont"/>
    <w:link w:val="Footer"/>
    <w:uiPriority w:val="99"/>
    <w:rPr>
      <w:b/>
      <w:bCs/>
      <w:color w:val="000080"/>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style>
  <w:style w:type="paragraph" w:styleId="Heading1">
    <w:name w:val="heading 1"/>
    <w:aliases w:val="t1,TITRE1,heading 1,Titre 11,t1.T1.Titre 1,Titre 1ed,t1.T1.Titre 1Annexe,H1,t1.T1,h1,l1,H,GSA1,Titre 1:,T1,Chapitre 1,1,Level 1,Heading 1 Colored,Chapter title,ch,MIGHeading 1,ch1,Bold 18,CMG H1,NCS-H1,überschrift1,überschrift11,überschrift12"/>
    <w:basedOn w:val="Normal"/>
    <w:next w:val="Normal"/>
    <w:uiPriority w:val="9"/>
    <w:qFormat/>
    <w:pPr>
      <w:keepNext/>
      <w:pageBreakBefore/>
      <w:numPr>
        <w:numId w:val="1"/>
      </w:numPr>
      <w:pBdr>
        <w:bottom w:val="single" w:sz="12" w:space="1" w:color="FF6600"/>
      </w:pBdr>
      <w:spacing w:before="120" w:after="240"/>
      <w:outlineLvl w:val="0"/>
    </w:pPr>
    <w:rPr>
      <w:b/>
      <w:smallCaps/>
      <w:color w:val="000080"/>
      <w:kern w:val="28"/>
      <w:sz w:val="36"/>
    </w:rPr>
  </w:style>
  <w:style w:type="paragraph" w:styleId="Heading2">
    <w:name w:val="heading 2"/>
    <w:aliases w:val="T2,h2,L2,H2,Punt 2,l2,2,Titre 21,t2.T2,t2,Contrat 2,Ctt,t2.T2.Titre 2,TITRE 2,Titre 2ed,Heading 2 Hidden,heading 2,Chapter Number/Appendix Letter,chn,Titre niveau 2,Level 2,Chapitre 2,paragraphe,Titre 2 - RAO,Specf Titre 2,Heading 2a,Header 2"/>
    <w:basedOn w:val="Normal"/>
    <w:next w:val="Normal"/>
    <w:link w:val="Heading2Char"/>
    <w:qFormat/>
    <w:pPr>
      <w:keepNext/>
      <w:numPr>
        <w:ilvl w:val="1"/>
        <w:numId w:val="1"/>
      </w:numPr>
      <w:pBdr>
        <w:bottom w:val="single" w:sz="12" w:space="1" w:color="000080"/>
      </w:pBdr>
      <w:spacing w:before="120"/>
      <w:outlineLvl w:val="1"/>
    </w:pPr>
    <w:rPr>
      <w:b/>
      <w:bCs/>
      <w:smallCaps/>
      <w:color w:val="000080"/>
      <w:sz w:val="32"/>
    </w:rPr>
  </w:style>
  <w:style w:type="paragraph" w:styleId="Heading3">
    <w:name w:val="heading 3"/>
    <w:aliases w:val="3,Titre 31,t3.T3,heading 3,Titre 3+,H3,Titre niveau 3,Titre3,t3,Contrat 3,Titre 3 SQ,Titre 3 SQ1,Titre 3 SQ2,Titre 3 SQ3,Titre 3 SQ4,Titre 3 SQ5,Titre 3 SQ6,Titre 3 SQ7,h3,3rd level,l3,CT,Heading 3 - old,Titre 3 .3,Titre 311,Titre 3 .31,1.2.3."/>
    <w:basedOn w:val="Normal"/>
    <w:next w:val="Normal"/>
    <w:qFormat/>
    <w:pPr>
      <w:keepNext/>
      <w:numPr>
        <w:ilvl w:val="2"/>
        <w:numId w:val="1"/>
      </w:numPr>
      <w:spacing w:before="240" w:after="60"/>
      <w:outlineLvl w:val="2"/>
    </w:pPr>
    <w:rPr>
      <w:b/>
      <w:bCs/>
      <w:smallCaps/>
      <w:color w:val="000080"/>
      <w:sz w:val="28"/>
    </w:rPr>
  </w:style>
  <w:style w:type="paragraph" w:styleId="Heading4">
    <w:name w:val="heading 4"/>
    <w:aliases w:val="4,H4,Titre 41,t4.T4,t4,Chapitre 1.1.1.,Alinéa,dash,h4,Ref Heading 1,rh1,First Subheading,T4,t4.T4.Titre 4,heading 4,l4,I4,(Shift Ctrl 4),Schedules,Heading 4 CFMU"/>
    <w:basedOn w:val="Normal"/>
    <w:next w:val="Normal"/>
    <w:link w:val="Heading4Char"/>
    <w:qFormat/>
    <w:pPr>
      <w:keepNext/>
      <w:numPr>
        <w:ilvl w:val="3"/>
        <w:numId w:val="1"/>
      </w:numPr>
      <w:spacing w:before="240" w:after="60"/>
      <w:outlineLvl w:val="3"/>
    </w:pPr>
    <w:rPr>
      <w:b/>
      <w:smallCaps/>
      <w:color w:val="000080"/>
      <w:sz w:val="24"/>
    </w:rPr>
  </w:style>
  <w:style w:type="paragraph" w:styleId="Heading5">
    <w:name w:val="heading 5"/>
    <w:aliases w:val="H5,Chapitre 1.1.1.1.,Ref Heading 2,rh2,h5,Second Subheading,heading 5,Heading 5 CFMU,Para 5,(Shift Ctrl 5),Appendix A to X,Heading 5   Appendix A to X"/>
    <w:basedOn w:val="Normal"/>
    <w:next w:val="Normal"/>
    <w:qFormat/>
    <w:pPr>
      <w:numPr>
        <w:ilvl w:val="4"/>
        <w:numId w:val="1"/>
      </w:numPr>
      <w:spacing w:before="240" w:after="60"/>
      <w:outlineLvl w:val="4"/>
    </w:pPr>
    <w:rPr>
      <w:b/>
      <w:bCs/>
      <w:smallCaps/>
      <w:color w:val="000080"/>
    </w:rPr>
  </w:style>
  <w:style w:type="paragraph" w:styleId="Heading6">
    <w:name w:val="heading 6"/>
    <w:aliases w:val="6,Heading 6  Appendix Y &amp; Z,h6,Heading 6 CFMU"/>
    <w:basedOn w:val="Normal"/>
    <w:next w:val="Normal"/>
    <w:qFormat/>
    <w:pPr>
      <w:numPr>
        <w:ilvl w:val="5"/>
        <w:numId w:val="1"/>
      </w:numPr>
      <w:spacing w:before="240" w:after="60"/>
      <w:outlineLvl w:val="5"/>
    </w:pPr>
    <w:rPr>
      <w:i/>
      <w:sz w:val="22"/>
    </w:rPr>
  </w:style>
  <w:style w:type="paragraph" w:styleId="Heading7">
    <w:name w:val="heading 7"/>
    <w:aliases w:val="H7,(Shift Ctrl 7),Heading 7 CFMU"/>
    <w:basedOn w:val="Normal"/>
    <w:next w:val="Normal"/>
    <w:qFormat/>
    <w:pPr>
      <w:numPr>
        <w:ilvl w:val="6"/>
        <w:numId w:val="1"/>
      </w:numPr>
      <w:spacing w:before="240" w:after="60"/>
      <w:outlineLvl w:val="6"/>
    </w:pPr>
  </w:style>
  <w:style w:type="paragraph" w:styleId="Heading8">
    <w:name w:val="heading 8"/>
    <w:aliases w:val="Heading 8 CFMU"/>
    <w:basedOn w:val="Normal"/>
    <w:next w:val="Normal"/>
    <w:qFormat/>
    <w:pPr>
      <w:numPr>
        <w:ilvl w:val="7"/>
        <w:numId w:val="1"/>
      </w:numPr>
      <w:spacing w:before="240" w:after="60"/>
      <w:outlineLvl w:val="7"/>
    </w:pPr>
    <w:rPr>
      <w:i/>
    </w:rPr>
  </w:style>
  <w:style w:type="paragraph" w:styleId="Heading9">
    <w:name w:val="heading 9"/>
    <w:aliases w:val="App Heading,Heading 9 CFMU"/>
    <w:basedOn w:val="Normal"/>
    <w:next w:val="Normal"/>
    <w:qFormat/>
    <w:pPr>
      <w:numPr>
        <w:ilvl w:val="8"/>
        <w:numId w:val="1"/>
      </w:numPr>
      <w:spacing w:before="240" w:after="60"/>
      <w:outlineLvl w:val="8"/>
    </w:pPr>
    <w:rPr>
      <w:b/>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FMU"/>
    <w:basedOn w:val="Normal"/>
    <w:pPr>
      <w:tabs>
        <w:tab w:val="center" w:pos="4320"/>
        <w:tab w:val="right" w:pos="8640"/>
      </w:tabs>
      <w:spacing w:after="0"/>
      <w:jc w:val="center"/>
    </w:pPr>
    <w:rPr>
      <w:color w:val="000080"/>
    </w:rPr>
  </w:style>
  <w:style w:type="paragraph" w:customStyle="1" w:styleId="Bullet1">
    <w:name w:val="Bullet 1"/>
    <w:basedOn w:val="Normal"/>
    <w:pPr>
      <w:numPr>
        <w:numId w:val="9"/>
      </w:numPr>
      <w:tabs>
        <w:tab w:val="clear" w:pos="360"/>
        <w:tab w:val="num" w:pos="900"/>
      </w:tabs>
      <w:spacing w:after="0"/>
      <w:ind w:left="900"/>
      <w:jc w:val="both"/>
    </w:pPr>
    <w:rPr>
      <w:sz w:val="22"/>
    </w:rPr>
  </w:style>
  <w:style w:type="paragraph" w:customStyle="1" w:styleId="Listnumber1cm">
    <w:name w:val="List number 1cm"/>
    <w:basedOn w:val="Normal"/>
    <w:pPr>
      <w:numPr>
        <w:numId w:val="6"/>
      </w:numPr>
      <w:tabs>
        <w:tab w:val="clear" w:pos="927"/>
        <w:tab w:val="left" w:pos="851"/>
      </w:tabs>
    </w:pPr>
  </w:style>
  <w:style w:type="paragraph" w:customStyle="1" w:styleId="Tableheading">
    <w:name w:val="Table heading"/>
    <w:basedOn w:val="Normal"/>
    <w:pPr>
      <w:spacing w:before="120"/>
      <w:jc w:val="center"/>
    </w:pPr>
    <w:rPr>
      <w:b/>
      <w:color w:val="000080"/>
    </w:rPr>
  </w:style>
  <w:style w:type="paragraph" w:customStyle="1" w:styleId="Tabletext">
    <w:name w:val="Table text"/>
    <w:basedOn w:val="Normal"/>
    <w:pPr>
      <w:spacing w:before="60" w:after="60"/>
    </w:pPr>
  </w:style>
  <w:style w:type="paragraph" w:styleId="TOC1">
    <w:name w:val="toc 1"/>
    <w:basedOn w:val="Normal"/>
    <w:next w:val="Normal"/>
    <w:autoRedefine/>
    <w:uiPriority w:val="39"/>
    <w:pPr>
      <w:spacing w:before="120"/>
    </w:pPr>
    <w:rPr>
      <w:b/>
      <w:bCs/>
      <w:caps/>
      <w:szCs w:val="24"/>
    </w:rPr>
  </w:style>
  <w:style w:type="character" w:styleId="Hyperlink">
    <w:name w:val="Hyperlink"/>
    <w:uiPriority w:val="99"/>
    <w:rPr>
      <w:color w:val="0000FF"/>
      <w:u w:val="single"/>
    </w:rPr>
  </w:style>
  <w:style w:type="paragraph" w:styleId="Footer">
    <w:name w:val="footer"/>
    <w:aliases w:val="Footer CFMU"/>
    <w:basedOn w:val="Normal"/>
    <w:link w:val="FooterChar"/>
    <w:uiPriority w:val="99"/>
    <w:pPr>
      <w:tabs>
        <w:tab w:val="center" w:pos="4320"/>
        <w:tab w:val="right" w:pos="8640"/>
      </w:tabs>
      <w:spacing w:before="60" w:after="60"/>
      <w:jc w:val="center"/>
    </w:pPr>
    <w:rPr>
      <w:b/>
      <w:bCs/>
      <w:color w:val="000080"/>
      <w:sz w:val="16"/>
    </w:rPr>
  </w:style>
  <w:style w:type="paragraph" w:styleId="Title">
    <w:name w:val="Title"/>
    <w:basedOn w:val="Normal"/>
    <w:next w:val="Normal"/>
    <w:link w:val="TitleChar"/>
    <w:qFormat/>
    <w:pPr>
      <w:keepLines/>
      <w:spacing w:before="480" w:after="480"/>
      <w:jc w:val="center"/>
    </w:pPr>
    <w:rPr>
      <w:b/>
      <w:caps/>
      <w:color w:val="000080"/>
      <w:sz w:val="32"/>
    </w:rPr>
  </w:style>
  <w:style w:type="paragraph" w:styleId="TOC2">
    <w:name w:val="toc 2"/>
    <w:basedOn w:val="Normal"/>
    <w:next w:val="Normal"/>
    <w:autoRedefine/>
    <w:uiPriority w:val="39"/>
    <w:pPr>
      <w:ind w:left="200"/>
    </w:pPr>
    <w:rPr>
      <w:smallCaps/>
      <w:szCs w:val="24"/>
    </w:rPr>
  </w:style>
  <w:style w:type="paragraph" w:styleId="TOC3">
    <w:name w:val="toc 3"/>
    <w:basedOn w:val="Normal"/>
    <w:next w:val="Normal"/>
    <w:autoRedefine/>
    <w:uiPriority w:val="39"/>
    <w:pPr>
      <w:ind w:left="400"/>
    </w:pPr>
    <w:rPr>
      <w:i/>
      <w:iCs/>
      <w:szCs w:val="24"/>
    </w:rPr>
  </w:style>
  <w:style w:type="paragraph" w:styleId="TOC4">
    <w:name w:val="toc 4"/>
    <w:basedOn w:val="Normal"/>
    <w:next w:val="Normal"/>
    <w:autoRedefine/>
    <w:uiPriority w:val="39"/>
    <w:pPr>
      <w:ind w:left="600"/>
    </w:pPr>
    <w:rPr>
      <w:szCs w:val="21"/>
    </w:rPr>
  </w:style>
  <w:style w:type="paragraph" w:styleId="TOC5">
    <w:name w:val="toc 5"/>
    <w:basedOn w:val="Normal"/>
    <w:next w:val="Normal"/>
    <w:autoRedefine/>
    <w:semiHidden/>
    <w:pPr>
      <w:ind w:left="800"/>
    </w:pPr>
    <w:rPr>
      <w:szCs w:val="21"/>
    </w:rPr>
  </w:style>
  <w:style w:type="paragraph" w:styleId="TOC6">
    <w:name w:val="toc 6"/>
    <w:basedOn w:val="Normal"/>
    <w:next w:val="Normal"/>
    <w:autoRedefine/>
    <w:semiHidden/>
    <w:pPr>
      <w:ind w:left="1000"/>
    </w:pPr>
    <w:rPr>
      <w:szCs w:val="21"/>
    </w:rPr>
  </w:style>
  <w:style w:type="paragraph" w:styleId="TOC7">
    <w:name w:val="toc 7"/>
    <w:basedOn w:val="Normal"/>
    <w:next w:val="Normal"/>
    <w:autoRedefine/>
    <w:semiHidden/>
    <w:pPr>
      <w:ind w:left="1200"/>
    </w:pPr>
    <w:rPr>
      <w:szCs w:val="21"/>
    </w:rPr>
  </w:style>
  <w:style w:type="paragraph" w:styleId="TOC8">
    <w:name w:val="toc 8"/>
    <w:basedOn w:val="Normal"/>
    <w:next w:val="Normal"/>
    <w:autoRedefine/>
    <w:semiHidden/>
    <w:pPr>
      <w:ind w:left="1400"/>
    </w:pPr>
    <w:rPr>
      <w:szCs w:val="21"/>
    </w:rPr>
  </w:style>
  <w:style w:type="paragraph" w:styleId="TOC9">
    <w:name w:val="toc 9"/>
    <w:basedOn w:val="Normal"/>
    <w:next w:val="Normal"/>
    <w:autoRedefine/>
    <w:semiHidden/>
    <w:pPr>
      <w:ind w:left="1600"/>
    </w:pPr>
    <w:rPr>
      <w:szCs w:val="21"/>
    </w:rPr>
  </w:style>
  <w:style w:type="paragraph" w:customStyle="1" w:styleId="TableBullet">
    <w:name w:val="Table Bullet"/>
    <w:basedOn w:val="Normal"/>
    <w:pPr>
      <w:numPr>
        <w:ilvl w:val="1"/>
        <w:numId w:val="2"/>
      </w:numPr>
      <w:tabs>
        <w:tab w:val="clear" w:pos="1440"/>
        <w:tab w:val="num" w:pos="128"/>
      </w:tabs>
      <w:ind w:left="128" w:hanging="128"/>
    </w:pPr>
  </w:style>
  <w:style w:type="character" w:styleId="FollowedHyperlink">
    <w:name w:val="FollowedHyperlink"/>
    <w:rPr>
      <w:color w:val="800080"/>
      <w:u w:val="single"/>
    </w:rPr>
  </w:style>
  <w:style w:type="paragraph" w:customStyle="1" w:styleId="Listbullet1cm">
    <w:name w:val="List bullet 1cm"/>
    <w:basedOn w:val="Normal"/>
    <w:pPr>
      <w:numPr>
        <w:numId w:val="5"/>
      </w:numPr>
      <w:tabs>
        <w:tab w:val="clear" w:pos="1647"/>
        <w:tab w:val="num" w:pos="851"/>
      </w:tabs>
      <w:ind w:left="851" w:hanging="284"/>
    </w:pPr>
    <w:rPr>
      <w:rFonts w:eastAsia="MS Mincho"/>
    </w:rPr>
  </w:style>
  <w:style w:type="paragraph" w:customStyle="1" w:styleId="Listbullet2cm">
    <w:name w:val="List bullet 2cm"/>
    <w:basedOn w:val="Normal"/>
    <w:pPr>
      <w:numPr>
        <w:numId w:val="3"/>
      </w:numPr>
    </w:pPr>
  </w:style>
  <w:style w:type="paragraph" w:styleId="FootnoteText">
    <w:name w:val="footnote text"/>
    <w:basedOn w:val="Normal"/>
    <w:link w:val="FootnoteTextChar"/>
    <w:semiHidden/>
    <w:rPr>
      <w:sz w:val="16"/>
    </w:rPr>
  </w:style>
  <w:style w:type="character" w:styleId="FootnoteReference">
    <w:name w:val="footnote reference"/>
    <w:semiHidden/>
    <w:rPr>
      <w:vertAlign w:val="superscript"/>
    </w:rPr>
  </w:style>
  <w:style w:type="paragraph" w:customStyle="1" w:styleId="Listnumber2cm">
    <w:name w:val="List number 2cm"/>
    <w:basedOn w:val="Listbullet2cm"/>
    <w:pPr>
      <w:numPr>
        <w:numId w:val="4"/>
      </w:numPr>
      <w:tabs>
        <w:tab w:val="clear" w:pos="1701"/>
        <w:tab w:val="num" w:pos="1418"/>
      </w:tabs>
      <w:ind w:left="1418" w:hanging="284"/>
    </w:pPr>
  </w:style>
  <w:style w:type="paragraph" w:customStyle="1" w:styleId="ListNumber1">
    <w:name w:val="List Number 1"/>
    <w:basedOn w:val="Normal"/>
    <w:pPr>
      <w:numPr>
        <w:numId w:val="7"/>
      </w:numPr>
      <w:spacing w:before="240" w:after="240"/>
      <w:jc w:val="both"/>
    </w:pPr>
    <w:rPr>
      <w:sz w:val="22"/>
    </w:rPr>
  </w:style>
  <w:style w:type="paragraph" w:customStyle="1" w:styleId="ListNumber1Level2">
    <w:name w:val="List Number 1 (Level 2)"/>
    <w:basedOn w:val="Normal"/>
    <w:pPr>
      <w:numPr>
        <w:ilvl w:val="1"/>
        <w:numId w:val="7"/>
      </w:numPr>
      <w:spacing w:after="240"/>
      <w:jc w:val="both"/>
    </w:pPr>
    <w:rPr>
      <w:sz w:val="22"/>
    </w:rPr>
  </w:style>
  <w:style w:type="paragraph" w:customStyle="1" w:styleId="ListNumber1Level3">
    <w:name w:val="List Number 1 (Level 3)"/>
    <w:basedOn w:val="Normal"/>
    <w:pPr>
      <w:numPr>
        <w:ilvl w:val="2"/>
        <w:numId w:val="7"/>
      </w:numPr>
      <w:spacing w:after="240"/>
      <w:jc w:val="both"/>
    </w:pPr>
    <w:rPr>
      <w:sz w:val="22"/>
    </w:rPr>
  </w:style>
  <w:style w:type="paragraph" w:customStyle="1" w:styleId="ListNumber1Level4">
    <w:name w:val="List Number 1 (Level 4)"/>
    <w:basedOn w:val="Normal"/>
    <w:pPr>
      <w:numPr>
        <w:ilvl w:val="3"/>
        <w:numId w:val="7"/>
      </w:numPr>
      <w:spacing w:after="240"/>
      <w:jc w:val="both"/>
    </w:pPr>
    <w:rPr>
      <w:sz w:val="22"/>
    </w:rPr>
  </w:style>
  <w:style w:type="paragraph" w:customStyle="1" w:styleId="Bullet">
    <w:name w:val="Bullet"/>
    <w:basedOn w:val="Normal"/>
    <w:pPr>
      <w:numPr>
        <w:numId w:val="8"/>
      </w:numPr>
      <w:ind w:left="357" w:hanging="357"/>
      <w:jc w:val="both"/>
    </w:pPr>
    <w:rPr>
      <w:snapToGrid w:val="0"/>
      <w:color w:val="000000"/>
      <w:sz w:val="22"/>
    </w:rPr>
  </w:style>
  <w:style w:type="paragraph" w:customStyle="1" w:styleId="Bullet10">
    <w:name w:val="Bullet1"/>
    <w:basedOn w:val="Normal"/>
    <w:pPr>
      <w:numPr>
        <w:numId w:val="10"/>
      </w:numPr>
      <w:spacing w:before="40" w:after="0"/>
    </w:pPr>
    <w:rPr>
      <w:rFonts w:ascii="Times New Roman" w:hAnsi="Times New Roman"/>
      <w:snapToGrid w:val="0"/>
    </w:rPr>
  </w:style>
  <w:style w:type="paragraph" w:customStyle="1" w:styleId="Bullet2">
    <w:name w:val="Bullet2"/>
    <w:basedOn w:val="Bullet10"/>
    <w:pPr>
      <w:numPr>
        <w:numId w:val="0"/>
      </w:numPr>
      <w:tabs>
        <w:tab w:val="num" w:pos="720"/>
      </w:tabs>
      <w:ind w:left="720" w:hanging="360"/>
    </w:pPr>
  </w:style>
  <w:style w:type="paragraph" w:customStyle="1" w:styleId="Heading1t1TITRE1Titre11t1T1Titre1Titre1edt1T1Titre1AnnexeH1t1T1h1l1HGSA1Titre1T1Chapitre11Level1Heading1ColoredChaptertitlechMIGHeading1ch1Bold18CMGH1NCS-H1berschrift1berschrift11">
    <w:name w:val="Heading 1.t1.TITRE1.Titre 11.t1.T1.Titre 1.Titre 1ed.t1.T1.Titre 1Annexe.H1.t1.T1.h1.l1.H.GSA1.Titre 1:.T1.Chapitre 1.1.Level 1.Heading 1 Colored.Chapter title.ch.MIGHeading 1.ch1.Bold 18.CMG H1.NCS-H1.überschrift1.überschrift11"/>
    <w:basedOn w:val="Normal"/>
    <w:next w:val="Normal"/>
    <w:pPr>
      <w:keepNext/>
      <w:tabs>
        <w:tab w:val="num" w:pos="432"/>
      </w:tabs>
      <w:spacing w:before="240" w:after="60"/>
      <w:ind w:left="432" w:hanging="432"/>
      <w:outlineLvl w:val="0"/>
    </w:pPr>
    <w:rPr>
      <w:b/>
      <w:kern w:val="28"/>
      <w:sz w:val="28"/>
    </w:rPr>
  </w:style>
  <w:style w:type="paragraph" w:customStyle="1" w:styleId="Lista">
    <w:name w:val="List a)"/>
    <w:basedOn w:val="Normal"/>
    <w:pPr>
      <w:numPr>
        <w:numId w:val="11"/>
      </w:numPr>
      <w:spacing w:before="60" w:after="0"/>
      <w:jc w:val="both"/>
    </w:pPr>
    <w:rPr>
      <w:snapToGrid w:val="0"/>
      <w:color w:val="000000"/>
      <w:sz w:val="22"/>
    </w:rPr>
  </w:style>
  <w:style w:type="paragraph" w:styleId="ListBullet">
    <w:name w:val="List Bullet"/>
    <w:basedOn w:val="Normal"/>
    <w:autoRedefine/>
    <w:pPr>
      <w:numPr>
        <w:numId w:val="12"/>
      </w:numPr>
      <w:tabs>
        <w:tab w:val="clear" w:pos="720"/>
        <w:tab w:val="num" w:pos="1260"/>
      </w:tabs>
      <w:spacing w:after="0"/>
      <w:ind w:left="1260"/>
      <w:jc w:val="both"/>
    </w:pPr>
    <w:rPr>
      <w:noProof/>
      <w:snapToGrid w:val="0"/>
      <w:color w:val="000000"/>
      <w:sz w:val="22"/>
    </w:rPr>
  </w:style>
  <w:style w:type="paragraph" w:customStyle="1" w:styleId="ListBullet1">
    <w:name w:val="List Bullet 1"/>
    <w:basedOn w:val="Normal"/>
    <w:pPr>
      <w:numPr>
        <w:numId w:val="13"/>
      </w:numPr>
      <w:spacing w:before="120" w:after="0"/>
      <w:ind w:left="1276" w:hanging="284"/>
    </w:pPr>
    <w:rPr>
      <w:rFonts w:ascii="Times New Roman" w:hAnsi="Times New Roman"/>
      <w:sz w:val="22"/>
    </w:rPr>
  </w:style>
  <w:style w:type="paragraph" w:styleId="ListNumber">
    <w:name w:val="List Number"/>
    <w:basedOn w:val="Normal"/>
    <w:pPr>
      <w:numPr>
        <w:numId w:val="14"/>
      </w:numPr>
      <w:spacing w:after="240"/>
      <w:jc w:val="both"/>
    </w:pPr>
    <w:rPr>
      <w:sz w:val="22"/>
    </w:rPr>
  </w:style>
  <w:style w:type="paragraph" w:customStyle="1" w:styleId="perso1">
    <w:name w:val="perso1"/>
    <w:pPr>
      <w:tabs>
        <w:tab w:val="num" w:pos="432"/>
      </w:tabs>
      <w:ind w:left="432" w:hanging="432"/>
    </w:pPr>
    <w:rPr>
      <w:b/>
      <w:sz w:val="24"/>
      <w:u w:val="single"/>
    </w:rPr>
  </w:style>
  <w:style w:type="paragraph" w:customStyle="1" w:styleId="Puce2">
    <w:name w:val="Puce2"/>
    <w:basedOn w:val="Normal"/>
    <w:pPr>
      <w:numPr>
        <w:numId w:val="15"/>
      </w:numPr>
      <w:spacing w:after="0"/>
      <w:jc w:val="both"/>
    </w:pPr>
    <w:rPr>
      <w:snapToGrid w:val="0"/>
      <w:color w:val="000000"/>
      <w:sz w:val="22"/>
    </w:rPr>
  </w:style>
  <w:style w:type="paragraph" w:customStyle="1" w:styleId="SteriaBullet">
    <w:name w:val="Steria Bullet"/>
    <w:basedOn w:val="SteriaResponse"/>
    <w:pPr>
      <w:numPr>
        <w:numId w:val="16"/>
      </w:numPr>
      <w:tabs>
        <w:tab w:val="clear" w:pos="4235"/>
      </w:tabs>
      <w:ind w:left="357" w:hanging="357"/>
    </w:pPr>
  </w:style>
  <w:style w:type="paragraph" w:customStyle="1" w:styleId="SteriaResponse">
    <w:name w:val="Steria Response"/>
    <w:pPr>
      <w:spacing w:after="240" w:line="260" w:lineRule="exact"/>
    </w:pPr>
    <w:rPr>
      <w:color w:val="000080"/>
      <w:sz w:val="22"/>
    </w:rPr>
  </w:style>
  <w:style w:type="paragraph" w:customStyle="1" w:styleId="TaBult1">
    <w:name w:val="TaBult 1"/>
    <w:basedOn w:val="Normal"/>
    <w:pPr>
      <w:numPr>
        <w:numId w:val="17"/>
      </w:numPr>
      <w:spacing w:before="60" w:after="60"/>
      <w:ind w:left="426" w:hanging="284"/>
      <w:jc w:val="both"/>
    </w:pPr>
    <w:rPr>
      <w:rFonts w:ascii="Times New Roman" w:hAnsi="Times New Roman"/>
      <w:sz w:val="22"/>
    </w:rPr>
  </w:style>
  <w:style w:type="paragraph" w:customStyle="1" w:styleId="Bullet20">
    <w:name w:val="Bullet 2"/>
    <w:basedOn w:val="Normal"/>
    <w:pPr>
      <w:tabs>
        <w:tab w:val="num" w:pos="1260"/>
      </w:tabs>
      <w:spacing w:after="0"/>
      <w:ind w:left="1260" w:hanging="360"/>
      <w:jc w:val="both"/>
    </w:pPr>
    <w:rPr>
      <w:sz w:val="22"/>
    </w:rPr>
  </w:style>
  <w:style w:type="paragraph" w:customStyle="1" w:styleId="bp">
    <w:name w:val="bp"/>
    <w:basedOn w:val="Normal"/>
    <w:pPr>
      <w:spacing w:before="100" w:after="100"/>
    </w:pPr>
    <w:rPr>
      <w:rFonts w:ascii="Arial Unicode MS" w:eastAsia="Arial Unicode MS" w:hAnsi="Arial Unicode MS"/>
      <w:sz w:val="24"/>
    </w:rPr>
  </w:style>
  <w:style w:type="paragraph" w:styleId="List2">
    <w:name w:val="List 2"/>
    <w:basedOn w:val="Normal"/>
    <w:pPr>
      <w:tabs>
        <w:tab w:val="num" w:pos="360"/>
      </w:tabs>
      <w:spacing w:before="60" w:after="0"/>
      <w:ind w:left="360" w:hanging="360"/>
      <w:jc w:val="both"/>
    </w:pPr>
    <w:rPr>
      <w:snapToGrid w:val="0"/>
      <w:color w:val="000000"/>
      <w:sz w:val="22"/>
    </w:rPr>
  </w:style>
  <w:style w:type="paragraph" w:customStyle="1" w:styleId="BodySingle">
    <w:name w:val="*Body Single"/>
    <w:basedOn w:val="Normal"/>
    <w:pPr>
      <w:spacing w:after="0" w:line="220" w:lineRule="atLeast"/>
      <w:ind w:left="2304"/>
    </w:pPr>
    <w:rPr>
      <w:sz w:val="22"/>
      <w:szCs w:val="24"/>
    </w:rPr>
  </w:style>
  <w:style w:type="paragraph" w:customStyle="1" w:styleId="Text2">
    <w:name w:val="Text 2"/>
    <w:basedOn w:val="Default"/>
    <w:next w:val="Default"/>
    <w:link w:val="Text2Char"/>
    <w:pPr>
      <w:autoSpaceDE/>
      <w:autoSpaceDN/>
      <w:adjustRightInd/>
      <w:spacing w:before="120" w:after="120"/>
    </w:pPr>
  </w:style>
  <w:style w:type="paragraph" w:customStyle="1" w:styleId="Default">
    <w:name w:val="Default"/>
    <w:pPr>
      <w:autoSpaceDE w:val="0"/>
      <w:autoSpaceDN w:val="0"/>
      <w:adjustRightInd w:val="0"/>
    </w:pPr>
    <w:rPr>
      <w:rFonts w:ascii="TimesNewRoman" w:hAnsi="TimesNewRoman"/>
    </w:rPr>
  </w:style>
  <w:style w:type="paragraph" w:styleId="BodyText">
    <w:name w:val="Body Text"/>
    <w:aliases w:val="EDS Question Text"/>
    <w:basedOn w:val="Normal"/>
    <w:pPr>
      <w:spacing w:after="0"/>
      <w:ind w:right="-1054"/>
    </w:pPr>
    <w:rPr>
      <w:noProof/>
    </w:rPr>
  </w:style>
  <w:style w:type="paragraph" w:styleId="BodyText2">
    <w:name w:val="Body Text 2"/>
    <w:basedOn w:val="Normal"/>
    <w:pPr>
      <w:spacing w:after="0"/>
    </w:pPr>
    <w:rPr>
      <w:color w:val="000000"/>
      <w:sz w:val="22"/>
    </w:rPr>
  </w:style>
  <w:style w:type="paragraph" w:styleId="BodyText3">
    <w:name w:val="Body Text 3"/>
    <w:basedOn w:val="Normal"/>
    <w:pPr>
      <w:spacing w:after="0"/>
      <w:jc w:val="both"/>
    </w:pPr>
    <w:rPr>
      <w:snapToGrid w:val="0"/>
      <w:color w:val="000000"/>
      <w:sz w:val="22"/>
    </w:rPr>
  </w:style>
  <w:style w:type="paragraph" w:styleId="BlockText">
    <w:name w:val="Block Text"/>
    <w:basedOn w:val="Normal"/>
    <w:pPr>
      <w:pBdr>
        <w:top w:val="single" w:sz="4" w:space="1" w:color="auto"/>
        <w:left w:val="single" w:sz="4" w:space="4" w:color="auto"/>
        <w:bottom w:val="single" w:sz="4" w:space="1" w:color="auto"/>
        <w:right w:val="single" w:sz="4" w:space="4" w:color="auto"/>
      </w:pBdr>
      <w:spacing w:after="0"/>
      <w:ind w:left="720" w:right="720"/>
    </w:pPr>
    <w:rPr>
      <w:rFonts w:ascii="Times New Roman" w:hAnsi="Times New Roman"/>
      <w:b/>
      <w:bCs/>
      <w:color w:val="FF0000"/>
      <w:sz w:val="24"/>
      <w:szCs w:val="24"/>
    </w:rPr>
  </w:style>
  <w:style w:type="paragraph" w:customStyle="1" w:styleId="cellheading">
    <w:name w:val="cellheading"/>
    <w:basedOn w:val="Normal"/>
    <w:pPr>
      <w:spacing w:after="144"/>
    </w:pPr>
    <w:rPr>
      <w:rFonts w:ascii="Verdana" w:eastAsia="Arial Unicode MS" w:hAnsi="Verdana"/>
      <w:b/>
      <w:color w:val="000000"/>
    </w:rPr>
  </w:style>
  <w:style w:type="paragraph" w:styleId="NormalWeb">
    <w:name w:val="Normal (Web)"/>
    <w:basedOn w:val="Normal"/>
    <w:pPr>
      <w:spacing w:before="100" w:beforeAutospacing="1" w:after="100" w:afterAutospacing="1"/>
    </w:pPr>
    <w:rPr>
      <w:rFonts w:ascii="Times New Roman" w:hAnsi="Times New Roman"/>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rPr>
  </w:style>
  <w:style w:type="table" w:styleId="TableGrid">
    <w:name w:val="Table Grid"/>
    <w:basedOn w:val="TableNormal"/>
    <w:uiPriority w:val="59"/>
    <w:pPr>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Heading2Char">
    <w:name w:val="Heading 2 Char"/>
    <w:aliases w:val="T2 Char,h2 Char,L2 Char,H2 Char,Punt 2 Char,l2 Char,2 Char,Titre 21 Char,t2.T2 Char,t2 Char,Contrat 2 Char,Ctt Char,t2.T2.Titre 2 Char,TITRE 2 Char,Titre 2ed Char,Heading 2 Hidden Char,heading 2 Char,Chapter Number/Appendix Letter Char"/>
    <w:link w:val="Heading2"/>
    <w:rPr>
      <w:b/>
      <w:bCs/>
      <w:smallCaps/>
      <w:color w:val="000080"/>
      <w:sz w:val="32"/>
    </w:rPr>
  </w:style>
  <w:style w:type="character" w:customStyle="1" w:styleId="Heading4Char">
    <w:name w:val="Heading 4 Char"/>
    <w:aliases w:val="4 Char,H4 Char,Titre 41 Char,t4.T4 Char,t4 Char,Chapitre 1.1.1. Char,Alinéa Char,dash Char,h4 Char,Ref Heading 1 Char,rh1 Char,First Subheading Char,T4 Char,t4.T4.Titre 4 Char,heading 4 Char,l4 Char,I4 Char,(Shift Ctrl 4) Char"/>
    <w:link w:val="Heading4"/>
    <w:rPr>
      <w:b/>
      <w:smallCaps/>
      <w:color w:val="000080"/>
      <w:sz w:val="24"/>
    </w:rPr>
  </w:style>
  <w:style w:type="paragraph" w:styleId="BodyTextIndent">
    <w:name w:val="Body Text Indent"/>
    <w:basedOn w:val="Normal"/>
    <w:pPr>
      <w:numPr>
        <w:numId w:val="18"/>
      </w:numPr>
      <w:tabs>
        <w:tab w:val="clear" w:pos="283"/>
      </w:tabs>
      <w:ind w:firstLine="0"/>
      <w:jc w:val="both"/>
    </w:pPr>
    <w:rPr>
      <w:rFonts w:ascii="Times New Roman" w:hAnsi="Times New Roman"/>
      <w:sz w:val="22"/>
    </w:rPr>
  </w:style>
  <w:style w:type="character" w:customStyle="1" w:styleId="Text2Char">
    <w:name w:val="Text 2 Char"/>
    <w:link w:val="Text2"/>
    <w:rPr>
      <w:rFonts w:ascii="TimesNewRoman" w:hAnsi="TimesNewRoman"/>
      <w:lang w:val="bg-BG" w:eastAsia="bg-BG" w:bidi="bg-BG"/>
    </w:rPr>
  </w:style>
  <w:style w:type="character" w:styleId="HTMLCode">
    <w:name w:val="HTML Code"/>
    <w:semiHidden/>
    <w:unhideWhenUsed/>
    <w:rPr>
      <w:rFonts w:ascii="Courier New" w:eastAsia="Times New Roman" w:hAnsi="Courier New" w:cs="Courier New"/>
      <w:sz w:val="20"/>
      <w:szCs w:val="20"/>
    </w:rPr>
  </w:style>
  <w:style w:type="character" w:customStyle="1" w:styleId="Heading2Char2">
    <w:name w:val="Heading 2 Char2"/>
    <w:aliases w:val="Heading 2 Char1 Char,Heading 2 Char Char Char,Heading 2 Char Char1"/>
    <w:locked/>
    <w:rPr>
      <w:b/>
      <w:sz w:val="24"/>
      <w:lang w:val="bg-BG" w:eastAsia="bg-BG" w:bidi="bg-BG"/>
    </w:rPr>
  </w:style>
  <w:style w:type="paragraph" w:customStyle="1" w:styleId="NumPar1">
    <w:name w:val="NumPar 1"/>
    <w:basedOn w:val="Normal"/>
    <w:next w:val="Normal"/>
    <w:pPr>
      <w:numPr>
        <w:numId w:val="21"/>
      </w:numPr>
      <w:spacing w:before="120"/>
      <w:jc w:val="both"/>
    </w:pPr>
    <w:rPr>
      <w:rFonts w:ascii="Times New Roman" w:hAnsi="Times New Roman"/>
      <w:sz w:val="24"/>
      <w:szCs w:val="24"/>
    </w:rPr>
  </w:style>
  <w:style w:type="paragraph" w:customStyle="1" w:styleId="NumPar2">
    <w:name w:val="NumPar 2"/>
    <w:basedOn w:val="Normal"/>
    <w:next w:val="Normal"/>
    <w:pPr>
      <w:numPr>
        <w:ilvl w:val="1"/>
        <w:numId w:val="21"/>
      </w:numPr>
      <w:spacing w:before="120"/>
      <w:jc w:val="both"/>
    </w:pPr>
    <w:rPr>
      <w:rFonts w:ascii="Times New Roman" w:hAnsi="Times New Roman"/>
      <w:sz w:val="24"/>
      <w:szCs w:val="24"/>
    </w:rPr>
  </w:style>
  <w:style w:type="paragraph" w:customStyle="1" w:styleId="NumPar3">
    <w:name w:val="NumPar 3"/>
    <w:basedOn w:val="Normal"/>
    <w:next w:val="Normal"/>
    <w:pPr>
      <w:numPr>
        <w:ilvl w:val="2"/>
        <w:numId w:val="21"/>
      </w:numPr>
      <w:spacing w:before="120"/>
      <w:jc w:val="both"/>
    </w:pPr>
    <w:rPr>
      <w:rFonts w:ascii="Times New Roman" w:hAnsi="Times New Roman"/>
      <w:sz w:val="24"/>
      <w:szCs w:val="24"/>
    </w:rPr>
  </w:style>
  <w:style w:type="paragraph" w:customStyle="1" w:styleId="NumPar4">
    <w:name w:val="NumPar 4"/>
    <w:basedOn w:val="Normal"/>
    <w:next w:val="Normal"/>
    <w:pPr>
      <w:numPr>
        <w:ilvl w:val="3"/>
        <w:numId w:val="21"/>
      </w:numPr>
      <w:spacing w:before="120"/>
      <w:jc w:val="both"/>
    </w:pPr>
    <w:rPr>
      <w:rFonts w:ascii="Times New Roman" w:hAnsi="Times New Roman"/>
      <w:sz w:val="24"/>
      <w:szCs w:val="24"/>
    </w:rPr>
  </w:style>
  <w:style w:type="paragraph" w:styleId="ListParagraph">
    <w:name w:val="List Paragraph"/>
    <w:basedOn w:val="Normal"/>
    <w:uiPriority w:val="34"/>
    <w:qFormat/>
    <w:pPr>
      <w:spacing w:after="0"/>
      <w:ind w:left="720"/>
    </w:pPr>
    <w:rPr>
      <w:rFonts w:ascii="Calibri" w:hAnsi="Calibri"/>
      <w:sz w:val="22"/>
      <w:szCs w:val="22"/>
    </w:rPr>
  </w:style>
  <w:style w:type="character" w:customStyle="1" w:styleId="CommentTextChar">
    <w:name w:val="Comment Text Char"/>
    <w:basedOn w:val="DefaultParagraphFont"/>
    <w:link w:val="CommentText"/>
    <w:semiHidden/>
    <w:rPr>
      <w:rFonts w:ascii="Arial" w:hAnsi="Arial"/>
      <w:lang w:eastAsia="bg-BG"/>
    </w:rPr>
  </w:style>
  <w:style w:type="paragraph" w:styleId="Revision">
    <w:name w:val="Revision"/>
    <w:hidden/>
    <w:uiPriority w:val="99"/>
    <w:semiHidden/>
    <w:rPr>
      <w:sz w:val="18"/>
    </w:rPr>
  </w:style>
  <w:style w:type="character" w:customStyle="1" w:styleId="FootnoteTextChar">
    <w:name w:val="Footnote Text Char"/>
    <w:basedOn w:val="DefaultParagraphFont"/>
    <w:link w:val="FootnoteText"/>
    <w:semiHidden/>
    <w:rPr>
      <w:rFonts w:ascii="Arial" w:hAnsi="Arial"/>
      <w:sz w:val="16"/>
      <w:lang w:eastAsia="bg-BG"/>
    </w:rPr>
  </w:style>
  <w:style w:type="paragraph" w:styleId="EndnoteText">
    <w:name w:val="endnote text"/>
    <w:basedOn w:val="Normal"/>
    <w:link w:val="EndnoteTextChar"/>
    <w:semiHidden/>
    <w:unhideWhenUsed/>
    <w:pPr>
      <w:spacing w:after="0"/>
    </w:pPr>
  </w:style>
  <w:style w:type="character" w:customStyle="1" w:styleId="EndnoteTextChar">
    <w:name w:val="Endnote Text Char"/>
    <w:basedOn w:val="DefaultParagraphFont"/>
    <w:link w:val="EndnoteText"/>
    <w:semiHidden/>
  </w:style>
  <w:style w:type="character" w:styleId="EndnoteReference">
    <w:name w:val="endnote reference"/>
    <w:basedOn w:val="DefaultParagraphFont"/>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jc w:val="both"/>
    </w:pPr>
    <w:rPr>
      <w:rFonts w:ascii="Times New Roman" w:eastAsiaTheme="minorHAnsi" w:hAnsi="Times New Roman" w:cs="Times New Roman"/>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pPr>
    <w:rPr>
      <w:rFonts w:ascii="Times New Roman" w:hAnsi="Times New Roman" w:cs="Times New Roman"/>
      <w:color w:val="000080"/>
      <w:sz w:val="24"/>
    </w:rPr>
  </w:style>
  <w:style w:type="character" w:customStyle="1" w:styleId="TitleChar">
    <w:name w:val="Title Char"/>
    <w:basedOn w:val="DefaultParagraphFont"/>
    <w:link w:val="Title"/>
    <w:rPr>
      <w:b/>
      <w:caps/>
      <w:color w:val="000080"/>
      <w:sz w:val="32"/>
    </w:rPr>
  </w:style>
  <w:style w:type="character" w:customStyle="1" w:styleId="FooterCoverPageChar">
    <w:name w:val="Footer Cover Page Char"/>
    <w:basedOn w:val="TitleChar"/>
    <w:link w:val="FooterCoverPage"/>
    <w:rPr>
      <w:rFonts w:ascii="Times New Roman" w:hAnsi="Times New Roman" w:cs="Times New Roman"/>
      <w:b w:val="0"/>
      <w:caps w:val="0"/>
      <w:color w:val="000080"/>
      <w:sz w:val="24"/>
    </w:rPr>
  </w:style>
  <w:style w:type="paragraph" w:customStyle="1" w:styleId="HeaderCoverPage">
    <w:name w:val="Header Cover Page"/>
    <w:basedOn w:val="Normal"/>
    <w:link w:val="HeaderCoverPageChar"/>
    <w:pPr>
      <w:tabs>
        <w:tab w:val="center" w:pos="4535"/>
        <w:tab w:val="right" w:pos="9071"/>
      </w:tabs>
      <w:jc w:val="both"/>
    </w:pPr>
    <w:rPr>
      <w:rFonts w:ascii="Times New Roman" w:hAnsi="Times New Roman" w:cs="Times New Roman"/>
      <w:color w:val="000080"/>
      <w:sz w:val="24"/>
    </w:rPr>
  </w:style>
  <w:style w:type="character" w:customStyle="1" w:styleId="HeaderCoverPageChar">
    <w:name w:val="Header Cover Page Char"/>
    <w:basedOn w:val="TitleChar"/>
    <w:link w:val="HeaderCoverPage"/>
    <w:rPr>
      <w:rFonts w:ascii="Times New Roman" w:hAnsi="Times New Roman" w:cs="Times New Roman"/>
      <w:b w:val="0"/>
      <w:caps w:val="0"/>
      <w:color w:val="000080"/>
      <w:sz w:val="24"/>
    </w:rPr>
  </w:style>
  <w:style w:type="character" w:customStyle="1" w:styleId="FooterChar">
    <w:name w:val="Footer Char"/>
    <w:aliases w:val="Footer CFMU Char"/>
    <w:basedOn w:val="DefaultParagraphFont"/>
    <w:link w:val="Footer"/>
    <w:uiPriority w:val="99"/>
    <w:rPr>
      <w:b/>
      <w:bCs/>
      <w:color w:val="00008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576491">
      <w:bodyDiv w:val="1"/>
      <w:marLeft w:val="0"/>
      <w:marRight w:val="0"/>
      <w:marTop w:val="0"/>
      <w:marBottom w:val="0"/>
      <w:divBdr>
        <w:top w:val="none" w:sz="0" w:space="0" w:color="auto"/>
        <w:left w:val="none" w:sz="0" w:space="0" w:color="auto"/>
        <w:bottom w:val="none" w:sz="0" w:space="0" w:color="auto"/>
        <w:right w:val="none" w:sz="0" w:space="0" w:color="auto"/>
      </w:divBdr>
    </w:div>
    <w:div w:id="436944370">
      <w:bodyDiv w:val="1"/>
      <w:marLeft w:val="0"/>
      <w:marRight w:val="0"/>
      <w:marTop w:val="0"/>
      <w:marBottom w:val="0"/>
      <w:divBdr>
        <w:top w:val="none" w:sz="0" w:space="0" w:color="auto"/>
        <w:left w:val="none" w:sz="0" w:space="0" w:color="auto"/>
        <w:bottom w:val="none" w:sz="0" w:space="0" w:color="auto"/>
        <w:right w:val="none" w:sz="0" w:space="0" w:color="auto"/>
      </w:divBdr>
    </w:div>
    <w:div w:id="662397485">
      <w:bodyDiv w:val="1"/>
      <w:marLeft w:val="0"/>
      <w:marRight w:val="0"/>
      <w:marTop w:val="0"/>
      <w:marBottom w:val="0"/>
      <w:divBdr>
        <w:top w:val="none" w:sz="0" w:space="0" w:color="auto"/>
        <w:left w:val="none" w:sz="0" w:space="0" w:color="auto"/>
        <w:bottom w:val="none" w:sz="0" w:space="0" w:color="auto"/>
        <w:right w:val="none" w:sz="0" w:space="0" w:color="auto"/>
      </w:divBdr>
    </w:div>
    <w:div w:id="814957810">
      <w:bodyDiv w:val="1"/>
      <w:marLeft w:val="0"/>
      <w:marRight w:val="0"/>
      <w:marTop w:val="0"/>
      <w:marBottom w:val="0"/>
      <w:divBdr>
        <w:top w:val="none" w:sz="0" w:space="0" w:color="auto"/>
        <w:left w:val="none" w:sz="0" w:space="0" w:color="auto"/>
        <w:bottom w:val="none" w:sz="0" w:space="0" w:color="auto"/>
        <w:right w:val="none" w:sz="0" w:space="0" w:color="auto"/>
      </w:divBdr>
    </w:div>
    <w:div w:id="852457057">
      <w:bodyDiv w:val="1"/>
      <w:marLeft w:val="0"/>
      <w:marRight w:val="0"/>
      <w:marTop w:val="0"/>
      <w:marBottom w:val="0"/>
      <w:divBdr>
        <w:top w:val="none" w:sz="0" w:space="0" w:color="auto"/>
        <w:left w:val="none" w:sz="0" w:space="0" w:color="auto"/>
        <w:bottom w:val="none" w:sz="0" w:space="0" w:color="auto"/>
        <w:right w:val="none" w:sz="0" w:space="0" w:color="auto"/>
      </w:divBdr>
    </w:div>
    <w:div w:id="937715902">
      <w:bodyDiv w:val="1"/>
      <w:marLeft w:val="0"/>
      <w:marRight w:val="0"/>
      <w:marTop w:val="0"/>
      <w:marBottom w:val="0"/>
      <w:divBdr>
        <w:top w:val="none" w:sz="0" w:space="0" w:color="auto"/>
        <w:left w:val="none" w:sz="0" w:space="0" w:color="auto"/>
        <w:bottom w:val="none" w:sz="0" w:space="0" w:color="auto"/>
        <w:right w:val="none" w:sz="0" w:space="0" w:color="auto"/>
      </w:divBdr>
    </w:div>
    <w:div w:id="976498224">
      <w:bodyDiv w:val="1"/>
      <w:marLeft w:val="0"/>
      <w:marRight w:val="0"/>
      <w:marTop w:val="0"/>
      <w:marBottom w:val="0"/>
      <w:divBdr>
        <w:top w:val="none" w:sz="0" w:space="0" w:color="auto"/>
        <w:left w:val="none" w:sz="0" w:space="0" w:color="auto"/>
        <w:bottom w:val="none" w:sz="0" w:space="0" w:color="auto"/>
        <w:right w:val="none" w:sz="0" w:space="0" w:color="auto"/>
      </w:divBdr>
    </w:div>
    <w:div w:id="1193766090">
      <w:bodyDiv w:val="1"/>
      <w:marLeft w:val="0"/>
      <w:marRight w:val="0"/>
      <w:marTop w:val="0"/>
      <w:marBottom w:val="0"/>
      <w:divBdr>
        <w:top w:val="none" w:sz="0" w:space="0" w:color="auto"/>
        <w:left w:val="none" w:sz="0" w:space="0" w:color="auto"/>
        <w:bottom w:val="none" w:sz="0" w:space="0" w:color="auto"/>
        <w:right w:val="none" w:sz="0" w:space="0" w:color="auto"/>
      </w:divBdr>
    </w:div>
    <w:div w:id="1221405828">
      <w:bodyDiv w:val="1"/>
      <w:marLeft w:val="0"/>
      <w:marRight w:val="0"/>
      <w:marTop w:val="0"/>
      <w:marBottom w:val="0"/>
      <w:divBdr>
        <w:top w:val="none" w:sz="0" w:space="0" w:color="auto"/>
        <w:left w:val="none" w:sz="0" w:space="0" w:color="auto"/>
        <w:bottom w:val="none" w:sz="0" w:space="0" w:color="auto"/>
        <w:right w:val="none" w:sz="0" w:space="0" w:color="auto"/>
      </w:divBdr>
    </w:div>
    <w:div w:id="1259944273">
      <w:bodyDiv w:val="1"/>
      <w:marLeft w:val="0"/>
      <w:marRight w:val="0"/>
      <w:marTop w:val="0"/>
      <w:marBottom w:val="0"/>
      <w:divBdr>
        <w:top w:val="none" w:sz="0" w:space="0" w:color="auto"/>
        <w:left w:val="none" w:sz="0" w:space="0" w:color="auto"/>
        <w:bottom w:val="none" w:sz="0" w:space="0" w:color="auto"/>
        <w:right w:val="none" w:sz="0" w:space="0" w:color="auto"/>
      </w:divBdr>
    </w:div>
    <w:div w:id="1512455331">
      <w:bodyDiv w:val="1"/>
      <w:marLeft w:val="0"/>
      <w:marRight w:val="0"/>
      <w:marTop w:val="0"/>
      <w:marBottom w:val="0"/>
      <w:divBdr>
        <w:top w:val="none" w:sz="0" w:space="0" w:color="auto"/>
        <w:left w:val="none" w:sz="0" w:space="0" w:color="auto"/>
        <w:bottom w:val="none" w:sz="0" w:space="0" w:color="auto"/>
        <w:right w:val="none" w:sz="0" w:space="0" w:color="auto"/>
      </w:divBdr>
    </w:div>
    <w:div w:id="1895656447">
      <w:bodyDiv w:val="1"/>
      <w:marLeft w:val="0"/>
      <w:marRight w:val="0"/>
      <w:marTop w:val="0"/>
      <w:marBottom w:val="0"/>
      <w:divBdr>
        <w:top w:val="none" w:sz="0" w:space="0" w:color="auto"/>
        <w:left w:val="none" w:sz="0" w:space="0" w:color="auto"/>
        <w:bottom w:val="none" w:sz="0" w:space="0" w:color="auto"/>
        <w:right w:val="none" w:sz="0" w:space="0" w:color="auto"/>
      </w:divBdr>
    </w:div>
    <w:div w:id="2029091440">
      <w:bodyDiv w:val="1"/>
      <w:marLeft w:val="0"/>
      <w:marRight w:val="0"/>
      <w:marTop w:val="0"/>
      <w:marBottom w:val="0"/>
      <w:divBdr>
        <w:top w:val="none" w:sz="0" w:space="0" w:color="auto"/>
        <w:left w:val="none" w:sz="0" w:space="0" w:color="auto"/>
        <w:bottom w:val="none" w:sz="0" w:space="0" w:color="auto"/>
        <w:right w:val="none" w:sz="0" w:space="0" w:color="auto"/>
      </w:divBdr>
    </w:div>
    <w:div w:id="210580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9.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8.png"/><Relationship Id="rId33" Type="http://schemas.openxmlformats.org/officeDocument/2006/relationships/header" Target="header4.xml"/><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footer" Target="footer5.xm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image" Target="media/image1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footer" Target="footer4.xml"/><Relationship Id="rId48"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urostat/statistics-explained/index.php/File:N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4C9A93EAE6201546A21F3528A97E5D9A" ma:contentTypeVersion="0" ma:contentTypeDescription="Create a new document in this library." ma:contentTypeScope="" ma:versionID="e3ee652806b97ecd207b74e02fedf038">
  <xsd:schema xmlns:xsd="http://www.w3.org/2001/XMLSchema" xmlns:xs="http://www.w3.org/2001/XMLSchema" xmlns:p="http://schemas.microsoft.com/office/2006/metadata/properties" xmlns:ns2="http://schemas.microsoft.com/sharepoint/v3/fields" xmlns:ns3="c731397e-20a8-4749-99e2-8e0275fdae34" targetNamespace="http://schemas.microsoft.com/office/2006/metadata/properties" ma:root="true" ma:fieldsID="d0c39f83f2caef7c0b04dec737714a5a" ns2:_="" ns3:_="">
    <xsd:import namespace="http://schemas.microsoft.com/sharepoint/v3/fields"/>
    <xsd:import namespace="c731397e-20a8-4749-99e2-8e0275fdae34"/>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731397e-20a8-4749-99e2-8e0275fdae34"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Status xmlns="c731397e-20a8-4749-99e2-8e0275fdae34">Not Started</EC_Collab_Status>
    <_Status xmlns="http://schemas.microsoft.com/sharepoint/v3/fields">Not Started</_Status>
    <EC_Collab_DocumentLanguage xmlns="c731397e-20a8-4749-99e2-8e0275fdae34">EN</EC_Collab_DocumentLanguage>
    <EC_Collab_Reference xmlns="c731397e-20a8-4749-99e2-8e0275fdae3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9DD89-53A6-4A33-B723-C5C47D311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731397e-20a8-4749-99e2-8e0275fda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C61043-B00C-4724-A2D2-D46177033599}">
  <ds:schemaRefs>
    <ds:schemaRef ds:uri="http://schemas.microsoft.com/sharepoint/v3/contenttype/forms"/>
  </ds:schemaRefs>
</ds:datastoreItem>
</file>

<file path=customXml/itemProps3.xml><?xml version="1.0" encoding="utf-8"?>
<ds:datastoreItem xmlns:ds="http://schemas.openxmlformats.org/officeDocument/2006/customXml" ds:itemID="{B4DD5847-6273-4868-8914-C1002BC9BC05}">
  <ds:schemaRefs>
    <ds:schemaRef ds:uri="http://purl.org/dc/elements/1.1/"/>
    <ds:schemaRef ds:uri="http://www.w3.org/XML/1998/namespac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c731397e-20a8-4749-99e2-8e0275fdae34"/>
    <ds:schemaRef ds:uri="http://schemas.microsoft.com/sharepoint/v3/fields"/>
    <ds:schemaRef ds:uri="http://purl.org/dc/dcmitype/"/>
  </ds:schemaRefs>
</ds:datastoreItem>
</file>

<file path=customXml/itemProps4.xml><?xml version="1.0" encoding="utf-8"?>
<ds:datastoreItem xmlns:ds="http://schemas.openxmlformats.org/officeDocument/2006/customXml" ds:itemID="{36419875-8C82-4923-8648-AE25AAD22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19</Pages>
  <Words>5270</Words>
  <Characters>27404</Characters>
  <Application>Microsoft Office Word</Application>
  <DocSecurity>0</DocSecurity>
  <Lines>489</Lines>
  <Paragraphs>150</Paragraphs>
  <ScaleCrop>false</ScaleCrop>
  <HeadingPairs>
    <vt:vector size="2" baseType="variant">
      <vt:variant>
        <vt:lpstr>Title</vt:lpstr>
      </vt:variant>
      <vt:variant>
        <vt:i4>1</vt:i4>
      </vt:variant>
    </vt:vector>
  </HeadingPairs>
  <TitlesOfParts>
    <vt:vector size="1" baseType="lpstr">
      <vt:lpstr>ECRIS Statistics on the eJustice Portal 130624</vt:lpstr>
    </vt:vector>
  </TitlesOfParts>
  <Manager/>
  <Company/>
  <LinksUpToDate>false</LinksUpToDate>
  <CharactersWithSpaces>32524</CharactersWithSpaces>
  <SharedDoc>false</SharedDoc>
  <HLinks>
    <vt:vector size="198" baseType="variant">
      <vt:variant>
        <vt:i4>3604575</vt:i4>
      </vt:variant>
      <vt:variant>
        <vt:i4>204</vt:i4>
      </vt:variant>
      <vt:variant>
        <vt:i4>0</vt:i4>
      </vt:variant>
      <vt:variant>
        <vt:i4>5</vt:i4>
      </vt:variant>
      <vt:variant>
        <vt:lpwstr>mailto:JUST-CRIMINAL-RECORD@ec.europa.eu</vt:lpwstr>
      </vt:variant>
      <vt:variant>
        <vt:lpwstr/>
      </vt:variant>
      <vt:variant>
        <vt:i4>786523</vt:i4>
      </vt:variant>
      <vt:variant>
        <vt:i4>201</vt:i4>
      </vt:variant>
      <vt:variant>
        <vt:i4>0</vt:i4>
      </vt:variant>
      <vt:variant>
        <vt:i4>5</vt:i4>
      </vt:variant>
      <vt:variant>
        <vt:lpwstr>http://www.statistics.be/</vt:lpwstr>
      </vt:variant>
      <vt:variant>
        <vt:lpwstr/>
      </vt:variant>
      <vt:variant>
        <vt:i4>1376314</vt:i4>
      </vt:variant>
      <vt:variant>
        <vt:i4>191</vt:i4>
      </vt:variant>
      <vt:variant>
        <vt:i4>0</vt:i4>
      </vt:variant>
      <vt:variant>
        <vt:i4>5</vt:i4>
      </vt:variant>
      <vt:variant>
        <vt:lpwstr/>
      </vt:variant>
      <vt:variant>
        <vt:lpwstr>_Toc366161943</vt:lpwstr>
      </vt:variant>
      <vt:variant>
        <vt:i4>1376314</vt:i4>
      </vt:variant>
      <vt:variant>
        <vt:i4>185</vt:i4>
      </vt:variant>
      <vt:variant>
        <vt:i4>0</vt:i4>
      </vt:variant>
      <vt:variant>
        <vt:i4>5</vt:i4>
      </vt:variant>
      <vt:variant>
        <vt:lpwstr/>
      </vt:variant>
      <vt:variant>
        <vt:lpwstr>_Toc366161943</vt:lpwstr>
      </vt:variant>
      <vt:variant>
        <vt:i4>1376314</vt:i4>
      </vt:variant>
      <vt:variant>
        <vt:i4>179</vt:i4>
      </vt:variant>
      <vt:variant>
        <vt:i4>0</vt:i4>
      </vt:variant>
      <vt:variant>
        <vt:i4>5</vt:i4>
      </vt:variant>
      <vt:variant>
        <vt:lpwstr/>
      </vt:variant>
      <vt:variant>
        <vt:lpwstr>_Toc366161942</vt:lpwstr>
      </vt:variant>
      <vt:variant>
        <vt:i4>1376314</vt:i4>
      </vt:variant>
      <vt:variant>
        <vt:i4>173</vt:i4>
      </vt:variant>
      <vt:variant>
        <vt:i4>0</vt:i4>
      </vt:variant>
      <vt:variant>
        <vt:i4>5</vt:i4>
      </vt:variant>
      <vt:variant>
        <vt:lpwstr/>
      </vt:variant>
      <vt:variant>
        <vt:lpwstr>_Toc366161941</vt:lpwstr>
      </vt:variant>
      <vt:variant>
        <vt:i4>1376314</vt:i4>
      </vt:variant>
      <vt:variant>
        <vt:i4>167</vt:i4>
      </vt:variant>
      <vt:variant>
        <vt:i4>0</vt:i4>
      </vt:variant>
      <vt:variant>
        <vt:i4>5</vt:i4>
      </vt:variant>
      <vt:variant>
        <vt:lpwstr/>
      </vt:variant>
      <vt:variant>
        <vt:lpwstr>_Toc366161940</vt:lpwstr>
      </vt:variant>
      <vt:variant>
        <vt:i4>1179706</vt:i4>
      </vt:variant>
      <vt:variant>
        <vt:i4>161</vt:i4>
      </vt:variant>
      <vt:variant>
        <vt:i4>0</vt:i4>
      </vt:variant>
      <vt:variant>
        <vt:i4>5</vt:i4>
      </vt:variant>
      <vt:variant>
        <vt:lpwstr/>
      </vt:variant>
      <vt:variant>
        <vt:lpwstr>_Toc366161939</vt:lpwstr>
      </vt:variant>
      <vt:variant>
        <vt:i4>1179706</vt:i4>
      </vt:variant>
      <vt:variant>
        <vt:i4>155</vt:i4>
      </vt:variant>
      <vt:variant>
        <vt:i4>0</vt:i4>
      </vt:variant>
      <vt:variant>
        <vt:i4>5</vt:i4>
      </vt:variant>
      <vt:variant>
        <vt:lpwstr/>
      </vt:variant>
      <vt:variant>
        <vt:lpwstr>_Toc366161938</vt:lpwstr>
      </vt:variant>
      <vt:variant>
        <vt:i4>1179706</vt:i4>
      </vt:variant>
      <vt:variant>
        <vt:i4>149</vt:i4>
      </vt:variant>
      <vt:variant>
        <vt:i4>0</vt:i4>
      </vt:variant>
      <vt:variant>
        <vt:i4>5</vt:i4>
      </vt:variant>
      <vt:variant>
        <vt:lpwstr/>
      </vt:variant>
      <vt:variant>
        <vt:lpwstr>_Toc366161937</vt:lpwstr>
      </vt:variant>
      <vt:variant>
        <vt:i4>1179706</vt:i4>
      </vt:variant>
      <vt:variant>
        <vt:i4>143</vt:i4>
      </vt:variant>
      <vt:variant>
        <vt:i4>0</vt:i4>
      </vt:variant>
      <vt:variant>
        <vt:i4>5</vt:i4>
      </vt:variant>
      <vt:variant>
        <vt:lpwstr/>
      </vt:variant>
      <vt:variant>
        <vt:lpwstr>_Toc366161936</vt:lpwstr>
      </vt:variant>
      <vt:variant>
        <vt:i4>1179706</vt:i4>
      </vt:variant>
      <vt:variant>
        <vt:i4>137</vt:i4>
      </vt:variant>
      <vt:variant>
        <vt:i4>0</vt:i4>
      </vt:variant>
      <vt:variant>
        <vt:i4>5</vt:i4>
      </vt:variant>
      <vt:variant>
        <vt:lpwstr/>
      </vt:variant>
      <vt:variant>
        <vt:lpwstr>_Toc366161935</vt:lpwstr>
      </vt:variant>
      <vt:variant>
        <vt:i4>1179706</vt:i4>
      </vt:variant>
      <vt:variant>
        <vt:i4>131</vt:i4>
      </vt:variant>
      <vt:variant>
        <vt:i4>0</vt:i4>
      </vt:variant>
      <vt:variant>
        <vt:i4>5</vt:i4>
      </vt:variant>
      <vt:variant>
        <vt:lpwstr/>
      </vt:variant>
      <vt:variant>
        <vt:lpwstr>_Toc366161934</vt:lpwstr>
      </vt:variant>
      <vt:variant>
        <vt:i4>1179706</vt:i4>
      </vt:variant>
      <vt:variant>
        <vt:i4>125</vt:i4>
      </vt:variant>
      <vt:variant>
        <vt:i4>0</vt:i4>
      </vt:variant>
      <vt:variant>
        <vt:i4>5</vt:i4>
      </vt:variant>
      <vt:variant>
        <vt:lpwstr/>
      </vt:variant>
      <vt:variant>
        <vt:lpwstr>_Toc366161933</vt:lpwstr>
      </vt:variant>
      <vt:variant>
        <vt:i4>1179706</vt:i4>
      </vt:variant>
      <vt:variant>
        <vt:i4>119</vt:i4>
      </vt:variant>
      <vt:variant>
        <vt:i4>0</vt:i4>
      </vt:variant>
      <vt:variant>
        <vt:i4>5</vt:i4>
      </vt:variant>
      <vt:variant>
        <vt:lpwstr/>
      </vt:variant>
      <vt:variant>
        <vt:lpwstr>_Toc366161932</vt:lpwstr>
      </vt:variant>
      <vt:variant>
        <vt:i4>1179706</vt:i4>
      </vt:variant>
      <vt:variant>
        <vt:i4>113</vt:i4>
      </vt:variant>
      <vt:variant>
        <vt:i4>0</vt:i4>
      </vt:variant>
      <vt:variant>
        <vt:i4>5</vt:i4>
      </vt:variant>
      <vt:variant>
        <vt:lpwstr/>
      </vt:variant>
      <vt:variant>
        <vt:lpwstr>_Toc366161931</vt:lpwstr>
      </vt:variant>
      <vt:variant>
        <vt:i4>1179706</vt:i4>
      </vt:variant>
      <vt:variant>
        <vt:i4>107</vt:i4>
      </vt:variant>
      <vt:variant>
        <vt:i4>0</vt:i4>
      </vt:variant>
      <vt:variant>
        <vt:i4>5</vt:i4>
      </vt:variant>
      <vt:variant>
        <vt:lpwstr/>
      </vt:variant>
      <vt:variant>
        <vt:lpwstr>_Toc366161930</vt:lpwstr>
      </vt:variant>
      <vt:variant>
        <vt:i4>1245242</vt:i4>
      </vt:variant>
      <vt:variant>
        <vt:i4>101</vt:i4>
      </vt:variant>
      <vt:variant>
        <vt:i4>0</vt:i4>
      </vt:variant>
      <vt:variant>
        <vt:i4>5</vt:i4>
      </vt:variant>
      <vt:variant>
        <vt:lpwstr/>
      </vt:variant>
      <vt:variant>
        <vt:lpwstr>_Toc366161929</vt:lpwstr>
      </vt:variant>
      <vt:variant>
        <vt:i4>1245242</vt:i4>
      </vt:variant>
      <vt:variant>
        <vt:i4>95</vt:i4>
      </vt:variant>
      <vt:variant>
        <vt:i4>0</vt:i4>
      </vt:variant>
      <vt:variant>
        <vt:i4>5</vt:i4>
      </vt:variant>
      <vt:variant>
        <vt:lpwstr/>
      </vt:variant>
      <vt:variant>
        <vt:lpwstr>_Toc366161928</vt:lpwstr>
      </vt:variant>
      <vt:variant>
        <vt:i4>1245242</vt:i4>
      </vt:variant>
      <vt:variant>
        <vt:i4>89</vt:i4>
      </vt:variant>
      <vt:variant>
        <vt:i4>0</vt:i4>
      </vt:variant>
      <vt:variant>
        <vt:i4>5</vt:i4>
      </vt:variant>
      <vt:variant>
        <vt:lpwstr/>
      </vt:variant>
      <vt:variant>
        <vt:lpwstr>_Toc366161927</vt:lpwstr>
      </vt:variant>
      <vt:variant>
        <vt:i4>1245242</vt:i4>
      </vt:variant>
      <vt:variant>
        <vt:i4>83</vt:i4>
      </vt:variant>
      <vt:variant>
        <vt:i4>0</vt:i4>
      </vt:variant>
      <vt:variant>
        <vt:i4>5</vt:i4>
      </vt:variant>
      <vt:variant>
        <vt:lpwstr/>
      </vt:variant>
      <vt:variant>
        <vt:lpwstr>_Toc366161926</vt:lpwstr>
      </vt:variant>
      <vt:variant>
        <vt:i4>1245242</vt:i4>
      </vt:variant>
      <vt:variant>
        <vt:i4>77</vt:i4>
      </vt:variant>
      <vt:variant>
        <vt:i4>0</vt:i4>
      </vt:variant>
      <vt:variant>
        <vt:i4>5</vt:i4>
      </vt:variant>
      <vt:variant>
        <vt:lpwstr/>
      </vt:variant>
      <vt:variant>
        <vt:lpwstr>_Toc366161925</vt:lpwstr>
      </vt:variant>
      <vt:variant>
        <vt:i4>1245242</vt:i4>
      </vt:variant>
      <vt:variant>
        <vt:i4>71</vt:i4>
      </vt:variant>
      <vt:variant>
        <vt:i4>0</vt:i4>
      </vt:variant>
      <vt:variant>
        <vt:i4>5</vt:i4>
      </vt:variant>
      <vt:variant>
        <vt:lpwstr/>
      </vt:variant>
      <vt:variant>
        <vt:lpwstr>_Toc366161924</vt:lpwstr>
      </vt:variant>
      <vt:variant>
        <vt:i4>1245242</vt:i4>
      </vt:variant>
      <vt:variant>
        <vt:i4>65</vt:i4>
      </vt:variant>
      <vt:variant>
        <vt:i4>0</vt:i4>
      </vt:variant>
      <vt:variant>
        <vt:i4>5</vt:i4>
      </vt:variant>
      <vt:variant>
        <vt:lpwstr/>
      </vt:variant>
      <vt:variant>
        <vt:lpwstr>_Toc366161923</vt:lpwstr>
      </vt:variant>
      <vt:variant>
        <vt:i4>1245242</vt:i4>
      </vt:variant>
      <vt:variant>
        <vt:i4>59</vt:i4>
      </vt:variant>
      <vt:variant>
        <vt:i4>0</vt:i4>
      </vt:variant>
      <vt:variant>
        <vt:i4>5</vt:i4>
      </vt:variant>
      <vt:variant>
        <vt:lpwstr/>
      </vt:variant>
      <vt:variant>
        <vt:lpwstr>_Toc366161922</vt:lpwstr>
      </vt:variant>
      <vt:variant>
        <vt:i4>1245242</vt:i4>
      </vt:variant>
      <vt:variant>
        <vt:i4>53</vt:i4>
      </vt:variant>
      <vt:variant>
        <vt:i4>0</vt:i4>
      </vt:variant>
      <vt:variant>
        <vt:i4>5</vt:i4>
      </vt:variant>
      <vt:variant>
        <vt:lpwstr/>
      </vt:variant>
      <vt:variant>
        <vt:lpwstr>_Toc366161921</vt:lpwstr>
      </vt:variant>
      <vt:variant>
        <vt:i4>1245242</vt:i4>
      </vt:variant>
      <vt:variant>
        <vt:i4>47</vt:i4>
      </vt:variant>
      <vt:variant>
        <vt:i4>0</vt:i4>
      </vt:variant>
      <vt:variant>
        <vt:i4>5</vt:i4>
      </vt:variant>
      <vt:variant>
        <vt:lpwstr/>
      </vt:variant>
      <vt:variant>
        <vt:lpwstr>_Toc366161920</vt:lpwstr>
      </vt:variant>
      <vt:variant>
        <vt:i4>1048634</vt:i4>
      </vt:variant>
      <vt:variant>
        <vt:i4>41</vt:i4>
      </vt:variant>
      <vt:variant>
        <vt:i4>0</vt:i4>
      </vt:variant>
      <vt:variant>
        <vt:i4>5</vt:i4>
      </vt:variant>
      <vt:variant>
        <vt:lpwstr/>
      </vt:variant>
      <vt:variant>
        <vt:lpwstr>_Toc366161919</vt:lpwstr>
      </vt:variant>
      <vt:variant>
        <vt:i4>1048634</vt:i4>
      </vt:variant>
      <vt:variant>
        <vt:i4>35</vt:i4>
      </vt:variant>
      <vt:variant>
        <vt:i4>0</vt:i4>
      </vt:variant>
      <vt:variant>
        <vt:i4>5</vt:i4>
      </vt:variant>
      <vt:variant>
        <vt:lpwstr/>
      </vt:variant>
      <vt:variant>
        <vt:lpwstr>_Toc366161918</vt:lpwstr>
      </vt:variant>
      <vt:variant>
        <vt:i4>1048634</vt:i4>
      </vt:variant>
      <vt:variant>
        <vt:i4>29</vt:i4>
      </vt:variant>
      <vt:variant>
        <vt:i4>0</vt:i4>
      </vt:variant>
      <vt:variant>
        <vt:i4>5</vt:i4>
      </vt:variant>
      <vt:variant>
        <vt:lpwstr/>
      </vt:variant>
      <vt:variant>
        <vt:lpwstr>_Toc366161917</vt:lpwstr>
      </vt:variant>
      <vt:variant>
        <vt:i4>1048634</vt:i4>
      </vt:variant>
      <vt:variant>
        <vt:i4>23</vt:i4>
      </vt:variant>
      <vt:variant>
        <vt:i4>0</vt:i4>
      </vt:variant>
      <vt:variant>
        <vt:i4>5</vt:i4>
      </vt:variant>
      <vt:variant>
        <vt:lpwstr/>
      </vt:variant>
      <vt:variant>
        <vt:lpwstr>_Toc366161916</vt:lpwstr>
      </vt:variant>
      <vt:variant>
        <vt:i4>1048634</vt:i4>
      </vt:variant>
      <vt:variant>
        <vt:i4>17</vt:i4>
      </vt:variant>
      <vt:variant>
        <vt:i4>0</vt:i4>
      </vt:variant>
      <vt:variant>
        <vt:i4>5</vt:i4>
      </vt:variant>
      <vt:variant>
        <vt:lpwstr/>
      </vt:variant>
      <vt:variant>
        <vt:lpwstr>_Toc366161915</vt:lpwstr>
      </vt:variant>
      <vt:variant>
        <vt:i4>1048634</vt:i4>
      </vt:variant>
      <vt:variant>
        <vt:i4>11</vt:i4>
      </vt:variant>
      <vt:variant>
        <vt:i4>0</vt:i4>
      </vt:variant>
      <vt:variant>
        <vt:i4>5</vt:i4>
      </vt:variant>
      <vt:variant>
        <vt:lpwstr/>
      </vt:variant>
      <vt:variant>
        <vt:lpwstr>_Toc366161914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ECRIS Statistics on the eJustice Portal 130624</dc:title>
  <dc:subject>ECRIS Statistics on the eJustice Portal</dc:subject>
  <dc:creator/>
  <cp:lastModifiedBy>DIGIT/A3</cp:lastModifiedBy>
  <cp:revision>50</cp:revision>
  <cp:lastPrinted>2017-05-10T12:22:00Z</cp:lastPrinted>
  <dcterms:created xsi:type="dcterms:W3CDTF">2017-06-21T08:48:00Z</dcterms:created>
  <dcterms:modified xsi:type="dcterms:W3CDTF">2017-07-25T15:10:00Z</dcterms:modified>
  <cp:contentStatus>Issued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0.2</vt:lpwstr>
  </property>
  <property fmtid="{D5CDD505-2E9C-101B-9397-08002B2CF9AE}" pid="3" name="Date completed">
    <vt:lpwstr>X/09/2013</vt:lpwstr>
  </property>
  <property fmtid="{D5CDD505-2E9C-101B-9397-08002B2CF9AE}" pid="4" name="Status">
    <vt:lpwstr>Issued</vt:lpwstr>
  </property>
  <property fmtid="{D5CDD505-2E9C-101B-9397-08002B2CF9AE}" pid="5" name="Document">
    <vt:lpwstr>01_ECRIS Statistics on the Ejustice Portalv0.1</vt:lpwstr>
  </property>
  <property fmtid="{D5CDD505-2E9C-101B-9397-08002B2CF9AE}" pid="6" name="_DocHome">
    <vt:i4>-683753521</vt:i4>
  </property>
  <property fmtid="{D5CDD505-2E9C-101B-9397-08002B2CF9AE}" pid="7" name="ContentTypeId">
    <vt:lpwstr>0x010100258AA79CEB83498886A3A08681123250004C9A93EAE6201546A21F3528A97E5D9A</vt:lpwstr>
  </property>
  <property fmtid="{D5CDD505-2E9C-101B-9397-08002B2CF9AE}" pid="8" name="Part">
    <vt:lpwstr>1</vt:lpwstr>
  </property>
  <property fmtid="{D5CDD505-2E9C-101B-9397-08002B2CF9AE}" pid="9" name="Total parts">
    <vt:lpwstr>1</vt:lpwstr>
  </property>
  <property fmtid="{D5CDD505-2E9C-101B-9397-08002B2CF9AE}" pid="10" name="Classification">
    <vt:lpwstr> </vt:lpwstr>
  </property>
  <property fmtid="{D5CDD505-2E9C-101B-9397-08002B2CF9AE}" pid="11" name="DocStatus">
    <vt:lpwstr>Green</vt:lpwstr>
  </property>
</Properties>
</file>