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6079C238E814B58BF0ACAD8052FB01E" style="width:450pt;height:40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hd w:val="clear" w:color="auto" w:fill="FFFFFF"/>
        <w:jc w:val="center"/>
        <w:rPr>
          <w:b/>
          <w:noProof/>
        </w:rPr>
      </w:pPr>
      <w:bookmarkStart w:id="1" w:name="_GoBack"/>
      <w:bookmarkEnd w:id="1"/>
      <w:r>
        <w:rPr>
          <w:b/>
          <w:noProof/>
        </w:rPr>
        <w:lastRenderedPageBreak/>
        <w:t>Annex I – Trends and main cases by country</w:t>
      </w:r>
    </w:p>
    <w:p>
      <w:pPr>
        <w:jc w:val="center"/>
        <w:rPr>
          <w:noProof/>
        </w:rPr>
      </w:pPr>
      <w:r>
        <w:rPr>
          <w:noProof/>
        </w:rPr>
        <w:t>(By numbers of measures in force at the end of 2016)</w:t>
      </w:r>
    </w:p>
    <w:p>
      <w:pPr>
        <w:jc w:val="center"/>
        <w:rPr>
          <w:noProof/>
        </w:rPr>
      </w:pPr>
    </w:p>
    <w:p>
      <w:pPr>
        <w:pStyle w:val="Heading1"/>
        <w:numPr>
          <w:ilvl w:val="0"/>
          <w:numId w:val="10"/>
        </w:numPr>
        <w:spacing w:before="0" w:after="120"/>
        <w:ind w:left="357" w:hanging="357"/>
        <w:rPr>
          <w:noProof/>
        </w:rPr>
      </w:pPr>
      <w:r>
        <w:rPr>
          <w:noProof/>
        </w:rPr>
        <w:t>INDIA</w:t>
      </w:r>
    </w:p>
    <w:p>
      <w:pPr>
        <w:pStyle w:val="Heading2"/>
        <w:rPr>
          <w:noProof/>
        </w:rPr>
      </w:pPr>
      <w:r>
        <w:rPr>
          <w:noProof/>
        </w:rPr>
        <w:t xml:space="preserve">Overall trends </w:t>
      </w:r>
    </w:p>
    <w:p>
      <w:pPr>
        <w:spacing w:before="0"/>
        <w:rPr>
          <w:noProof/>
          <w:lang w:val="en-US"/>
        </w:rPr>
      </w:pPr>
      <w:r>
        <w:rPr>
          <w:noProof/>
          <w:lang w:val="en-US"/>
        </w:rPr>
        <w:t xml:space="preserve">India remains an important user of TDI, with 24 measures (19 AD and 5 SFG) in force at the end of 2016. Compared to 2015, India has considerably increased its activity in 2016, becoming the first country as for numbers of measures in force. It </w:t>
      </w:r>
      <w:r>
        <w:rPr>
          <w:b/>
          <w:noProof/>
          <w:lang w:val="en-US"/>
        </w:rPr>
        <w:t>initiated 4 new AD</w:t>
      </w:r>
      <w:r>
        <w:rPr>
          <w:noProof/>
          <w:lang w:val="en-US"/>
        </w:rPr>
        <w:t xml:space="preserve"> and </w:t>
      </w:r>
      <w:r>
        <w:rPr>
          <w:b/>
          <w:noProof/>
          <w:lang w:val="en-US"/>
        </w:rPr>
        <w:t xml:space="preserve">1 new SFG </w:t>
      </w:r>
      <w:r>
        <w:rPr>
          <w:noProof/>
          <w:lang w:val="en-US"/>
        </w:rPr>
        <w:t xml:space="preserve">investigations concerning EU exports and </w:t>
      </w:r>
      <w:r>
        <w:rPr>
          <w:b/>
          <w:noProof/>
          <w:lang w:val="en-US"/>
        </w:rPr>
        <w:t>imposed 2 definitive SFG and 3 definitive AD</w:t>
      </w:r>
      <w:r>
        <w:rPr>
          <w:noProof/>
          <w:lang w:val="en-US"/>
        </w:rPr>
        <w:t xml:space="preserve"> measures. In January 2017 it also imposed provisional AD measures on a steel product (colour coated/pre-painted flat products of alloy or non-alloy steel).</w:t>
      </w:r>
    </w:p>
    <w:p>
      <w:pPr>
        <w:pStyle w:val="Heading2"/>
        <w:rPr>
          <w:noProof/>
        </w:rPr>
      </w:pPr>
      <w:r>
        <w:rPr>
          <w:noProof/>
        </w:rPr>
        <w:t xml:space="preserve">Main cases </w:t>
      </w:r>
    </w:p>
    <w:p>
      <w:pPr>
        <w:spacing w:before="0"/>
        <w:rPr>
          <w:noProof/>
          <w:lang w:val="en-US"/>
        </w:rPr>
      </w:pPr>
      <w:r>
        <w:rPr>
          <w:noProof/>
          <w:lang w:val="en-US"/>
        </w:rPr>
        <w:t xml:space="preserve">The SFG case on </w:t>
      </w:r>
      <w:r>
        <w:rPr>
          <w:b/>
          <w:noProof/>
          <w:lang w:val="en-US"/>
        </w:rPr>
        <w:t>hot rolled flat sheets and plates</w:t>
      </w:r>
      <w:r>
        <w:rPr>
          <w:noProof/>
          <w:lang w:val="en-US"/>
        </w:rPr>
        <w:t xml:space="preserve"> was initiated in December 2015 (EU economic interest of around € 160 million). The Commission has intervened at initiation and in the public hearing in February 2016. The main issue of concern was a doubtful causal link between any injury suffered by the domestic industry and increased imports. A decreasing ad-valorem duty was imposed in November 2016, which will stay in place for the next 3 years. </w:t>
      </w:r>
    </w:p>
    <w:p>
      <w:pPr>
        <w:spacing w:before="0"/>
        <w:rPr>
          <w:noProof/>
          <w:lang w:val="en-US"/>
        </w:rPr>
      </w:pPr>
      <w:r>
        <w:rPr>
          <w:noProof/>
          <w:lang w:val="en-US"/>
        </w:rPr>
        <w:t xml:space="preserve">The </w:t>
      </w:r>
      <w:r>
        <w:rPr>
          <w:b/>
          <w:noProof/>
          <w:lang w:val="en-US"/>
        </w:rPr>
        <w:t xml:space="preserve">styrene butadiene rubber (SBR) </w:t>
      </w:r>
      <w:r>
        <w:rPr>
          <w:noProof/>
          <w:lang w:val="en-US"/>
        </w:rPr>
        <w:t>AD case was initiated in January 2016 (EU economic interest of around € 50 million). The Commission has intervened at initiation, at a hearing in September 2016 and made an additional submission later in the proceeding. The main issues concern the injury picture and the lack of causal link. The case is still on-going.</w:t>
      </w:r>
    </w:p>
    <w:p>
      <w:pPr>
        <w:spacing w:before="0"/>
        <w:rPr>
          <w:noProof/>
          <w:lang w:val="en-US"/>
        </w:rPr>
      </w:pPr>
      <w:r>
        <w:rPr>
          <w:noProof/>
          <w:lang w:val="en-US"/>
        </w:rPr>
        <w:t xml:space="preserve">The Commission also intervened in the </w:t>
      </w:r>
      <w:r>
        <w:rPr>
          <w:b/>
          <w:noProof/>
          <w:lang w:val="en-US"/>
        </w:rPr>
        <w:t>unwrought aluminium</w:t>
      </w:r>
      <w:r>
        <w:rPr>
          <w:noProof/>
          <w:lang w:val="en-US"/>
        </w:rPr>
        <w:t xml:space="preserve"> SFG investigation, which was eventually terminated by the Indian authorities, and in AD cases concerning </w:t>
      </w:r>
      <w:r>
        <w:rPr>
          <w:b/>
          <w:noProof/>
          <w:lang w:val="en-US"/>
        </w:rPr>
        <w:t>sodium chlorate</w:t>
      </w:r>
      <w:r>
        <w:rPr>
          <w:noProof/>
          <w:lang w:val="en-US"/>
        </w:rPr>
        <w:t xml:space="preserve">, </w:t>
      </w:r>
      <w:r>
        <w:rPr>
          <w:b/>
          <w:noProof/>
          <w:lang w:val="en-US"/>
        </w:rPr>
        <w:t>naphtalene</w:t>
      </w:r>
      <w:r>
        <w:rPr>
          <w:noProof/>
          <w:lang w:val="en-US"/>
        </w:rPr>
        <w:t xml:space="preserve"> and </w:t>
      </w:r>
      <w:r>
        <w:rPr>
          <w:b/>
          <w:noProof/>
          <w:lang w:val="en-US"/>
        </w:rPr>
        <w:t>colour coated/pre-painted flat products of alloy or non-alloy steel</w:t>
      </w:r>
      <w:r>
        <w:rPr>
          <w:noProof/>
          <w:lang w:val="en-US"/>
        </w:rPr>
        <w:t xml:space="preserve">. These cases are still ongoing. </w:t>
      </w:r>
    </w:p>
    <w:p>
      <w:pPr>
        <w:spacing w:before="0"/>
        <w:jc w:val="left"/>
        <w:rPr>
          <w:noProof/>
        </w:rPr>
      </w:pPr>
    </w:p>
    <w:p>
      <w:pPr>
        <w:pStyle w:val="Heading1"/>
        <w:rPr>
          <w:noProof/>
        </w:rPr>
      </w:pPr>
      <w:r>
        <w:rPr>
          <w:noProof/>
        </w:rPr>
        <w:t>THE UNITED STATES OF AMERICA</w:t>
      </w:r>
    </w:p>
    <w:p>
      <w:pPr>
        <w:pStyle w:val="Heading2"/>
        <w:rPr>
          <w:noProof/>
        </w:rPr>
      </w:pPr>
      <w:r>
        <w:rPr>
          <w:noProof/>
        </w:rPr>
        <w:t>Overall trends</w:t>
      </w:r>
    </w:p>
    <w:p>
      <w:pPr>
        <w:autoSpaceDE w:val="0"/>
        <w:autoSpaceDN w:val="0"/>
        <w:adjustRightInd w:val="0"/>
        <w:spacing w:before="0"/>
        <w:rPr>
          <w:noProof/>
          <w:szCs w:val="24"/>
        </w:rPr>
      </w:pPr>
      <w:r>
        <w:rPr>
          <w:noProof/>
          <w:szCs w:val="24"/>
        </w:rPr>
        <w:t xml:space="preserve">In 2016 the United States </w:t>
      </w:r>
      <w:r>
        <w:rPr>
          <w:b/>
          <w:noProof/>
          <w:szCs w:val="24"/>
        </w:rPr>
        <w:t>initiated 3 AD investigations</w:t>
      </w:r>
      <w:r>
        <w:rPr>
          <w:noProof/>
          <w:szCs w:val="24"/>
        </w:rPr>
        <w:t xml:space="preserve"> regarding EU exports. These investigations are still on-going and in </w:t>
      </w:r>
      <w:r>
        <w:rPr>
          <w:b/>
          <w:noProof/>
          <w:szCs w:val="24"/>
        </w:rPr>
        <w:t>2 of them</w:t>
      </w:r>
      <w:r>
        <w:rPr>
          <w:noProof/>
          <w:szCs w:val="24"/>
        </w:rPr>
        <w:t xml:space="preserve">, which concern steel products, </w:t>
      </w:r>
      <w:r>
        <w:rPr>
          <w:b/>
          <w:noProof/>
          <w:szCs w:val="24"/>
        </w:rPr>
        <w:t>preliminary measures</w:t>
      </w:r>
      <w:r>
        <w:rPr>
          <w:noProof/>
          <w:szCs w:val="24"/>
        </w:rPr>
        <w:t xml:space="preserve"> have already been </w:t>
      </w:r>
      <w:r>
        <w:rPr>
          <w:b/>
          <w:noProof/>
          <w:szCs w:val="24"/>
        </w:rPr>
        <w:t>imposed</w:t>
      </w:r>
      <w:r>
        <w:rPr>
          <w:noProof/>
          <w:szCs w:val="24"/>
        </w:rPr>
        <w:t>.</w:t>
      </w:r>
    </w:p>
    <w:p>
      <w:pPr>
        <w:autoSpaceDE w:val="0"/>
        <w:autoSpaceDN w:val="0"/>
        <w:adjustRightInd w:val="0"/>
        <w:spacing w:before="0"/>
        <w:rPr>
          <w:noProof/>
          <w:szCs w:val="24"/>
        </w:rPr>
      </w:pPr>
      <w:r>
        <w:rPr>
          <w:b/>
          <w:noProof/>
          <w:szCs w:val="24"/>
        </w:rPr>
        <w:t>Definitive</w:t>
      </w:r>
      <w:r>
        <w:rPr>
          <w:noProof/>
          <w:szCs w:val="24"/>
        </w:rPr>
        <w:t xml:space="preserve"> </w:t>
      </w:r>
      <w:r>
        <w:rPr>
          <w:b/>
          <w:noProof/>
          <w:szCs w:val="24"/>
        </w:rPr>
        <w:t>measures</w:t>
      </w:r>
      <w:r>
        <w:rPr>
          <w:noProof/>
          <w:szCs w:val="24"/>
        </w:rPr>
        <w:t xml:space="preserve"> were </w:t>
      </w:r>
      <w:r>
        <w:rPr>
          <w:b/>
          <w:noProof/>
          <w:szCs w:val="24"/>
        </w:rPr>
        <w:t>imposed in 5 other investigations</w:t>
      </w:r>
      <w:r>
        <w:rPr>
          <w:noProof/>
          <w:szCs w:val="24"/>
        </w:rPr>
        <w:t xml:space="preserve"> (4 AD and 1 AS) initiated in 2015, 4 of which affect EU exports of steel products, while 1 concerns uncoated paper. Moreover, the United States extended existing AD measures following 2 expiry review investigations, for an additional period of 5 years (1 concerns steel, 1 chlorinated isocyanurate from Spain).</w:t>
      </w:r>
    </w:p>
    <w:p>
      <w:pPr>
        <w:autoSpaceDE w:val="0"/>
        <w:autoSpaceDN w:val="0"/>
        <w:adjustRightInd w:val="0"/>
        <w:spacing w:before="0"/>
        <w:rPr>
          <w:noProof/>
          <w:szCs w:val="24"/>
        </w:rPr>
      </w:pPr>
      <w:r>
        <w:rPr>
          <w:noProof/>
          <w:szCs w:val="24"/>
        </w:rPr>
        <w:t>As in previous years, the United States continued to apply the zeroing methodology inflating the level of dumping margins in the context of targeted dumping</w:t>
      </w:r>
      <w:r>
        <w:rPr>
          <w:rStyle w:val="FootnoteReference"/>
          <w:noProof/>
          <w:szCs w:val="24"/>
        </w:rPr>
        <w:footnoteReference w:id="1"/>
      </w:r>
      <w:r>
        <w:rPr>
          <w:noProof/>
          <w:szCs w:val="24"/>
        </w:rPr>
        <w:t xml:space="preserve"> findings. The US apply this </w:t>
      </w:r>
      <w:r>
        <w:rPr>
          <w:noProof/>
          <w:szCs w:val="24"/>
        </w:rPr>
        <w:lastRenderedPageBreak/>
        <w:t>methodology although in 2016 they lost a WTO dispute (</w:t>
      </w:r>
      <w:r>
        <w:rPr>
          <w:i/>
          <w:noProof/>
          <w:szCs w:val="24"/>
        </w:rPr>
        <w:t>DS464:</w:t>
      </w:r>
      <w:r>
        <w:rPr>
          <w:noProof/>
          <w:szCs w:val="24"/>
        </w:rPr>
        <w:t xml:space="preserve"> </w:t>
      </w:r>
      <w:r>
        <w:rPr>
          <w:i/>
          <w:noProof/>
          <w:szCs w:val="24"/>
        </w:rPr>
        <w:t xml:space="preserve">US – AD and AS measures on large washers from Korea, confirmed in DS471 -US — Anti-Dumping Methodologies (China) </w:t>
      </w:r>
      <w:r>
        <w:rPr>
          <w:noProof/>
          <w:szCs w:val="24"/>
        </w:rPr>
        <w:t>), in which the Appellate Body determined that the zeroing methodology was inconsistent with WTO rules.</w:t>
      </w:r>
    </w:p>
    <w:p>
      <w:pPr>
        <w:pStyle w:val="Heading2"/>
        <w:rPr>
          <w:noProof/>
        </w:rPr>
      </w:pPr>
      <w:r>
        <w:rPr>
          <w:noProof/>
        </w:rPr>
        <w:t xml:space="preserve">Main cases </w:t>
      </w:r>
    </w:p>
    <w:p>
      <w:pPr>
        <w:autoSpaceDE w:val="0"/>
        <w:autoSpaceDN w:val="0"/>
        <w:adjustRightInd w:val="0"/>
        <w:spacing w:before="0"/>
        <w:rPr>
          <w:noProof/>
          <w:szCs w:val="24"/>
        </w:rPr>
      </w:pPr>
      <w:r>
        <w:rPr>
          <w:noProof/>
          <w:szCs w:val="24"/>
        </w:rPr>
        <w:t>Most of the original and expiry review investigations conducted in 2016 by the United States on EU exports concerned steel products.</w:t>
      </w:r>
    </w:p>
    <w:p>
      <w:pPr>
        <w:autoSpaceDE w:val="0"/>
        <w:autoSpaceDN w:val="0"/>
        <w:adjustRightInd w:val="0"/>
        <w:spacing w:before="0"/>
        <w:rPr>
          <w:noProof/>
          <w:szCs w:val="24"/>
        </w:rPr>
      </w:pPr>
      <w:r>
        <w:rPr>
          <w:noProof/>
          <w:szCs w:val="24"/>
        </w:rPr>
        <w:t>In particular, the 2 new steel investigations initiated in 2016 concerned</w:t>
      </w:r>
      <w:r>
        <w:rPr>
          <w:b/>
          <w:noProof/>
          <w:szCs w:val="24"/>
        </w:rPr>
        <w:t xml:space="preserve"> finished</w:t>
      </w:r>
      <w:r>
        <w:rPr>
          <w:noProof/>
          <w:szCs w:val="24"/>
        </w:rPr>
        <w:t xml:space="preserve"> </w:t>
      </w:r>
      <w:r>
        <w:rPr>
          <w:b/>
          <w:noProof/>
          <w:szCs w:val="24"/>
        </w:rPr>
        <w:t xml:space="preserve">carbon steel flanges </w:t>
      </w:r>
      <w:r>
        <w:rPr>
          <w:noProof/>
          <w:szCs w:val="24"/>
        </w:rPr>
        <w:t xml:space="preserve">from Spain and Italy and </w:t>
      </w:r>
      <w:r>
        <w:rPr>
          <w:b/>
          <w:noProof/>
          <w:szCs w:val="24"/>
        </w:rPr>
        <w:t xml:space="preserve">carbon and alloy steel cut to length plate </w:t>
      </w:r>
      <w:r>
        <w:rPr>
          <w:noProof/>
          <w:szCs w:val="24"/>
        </w:rPr>
        <w:t>from Belgium, Germany, France, Italy and Austria (more details below).</w:t>
      </w:r>
    </w:p>
    <w:p>
      <w:pPr>
        <w:autoSpaceDE w:val="0"/>
        <w:autoSpaceDN w:val="0"/>
        <w:adjustRightInd w:val="0"/>
        <w:spacing w:before="0"/>
        <w:rPr>
          <w:noProof/>
          <w:szCs w:val="24"/>
        </w:rPr>
      </w:pPr>
      <w:r>
        <w:rPr>
          <w:noProof/>
          <w:szCs w:val="24"/>
        </w:rPr>
        <w:t xml:space="preserve">The steel cases where the US imposed definitive measures concerned </w:t>
      </w:r>
      <w:r>
        <w:rPr>
          <w:b/>
          <w:noProof/>
          <w:szCs w:val="24"/>
        </w:rPr>
        <w:t>carbon and alloy steel cut to length plate</w:t>
      </w:r>
      <w:r>
        <w:rPr>
          <w:noProof/>
          <w:szCs w:val="24"/>
        </w:rPr>
        <w:t>,</w:t>
      </w:r>
      <w:r>
        <w:rPr>
          <w:b/>
          <w:noProof/>
          <w:szCs w:val="24"/>
        </w:rPr>
        <w:t xml:space="preserve"> hot and cold rolled steel flat products </w:t>
      </w:r>
      <w:r>
        <w:rPr>
          <w:noProof/>
          <w:szCs w:val="24"/>
        </w:rPr>
        <w:t>from the Netherlands and the United Kingdom (EU exports of about € 500 million in 2015) and</w:t>
      </w:r>
      <w:r>
        <w:rPr>
          <w:b/>
          <w:noProof/>
          <w:szCs w:val="24"/>
        </w:rPr>
        <w:t xml:space="preserve"> corrosion-resistant steel </w:t>
      </w:r>
      <w:r>
        <w:rPr>
          <w:noProof/>
          <w:szCs w:val="24"/>
        </w:rPr>
        <w:t xml:space="preserve">from Italy (both AD and SFG measures were imposed on this product, EU exports of € 102 million in 2015). In January 2017, the US also imposed provisional AD measures on </w:t>
      </w:r>
      <w:r>
        <w:rPr>
          <w:b/>
          <w:noProof/>
          <w:szCs w:val="24"/>
        </w:rPr>
        <w:t>finished</w:t>
      </w:r>
      <w:r>
        <w:rPr>
          <w:noProof/>
          <w:szCs w:val="24"/>
        </w:rPr>
        <w:t xml:space="preserve"> </w:t>
      </w:r>
      <w:r>
        <w:rPr>
          <w:b/>
          <w:noProof/>
          <w:szCs w:val="24"/>
        </w:rPr>
        <w:t xml:space="preserve">carbon steel flanges </w:t>
      </w:r>
      <w:r>
        <w:rPr>
          <w:noProof/>
          <w:szCs w:val="24"/>
        </w:rPr>
        <w:t>from Spain and Italy (EU exports of about € 54 million in 2015).</w:t>
      </w:r>
    </w:p>
    <w:p>
      <w:pPr>
        <w:autoSpaceDE w:val="0"/>
        <w:autoSpaceDN w:val="0"/>
        <w:adjustRightInd w:val="0"/>
        <w:spacing w:before="0"/>
        <w:rPr>
          <w:noProof/>
          <w:szCs w:val="24"/>
        </w:rPr>
      </w:pPr>
      <w:r>
        <w:rPr>
          <w:noProof/>
          <w:szCs w:val="24"/>
        </w:rPr>
        <w:t xml:space="preserve">The Commission has been monitoring these steel cases very closely as from initiation and provided legal and administrative support to the Member States and the exporters concerned. In particular, the Commission has recently intervened in the AD investigation against imports of </w:t>
      </w:r>
      <w:r>
        <w:rPr>
          <w:b/>
          <w:noProof/>
          <w:szCs w:val="24"/>
        </w:rPr>
        <w:t>carbon and alloy steel cut to length plate</w:t>
      </w:r>
      <w:r>
        <w:rPr>
          <w:noProof/>
          <w:szCs w:val="24"/>
        </w:rPr>
        <w:t xml:space="preserve"> from Austria, Belgium, France, Germany and Italy (EU exports of € 421 million in 2015), since the preliminary dumping duties imposed were calculated on the basis of the zeroing methodology (used under alleged circumstances of targeted dumping) which inflated their level. In March 2017 the final dumping margins were announced, for which calculation the same WTO-inconsistent methodology was applied. The Commission will continue to actively monitor any further development of the case, which is expected to be concluded by the end of May 2017.</w:t>
      </w:r>
    </w:p>
    <w:p>
      <w:pPr>
        <w:autoSpaceDE w:val="0"/>
        <w:autoSpaceDN w:val="0"/>
        <w:adjustRightInd w:val="0"/>
        <w:spacing w:before="0"/>
        <w:rPr>
          <w:noProof/>
          <w:szCs w:val="24"/>
        </w:rPr>
      </w:pPr>
      <w:r>
        <w:rPr>
          <w:noProof/>
          <w:szCs w:val="24"/>
        </w:rPr>
        <w:t xml:space="preserve">As regards the AD investigation initiated in 2015 against imports of </w:t>
      </w:r>
      <w:r>
        <w:rPr>
          <w:b/>
          <w:noProof/>
          <w:szCs w:val="24"/>
        </w:rPr>
        <w:t xml:space="preserve">uncoated paper </w:t>
      </w:r>
      <w:r>
        <w:rPr>
          <w:noProof/>
          <w:szCs w:val="24"/>
        </w:rPr>
        <w:t>from Portugal, which was mentioned in the Annual Report of 2015, definitive measures were imposed in January 2016.</w:t>
      </w:r>
    </w:p>
    <w:p>
      <w:pPr>
        <w:autoSpaceDE w:val="0"/>
        <w:autoSpaceDN w:val="0"/>
        <w:adjustRightInd w:val="0"/>
        <w:spacing w:before="0"/>
        <w:rPr>
          <w:noProof/>
          <w:szCs w:val="24"/>
        </w:rPr>
      </w:pPr>
      <w:r>
        <w:rPr>
          <w:noProof/>
          <w:szCs w:val="24"/>
        </w:rPr>
        <w:t xml:space="preserve">As already indicated under point 5 of the main report, in 2016 the Commission intervened as a third party in the WTO disputes </w:t>
      </w:r>
      <w:r>
        <w:rPr>
          <w:i/>
          <w:noProof/>
          <w:szCs w:val="24"/>
        </w:rPr>
        <w:t>DS464</w:t>
      </w:r>
      <w:r>
        <w:rPr>
          <w:noProof/>
          <w:szCs w:val="24"/>
        </w:rPr>
        <w:t xml:space="preserve"> (</w:t>
      </w:r>
      <w:r>
        <w:rPr>
          <w:i/>
          <w:noProof/>
          <w:szCs w:val="24"/>
        </w:rPr>
        <w:t>US – AD and AS measures on large washers from Korea</w:t>
      </w:r>
      <w:r>
        <w:rPr>
          <w:noProof/>
          <w:szCs w:val="24"/>
        </w:rPr>
        <w:t xml:space="preserve">) and </w:t>
      </w:r>
      <w:r>
        <w:rPr>
          <w:i/>
          <w:noProof/>
          <w:szCs w:val="24"/>
        </w:rPr>
        <w:t xml:space="preserve">DS471 </w:t>
      </w:r>
      <w:r>
        <w:rPr>
          <w:noProof/>
          <w:szCs w:val="24"/>
        </w:rPr>
        <w:t>(</w:t>
      </w:r>
      <w:r>
        <w:rPr>
          <w:i/>
          <w:noProof/>
          <w:szCs w:val="24"/>
        </w:rPr>
        <w:t>US - Certain methodologies and their application to AD proceedings involving China</w:t>
      </w:r>
      <w:r>
        <w:rPr>
          <w:noProof/>
          <w:szCs w:val="24"/>
        </w:rPr>
        <w:t xml:space="preserve">) in which the zeroing methodology applied by the US in AD investigations was challenged. The Appellate Body found that the use of this methodology in </w:t>
      </w:r>
      <w:r>
        <w:rPr>
          <w:i/>
          <w:noProof/>
          <w:szCs w:val="24"/>
        </w:rPr>
        <w:t xml:space="preserve">DS464 </w:t>
      </w:r>
      <w:r>
        <w:rPr>
          <w:noProof/>
          <w:szCs w:val="24"/>
        </w:rPr>
        <w:t xml:space="preserve">in the context of targeted dumping findings is WTO-inconsistent. Similar conclusions were reached in </w:t>
      </w:r>
      <w:r>
        <w:rPr>
          <w:i/>
          <w:noProof/>
          <w:szCs w:val="24"/>
        </w:rPr>
        <w:t>DS471</w:t>
      </w:r>
      <w:r>
        <w:rPr>
          <w:noProof/>
          <w:szCs w:val="24"/>
        </w:rPr>
        <w:t>.</w:t>
      </w:r>
    </w:p>
    <w:p>
      <w:pPr>
        <w:pStyle w:val="Heading1"/>
        <w:rPr>
          <w:noProof/>
        </w:rPr>
      </w:pPr>
      <w:r>
        <w:rPr>
          <w:noProof/>
        </w:rPr>
        <w:t xml:space="preserve">CHINA </w:t>
      </w:r>
    </w:p>
    <w:p>
      <w:pPr>
        <w:pStyle w:val="Heading2"/>
        <w:rPr>
          <w:noProof/>
        </w:rPr>
      </w:pPr>
      <w:r>
        <w:rPr>
          <w:noProof/>
        </w:rPr>
        <w:t xml:space="preserve">Overall trends </w:t>
      </w:r>
    </w:p>
    <w:p>
      <w:pPr>
        <w:autoSpaceDE w:val="0"/>
        <w:autoSpaceDN w:val="0"/>
        <w:adjustRightInd w:val="0"/>
        <w:spacing w:before="0"/>
        <w:rPr>
          <w:noProof/>
        </w:rPr>
      </w:pPr>
      <w:r>
        <w:rPr>
          <w:noProof/>
        </w:rPr>
        <w:t>Trade defence activity by China vis-à-vis the EU remained quite high in the course of 2016. The total number of measures in force at the end of last year amounts to 19.</w:t>
      </w:r>
    </w:p>
    <w:p>
      <w:pPr>
        <w:autoSpaceDE w:val="0"/>
        <w:autoSpaceDN w:val="0"/>
        <w:adjustRightInd w:val="0"/>
        <w:spacing w:before="0"/>
        <w:rPr>
          <w:noProof/>
        </w:rPr>
      </w:pPr>
      <w:r>
        <w:rPr>
          <w:noProof/>
        </w:rPr>
        <w:t xml:space="preserve">China initiated </w:t>
      </w:r>
      <w:r>
        <w:rPr>
          <w:b/>
          <w:noProof/>
        </w:rPr>
        <w:t>1 SFG investigation</w:t>
      </w:r>
      <w:r>
        <w:rPr>
          <w:noProof/>
        </w:rPr>
        <w:t xml:space="preserve"> (for the first time since 2002) and </w:t>
      </w:r>
      <w:r>
        <w:rPr>
          <w:b/>
          <w:noProof/>
        </w:rPr>
        <w:t xml:space="preserve">3 expiry reviews </w:t>
      </w:r>
      <w:r>
        <w:rPr>
          <w:noProof/>
        </w:rPr>
        <w:t>(on polysilicon, potato starch and caprolactam).</w:t>
      </w:r>
      <w:r>
        <w:rPr>
          <w:b/>
          <w:noProof/>
        </w:rPr>
        <w:t xml:space="preserve"> </w:t>
      </w:r>
      <w:r>
        <w:rPr>
          <w:noProof/>
        </w:rPr>
        <w:t xml:space="preserve">It should also be noted that, </w:t>
      </w:r>
      <w:r>
        <w:rPr>
          <w:b/>
          <w:noProof/>
        </w:rPr>
        <w:t>for the first time at the request of an EU exporter</w:t>
      </w:r>
      <w:r>
        <w:rPr>
          <w:noProof/>
        </w:rPr>
        <w:t>, China</w:t>
      </w:r>
      <w:r>
        <w:rPr>
          <w:b/>
          <w:noProof/>
        </w:rPr>
        <w:t xml:space="preserve"> initiated 1 interim review</w:t>
      </w:r>
      <w:r>
        <w:rPr>
          <w:noProof/>
        </w:rPr>
        <w:t xml:space="preserve"> of the AD duties on imports of iron/steel fasteners.</w:t>
      </w:r>
    </w:p>
    <w:p>
      <w:pPr>
        <w:autoSpaceDE w:val="0"/>
        <w:autoSpaceDN w:val="0"/>
        <w:adjustRightInd w:val="0"/>
        <w:spacing w:before="0"/>
        <w:rPr>
          <w:noProof/>
        </w:rPr>
      </w:pPr>
      <w:r>
        <w:rPr>
          <w:noProof/>
        </w:rPr>
        <w:t xml:space="preserve">It </w:t>
      </w:r>
      <w:r>
        <w:rPr>
          <w:b/>
          <w:noProof/>
        </w:rPr>
        <w:t>imposed 2 new AD measures</w:t>
      </w:r>
      <w:r>
        <w:rPr>
          <w:noProof/>
        </w:rPr>
        <w:t xml:space="preserve"> (GOES, sack kraft paper), </w:t>
      </w:r>
      <w:r>
        <w:rPr>
          <w:b/>
          <w:noProof/>
        </w:rPr>
        <w:t>extended 2 existing AD measures</w:t>
      </w:r>
      <w:r>
        <w:rPr>
          <w:noProof/>
        </w:rPr>
        <w:t xml:space="preserve"> as a result of expiry reviews (fasteners, polyamide) and </w:t>
      </w:r>
      <w:r>
        <w:rPr>
          <w:b/>
          <w:noProof/>
        </w:rPr>
        <w:t>increased the AD duty</w:t>
      </w:r>
      <w:r>
        <w:rPr>
          <w:noProof/>
        </w:rPr>
        <w:t xml:space="preserve"> for a EU exporter following an interim review (photographic paper). China also </w:t>
      </w:r>
      <w:r>
        <w:rPr>
          <w:b/>
          <w:noProof/>
        </w:rPr>
        <w:t>terminated AD measures</w:t>
      </w:r>
      <w:r>
        <w:rPr>
          <w:noProof/>
        </w:rPr>
        <w:t xml:space="preserve"> in 1 proceeding in order to comply with a WTO ruling (stainless steel seamless tubes).</w:t>
      </w:r>
    </w:p>
    <w:p>
      <w:pPr>
        <w:pStyle w:val="Heading2"/>
        <w:rPr>
          <w:noProof/>
        </w:rPr>
      </w:pPr>
      <w:r>
        <w:rPr>
          <w:noProof/>
        </w:rPr>
        <w:t xml:space="preserve">Main cases </w:t>
      </w:r>
    </w:p>
    <w:p>
      <w:pPr>
        <w:autoSpaceDE w:val="0"/>
        <w:autoSpaceDN w:val="0"/>
        <w:adjustRightInd w:val="0"/>
        <w:spacing w:before="0"/>
        <w:rPr>
          <w:noProof/>
        </w:rPr>
      </w:pPr>
      <w:r>
        <w:rPr>
          <w:noProof/>
        </w:rPr>
        <w:t>In</w:t>
      </w:r>
      <w:r>
        <w:rPr>
          <w:b/>
          <w:noProof/>
        </w:rPr>
        <w:t xml:space="preserve"> </w:t>
      </w:r>
      <w:r>
        <w:rPr>
          <w:noProof/>
        </w:rPr>
        <w:t xml:space="preserve">September 2016, China initiated a SFG investigation against imports of </w:t>
      </w:r>
      <w:r>
        <w:rPr>
          <w:b/>
          <w:noProof/>
        </w:rPr>
        <w:t>sugar</w:t>
      </w:r>
      <w:r>
        <w:rPr>
          <w:noProof/>
        </w:rPr>
        <w:t>. This is the first time since 2002 that China opens a SFG case (although current EU exports of sugar to China are negligible). The Commission intervened in a hearing in Beijing in November 2016 and will continue to follow the case.</w:t>
      </w:r>
    </w:p>
    <w:p>
      <w:pPr>
        <w:autoSpaceDE w:val="0"/>
        <w:autoSpaceDN w:val="0"/>
        <w:adjustRightInd w:val="0"/>
        <w:spacing w:before="0"/>
        <w:rPr>
          <w:noProof/>
        </w:rPr>
      </w:pPr>
      <w:r>
        <w:rPr>
          <w:noProof/>
        </w:rPr>
        <w:t xml:space="preserve">Two expiry reviews initiated by China in 2016 are particularly sensitive for EU exports: polysilicon and potato starch. </w:t>
      </w:r>
    </w:p>
    <w:p>
      <w:pPr>
        <w:autoSpaceDE w:val="0"/>
        <w:autoSpaceDN w:val="0"/>
        <w:adjustRightInd w:val="0"/>
        <w:spacing w:before="0"/>
        <w:rPr>
          <w:noProof/>
        </w:rPr>
      </w:pPr>
      <w:r>
        <w:rPr>
          <w:noProof/>
        </w:rPr>
        <w:t xml:space="preserve">In April 2016, China initiated an expiry review of the existing AD and AS measures on imports of </w:t>
      </w:r>
      <w:r>
        <w:rPr>
          <w:b/>
          <w:noProof/>
        </w:rPr>
        <w:t>polysilicon</w:t>
      </w:r>
      <w:r>
        <w:rPr>
          <w:noProof/>
        </w:rPr>
        <w:t xml:space="preserve"> from the EU. The Commission submitted its questionnaire reply for the AS investigation. It is recalled that the original case was initiated by China in November 2012, in the wake of the EU case on solar panels (of which polysilicon is one of the main raw material). The German exporter benefits from a price undertaking. With the support of the Commission, the difficulties observed in autumn-winter 2014-2015 with regard to the minimum import price adaptations were solved in 2016.</w:t>
      </w:r>
    </w:p>
    <w:p>
      <w:pPr>
        <w:autoSpaceDE w:val="0"/>
        <w:autoSpaceDN w:val="0"/>
        <w:adjustRightInd w:val="0"/>
        <w:spacing w:before="0"/>
        <w:rPr>
          <w:noProof/>
        </w:rPr>
      </w:pPr>
      <w:r>
        <w:rPr>
          <w:noProof/>
        </w:rPr>
        <w:t xml:space="preserve">In September 2016, China initiated an expiry review of the AS measures on imports of </w:t>
      </w:r>
      <w:r>
        <w:rPr>
          <w:b/>
          <w:noProof/>
        </w:rPr>
        <w:t>potato starch</w:t>
      </w:r>
      <w:r>
        <w:rPr>
          <w:noProof/>
        </w:rPr>
        <w:t xml:space="preserve"> originating in the EU (AS duties in force range between 7.5% and 12.4%, parallel AD duties also in force range between 12.6% and 56.7%). The value of EU exports to China was around € 14 million in 2015. The Commission filed a questionnaire reply as regards alleged subsidies to EU producers and also filed several submissions addressing specifically subsidisation, injury and causation. The investigation is likely to be completed in September 2017.</w:t>
      </w:r>
    </w:p>
    <w:p>
      <w:pPr>
        <w:autoSpaceDE w:val="0"/>
        <w:autoSpaceDN w:val="0"/>
        <w:adjustRightInd w:val="0"/>
        <w:spacing w:before="0"/>
        <w:rPr>
          <w:noProof/>
        </w:rPr>
      </w:pPr>
      <w:r>
        <w:rPr>
          <w:noProof/>
        </w:rPr>
        <w:t xml:space="preserve">In April 2016, China imposed definitive AD duties on imports of </w:t>
      </w:r>
      <w:r>
        <w:rPr>
          <w:b/>
          <w:noProof/>
        </w:rPr>
        <w:t>unbleached sack kraft paper</w:t>
      </w:r>
      <w:r>
        <w:rPr>
          <w:noProof/>
        </w:rPr>
        <w:t xml:space="preserve"> originating in the EU, Japan and the US. Duties range between 23.5 and 29% (EU economic interest around € 14 million). The Commission has actively supported the EU exporters and submitted comments, notably regarding the product definition.</w:t>
      </w:r>
    </w:p>
    <w:p>
      <w:pPr>
        <w:autoSpaceDE w:val="0"/>
        <w:autoSpaceDN w:val="0"/>
        <w:adjustRightInd w:val="0"/>
        <w:spacing w:before="0"/>
        <w:rPr>
          <w:noProof/>
        </w:rPr>
      </w:pPr>
      <w:r>
        <w:rPr>
          <w:noProof/>
        </w:rPr>
        <w:t xml:space="preserve">In July 2016 definitive AD duties were also imposed on imports of </w:t>
      </w:r>
      <w:r>
        <w:rPr>
          <w:b/>
          <w:noProof/>
        </w:rPr>
        <w:t>GOES</w:t>
      </w:r>
      <w:r>
        <w:rPr>
          <w:noProof/>
        </w:rPr>
        <w:t xml:space="preserve"> (grain oriented electrical steel) originating, </w:t>
      </w:r>
      <w:r>
        <w:rPr>
          <w:i/>
          <w:noProof/>
        </w:rPr>
        <w:t>inter alia</w:t>
      </w:r>
      <w:r>
        <w:rPr>
          <w:noProof/>
        </w:rPr>
        <w:t>, in the EU. The AD duty rate for EU companies is 46.3% (EU economic interest around € 13 million in 2014). This case was initiated by China shortly after the EU investigation on the very same product. The Commission has intervened in support of the EU industry.</w:t>
      </w:r>
    </w:p>
    <w:p>
      <w:pPr>
        <w:autoSpaceDE w:val="0"/>
        <w:autoSpaceDN w:val="0"/>
        <w:adjustRightInd w:val="0"/>
        <w:spacing w:before="0"/>
        <w:rPr>
          <w:b/>
          <w:noProof/>
        </w:rPr>
      </w:pPr>
      <w:r>
        <w:rPr>
          <w:noProof/>
        </w:rPr>
        <w:t xml:space="preserve">In August 2016, China terminated the AD measures it had imposed on imports of certain </w:t>
      </w:r>
      <w:r>
        <w:rPr>
          <w:b/>
          <w:noProof/>
        </w:rPr>
        <w:t>high-performance stainless steel seamless tubes</w:t>
      </w:r>
      <w:r>
        <w:rPr>
          <w:noProof/>
        </w:rPr>
        <w:t xml:space="preserve"> originating in the EU and Japan. This decision came in application of the October 2015 WTO Appellate Body report, concluding that the AD measures imposed by China in November 2012 were in breach of WTO rules (see under point 4 of the main report for more details).</w:t>
      </w:r>
    </w:p>
    <w:p>
      <w:pPr>
        <w:pStyle w:val="Heading1"/>
        <w:rPr>
          <w:noProof/>
        </w:rPr>
      </w:pPr>
      <w:r>
        <w:rPr>
          <w:noProof/>
        </w:rPr>
        <w:t>BRAZIL</w:t>
      </w:r>
    </w:p>
    <w:p>
      <w:pPr>
        <w:pStyle w:val="Heading2"/>
        <w:rPr>
          <w:noProof/>
        </w:rPr>
      </w:pPr>
      <w:r>
        <w:rPr>
          <w:noProof/>
        </w:rPr>
        <w:t xml:space="preserve">Overall trends </w:t>
      </w:r>
    </w:p>
    <w:p>
      <w:pPr>
        <w:rPr>
          <w:noProof/>
        </w:rPr>
      </w:pPr>
      <w:r>
        <w:rPr>
          <w:noProof/>
        </w:rPr>
        <w:t xml:space="preserve">Contrary to the high trade defence activity it had in previous years, in 2016 Brazil did not initiate </w:t>
      </w:r>
      <w:r>
        <w:rPr>
          <w:b/>
          <w:noProof/>
        </w:rPr>
        <w:t>any new investigation</w:t>
      </w:r>
      <w:r>
        <w:rPr>
          <w:noProof/>
        </w:rPr>
        <w:t xml:space="preserve"> regarding EU exports. However, it </w:t>
      </w:r>
      <w:r>
        <w:rPr>
          <w:b/>
          <w:noProof/>
        </w:rPr>
        <w:t>imposed definitive AD measures</w:t>
      </w:r>
      <w:r>
        <w:rPr>
          <w:noProof/>
        </w:rPr>
        <w:t xml:space="preserve"> in 1 investigation on imports of monobutyl ethers. In January 2017, it also imposed definitive AD measures on imports of frozen potatoes. In addition, the AD duties imposed in 2015 on Polish emulsion styrene butadiene rubber were </w:t>
      </w:r>
      <w:r>
        <w:rPr>
          <w:b/>
          <w:noProof/>
        </w:rPr>
        <w:t xml:space="preserve">suspended </w:t>
      </w:r>
      <w:r>
        <w:rPr>
          <w:noProof/>
        </w:rPr>
        <w:t>again for another year, until November 2017.</w:t>
      </w:r>
    </w:p>
    <w:p>
      <w:pPr>
        <w:pStyle w:val="Heading2"/>
        <w:rPr>
          <w:noProof/>
        </w:rPr>
      </w:pPr>
      <w:r>
        <w:rPr>
          <w:noProof/>
        </w:rPr>
        <w:t xml:space="preserve">Main cases </w:t>
      </w:r>
    </w:p>
    <w:p>
      <w:pPr>
        <w:rPr>
          <w:noProof/>
        </w:rPr>
      </w:pPr>
      <w:r>
        <w:rPr>
          <w:noProof/>
        </w:rPr>
        <w:t xml:space="preserve">The Commission closely monitored all these investigations in the course of 2016. It actively intervened in particular in the AD investigation on imports of </w:t>
      </w:r>
      <w:r>
        <w:rPr>
          <w:b/>
          <w:noProof/>
        </w:rPr>
        <w:t>frozen potatoes</w:t>
      </w:r>
      <w:r>
        <w:rPr>
          <w:noProof/>
        </w:rPr>
        <w:t xml:space="preserve"> from Belgium, France, Germany and the Netherlands and in that on imports of </w:t>
      </w:r>
      <w:r>
        <w:rPr>
          <w:b/>
          <w:noProof/>
        </w:rPr>
        <w:t>X-ray dental machines</w:t>
      </w:r>
      <w:r>
        <w:rPr>
          <w:noProof/>
        </w:rPr>
        <w:t xml:space="preserve"> from Germany. In the former, final AD measures were imposed in January 2017, despite several Commission interventions in close coordination with EU exporters, industry associations and the representatives of the Member States affected. A number of EU exporters proposed a price undertaking to the Brazilian authorities, who accepted the proposal from five companies while refusing it for two others. The latter investigation, on the contrary, was terminated in February 2017 without imposition of measures, as a result of the fruitful cooperation between the Commission and the German exporter affected.</w:t>
      </w:r>
    </w:p>
    <w:p>
      <w:pPr>
        <w:pStyle w:val="Heading1"/>
        <w:rPr>
          <w:noProof/>
        </w:rPr>
      </w:pPr>
      <w:r>
        <w:rPr>
          <w:noProof/>
        </w:rPr>
        <w:t>TURKEY</w:t>
      </w:r>
    </w:p>
    <w:p>
      <w:pPr>
        <w:pStyle w:val="Heading2"/>
        <w:rPr>
          <w:noProof/>
        </w:rPr>
      </w:pPr>
      <w:r>
        <w:rPr>
          <w:noProof/>
        </w:rPr>
        <w:t xml:space="preserve">Overall trends </w:t>
      </w:r>
    </w:p>
    <w:p>
      <w:pPr>
        <w:rPr>
          <w:noProof/>
        </w:rPr>
      </w:pPr>
      <w:r>
        <w:rPr>
          <w:noProof/>
        </w:rPr>
        <w:t xml:space="preserve">In 2016 </w:t>
      </w:r>
      <w:r>
        <w:rPr>
          <w:b/>
          <w:noProof/>
        </w:rPr>
        <w:t>no new SFG</w:t>
      </w:r>
      <w:r>
        <w:rPr>
          <w:noProof/>
        </w:rPr>
        <w:t xml:space="preserve"> measures were imposed by Turkey and 3 SFG measures previously in force lapsed. However, as in 2015, the EU industry was again confronted with the </w:t>
      </w:r>
      <w:r>
        <w:rPr>
          <w:b/>
          <w:noProof/>
        </w:rPr>
        <w:t>initiation of an anti-circumvention</w:t>
      </w:r>
      <w:r>
        <w:rPr>
          <w:noProof/>
        </w:rPr>
        <w:t xml:space="preserve"> case (hinges). </w:t>
      </w:r>
      <w:r>
        <w:rPr>
          <w:b/>
          <w:noProof/>
        </w:rPr>
        <w:t>1 AD investigation</w:t>
      </w:r>
      <w:r>
        <w:rPr>
          <w:noProof/>
        </w:rPr>
        <w:t xml:space="preserve"> on hot rolled flat steel was </w:t>
      </w:r>
      <w:r>
        <w:rPr>
          <w:b/>
          <w:noProof/>
        </w:rPr>
        <w:t xml:space="preserve">terminated </w:t>
      </w:r>
      <w:r>
        <w:rPr>
          <w:noProof/>
        </w:rPr>
        <w:t xml:space="preserve">after provisional AD measure had been imposed. Turkey initiated </w:t>
      </w:r>
      <w:r>
        <w:rPr>
          <w:b/>
          <w:noProof/>
        </w:rPr>
        <w:t>2 new AD investigations</w:t>
      </w:r>
      <w:r>
        <w:rPr>
          <w:noProof/>
        </w:rPr>
        <w:t xml:space="preserve"> on kraft liner paper and copper tubes and pipes. In February 2017 it also initiated a new AD investigation on imports of terephthalic acid, on which SFG measures had been in place until August 2016.</w:t>
      </w:r>
    </w:p>
    <w:p>
      <w:pPr>
        <w:pStyle w:val="Heading2"/>
        <w:rPr>
          <w:noProof/>
        </w:rPr>
      </w:pPr>
      <w:r>
        <w:rPr>
          <w:noProof/>
        </w:rPr>
        <w:t xml:space="preserve">Main cases </w:t>
      </w:r>
    </w:p>
    <w:p>
      <w:pPr>
        <w:rPr>
          <w:noProof/>
        </w:rPr>
      </w:pPr>
      <w:r>
        <w:rPr>
          <w:noProof/>
        </w:rPr>
        <w:t xml:space="preserve">In 2015, Turkey initiated an AD investigation on </w:t>
      </w:r>
      <w:r>
        <w:rPr>
          <w:b/>
          <w:noProof/>
        </w:rPr>
        <w:t>hot rolled flat steel</w:t>
      </w:r>
      <w:r>
        <w:rPr>
          <w:noProof/>
        </w:rPr>
        <w:t>. The Member States concerned are France, Romania and Slovakia and the EU economic interest is quite high (€ 500 million). The authorities only imposed provisional measures on Slovakia. The Commission intervened at several occasions, until the authorities decided, in April 2016, to terminate the investigation without imposing definitive duties (see also under point 4 of the main report).</w:t>
      </w:r>
    </w:p>
    <w:p>
      <w:pPr>
        <w:rPr>
          <w:noProof/>
        </w:rPr>
      </w:pPr>
      <w:r>
        <w:rPr>
          <w:noProof/>
        </w:rPr>
        <w:t>As regards the SFG case on</w:t>
      </w:r>
      <w:r>
        <w:rPr>
          <w:b/>
          <w:noProof/>
        </w:rPr>
        <w:t xml:space="preserve"> wall paper</w:t>
      </w:r>
      <w:r>
        <w:rPr>
          <w:noProof/>
        </w:rPr>
        <w:t>,</w:t>
      </w:r>
      <w:r>
        <w:rPr>
          <w:b/>
          <w:noProof/>
        </w:rPr>
        <w:t xml:space="preserve"> </w:t>
      </w:r>
      <w:r>
        <w:rPr>
          <w:noProof/>
        </w:rPr>
        <w:t xml:space="preserve">the Commission intervened at several levels, including during the WTO SFG Committee in Geneva. </w:t>
      </w:r>
      <w:r>
        <w:rPr>
          <w:noProof/>
          <w:szCs w:val="24"/>
        </w:rPr>
        <w:t>After extensive contacts with the Turkish authorities, in April 2017 it was finally agreed to put in place a tariff rate quota that would apply as of August 2016, considerably limiting the economic impact on EU exporters.</w:t>
      </w:r>
    </w:p>
    <w:p>
      <w:pPr>
        <w:rPr>
          <w:noProof/>
        </w:rPr>
      </w:pPr>
      <w:r>
        <w:rPr>
          <w:noProof/>
        </w:rPr>
        <w:t xml:space="preserve">In August 2016, following an </w:t>
      </w:r>
      <w:r>
        <w:rPr>
          <w:b/>
          <w:noProof/>
        </w:rPr>
        <w:t>anti-circumvention</w:t>
      </w:r>
      <w:r>
        <w:rPr>
          <w:noProof/>
        </w:rPr>
        <w:t xml:space="preserve"> investigation initiated in 2015, the Turkish authorities extended the existing AD measures on imports of </w:t>
      </w:r>
      <w:r>
        <w:rPr>
          <w:b/>
          <w:noProof/>
        </w:rPr>
        <w:t>plywood</w:t>
      </w:r>
      <w:r>
        <w:rPr>
          <w:noProof/>
        </w:rPr>
        <w:t xml:space="preserve"> from China also to imports from Bulgaria. A duty of 240 USD/m</w:t>
      </w:r>
      <w:r>
        <w:rPr>
          <w:noProof/>
          <w:vertAlign w:val="superscript"/>
        </w:rPr>
        <w:t>2</w:t>
      </w:r>
      <w:r>
        <w:rPr>
          <w:noProof/>
        </w:rPr>
        <w:t xml:space="preserve"> was imposed on all Bulgarian exporters, except for the one who cooperated in the investigation, which was finally excluded from the duty. Last year, Turkey also initiated another </w:t>
      </w:r>
      <w:r>
        <w:rPr>
          <w:b/>
          <w:noProof/>
        </w:rPr>
        <w:t xml:space="preserve">anti-circumvention </w:t>
      </w:r>
      <w:r>
        <w:rPr>
          <w:noProof/>
        </w:rPr>
        <w:t xml:space="preserve">investigation concerning imports of </w:t>
      </w:r>
      <w:r>
        <w:rPr>
          <w:b/>
          <w:noProof/>
        </w:rPr>
        <w:t>hinges</w:t>
      </w:r>
      <w:r>
        <w:rPr>
          <w:noProof/>
        </w:rPr>
        <w:t>. The existing AD duties applied to imports from China, Malaysia, Indonesia and Taiwan, and the EU Member States were circumvention is alleged to take place are Italy, Spain and Greece. The Commission has made a submission at initiation and will continue to monitor the case.</w:t>
      </w:r>
    </w:p>
    <w:p>
      <w:pPr>
        <w:pStyle w:val="Heading1"/>
        <w:rPr>
          <w:noProof/>
        </w:rPr>
      </w:pPr>
      <w:r>
        <w:rPr>
          <w:noProof/>
        </w:rPr>
        <w:t>INDONESIA</w:t>
      </w:r>
    </w:p>
    <w:p>
      <w:pPr>
        <w:pStyle w:val="Heading2"/>
        <w:rPr>
          <w:noProof/>
        </w:rPr>
      </w:pPr>
      <w:r>
        <w:rPr>
          <w:noProof/>
        </w:rPr>
        <w:t xml:space="preserve">Overall trends </w:t>
      </w:r>
    </w:p>
    <w:p>
      <w:pPr>
        <w:rPr>
          <w:noProof/>
        </w:rPr>
      </w:pPr>
      <w:r>
        <w:rPr>
          <w:noProof/>
        </w:rPr>
        <w:t xml:space="preserve">While Indonesia has no </w:t>
      </w:r>
      <w:r>
        <w:rPr>
          <w:b/>
          <w:noProof/>
        </w:rPr>
        <w:t>AD nor AS measures in place</w:t>
      </w:r>
      <w:r>
        <w:rPr>
          <w:noProof/>
        </w:rPr>
        <w:t xml:space="preserve"> regarding the EU, in recent years it has been a relatively intensive user of the SFG instrument, mainly as a result of increased imports from China linked to the entry into force of the ASEAN-China FTA. Although EU exports are, by definition, also targeted by SFG measures, the EU economic interest appears rather limited in all the cases concerned.</w:t>
      </w:r>
    </w:p>
    <w:p>
      <w:pPr>
        <w:pStyle w:val="Heading2"/>
        <w:rPr>
          <w:noProof/>
        </w:rPr>
      </w:pPr>
      <w:r>
        <w:rPr>
          <w:noProof/>
        </w:rPr>
        <w:t xml:space="preserve">Main cases </w:t>
      </w:r>
    </w:p>
    <w:p>
      <w:pPr>
        <w:rPr>
          <w:noProof/>
        </w:rPr>
      </w:pPr>
      <w:r>
        <w:rPr>
          <w:noProof/>
        </w:rPr>
        <w:t xml:space="preserve">In June 2016 Indonesia terminated without measures the SFG investigation initiated in 2015 on imports of </w:t>
      </w:r>
      <w:r>
        <w:rPr>
          <w:b/>
          <w:noProof/>
        </w:rPr>
        <w:t>dextrose monohydrate</w:t>
      </w:r>
      <w:r>
        <w:rPr>
          <w:noProof/>
        </w:rPr>
        <w:t>, due to the absence of a causal link between the increased imports and the injury suffered by the domestic industry.</w:t>
      </w:r>
    </w:p>
    <w:p>
      <w:pPr>
        <w:pStyle w:val="Heading1"/>
        <w:rPr>
          <w:noProof/>
        </w:rPr>
      </w:pPr>
      <w:r>
        <w:rPr>
          <w:noProof/>
        </w:rPr>
        <w:t>AUSTRALIA</w:t>
      </w:r>
    </w:p>
    <w:p>
      <w:pPr>
        <w:pStyle w:val="Heading2"/>
        <w:rPr>
          <w:noProof/>
        </w:rPr>
      </w:pPr>
      <w:r>
        <w:rPr>
          <w:noProof/>
        </w:rPr>
        <w:t xml:space="preserve">Overall trends </w:t>
      </w:r>
    </w:p>
    <w:p>
      <w:pPr>
        <w:rPr>
          <w:noProof/>
          <w:lang w:val="en-US"/>
        </w:rPr>
      </w:pPr>
      <w:r>
        <w:rPr>
          <w:noProof/>
          <w:lang w:val="en-US"/>
        </w:rPr>
        <w:t xml:space="preserve">Australia did not initiate </w:t>
      </w:r>
      <w:r>
        <w:rPr>
          <w:b/>
          <w:noProof/>
          <w:lang w:val="en-US"/>
        </w:rPr>
        <w:t>any new investigation</w:t>
      </w:r>
      <w:r>
        <w:rPr>
          <w:noProof/>
          <w:lang w:val="en-US"/>
        </w:rPr>
        <w:t xml:space="preserve"> concerning EU exports in 2016. However, the TDI activity relating to the </w:t>
      </w:r>
      <w:r>
        <w:rPr>
          <w:b/>
          <w:noProof/>
          <w:lang w:val="en-US"/>
        </w:rPr>
        <w:t>processed tomatoes</w:t>
      </w:r>
      <w:r>
        <w:rPr>
          <w:noProof/>
          <w:lang w:val="en-US"/>
        </w:rPr>
        <w:t xml:space="preserve"> investigation has been quite high.</w:t>
      </w:r>
    </w:p>
    <w:p>
      <w:pPr>
        <w:pStyle w:val="Heading2"/>
        <w:rPr>
          <w:noProof/>
        </w:rPr>
      </w:pPr>
      <w:r>
        <w:rPr>
          <w:noProof/>
        </w:rPr>
        <w:t xml:space="preserve">Main cases </w:t>
      </w:r>
    </w:p>
    <w:p>
      <w:pPr>
        <w:rPr>
          <w:noProof/>
          <w:lang w:val="en-US"/>
        </w:rPr>
      </w:pPr>
      <w:r>
        <w:rPr>
          <w:noProof/>
          <w:lang w:val="en-US"/>
        </w:rPr>
        <w:t xml:space="preserve">In spite of the numerous technical and political interventions of the Commission, in February 2016 Australia imposed AD measures up to 5.6% on imports of </w:t>
      </w:r>
      <w:r>
        <w:rPr>
          <w:b/>
          <w:noProof/>
          <w:lang w:val="en-US"/>
        </w:rPr>
        <w:t>processed tomatoes</w:t>
      </w:r>
      <w:r>
        <w:rPr>
          <w:noProof/>
          <w:lang w:val="en-US"/>
        </w:rPr>
        <w:t xml:space="preserve"> from two Italian producers (even though they were found not to sell at dumped prices in the original investigation, which was concluded in 2014). In the new investigation it was considered that the EU-decoupled income support to tomato growers had a distortive effect on the price of tomatoes purchased by the two producers concerned and thus a price adjustment was applied.</w:t>
      </w:r>
    </w:p>
    <w:p>
      <w:pPr>
        <w:rPr>
          <w:noProof/>
          <w:lang w:val="en-US"/>
        </w:rPr>
      </w:pPr>
      <w:r>
        <w:rPr>
          <w:noProof/>
          <w:lang w:val="en-US"/>
        </w:rPr>
        <w:t>Further to the imposition of measures, the Commission supported the request for review lodged by the Italian companies and authorities. The Commission made additional technical and political interventions, showing that the EU support measures are green box payments and have thus no price-distortive effect. Eventually, the Australian authorities recognized that indeed the cost adjustments were not warranted and re-calculated the dumping margins for the two exporting producers downwards. In parallel, in May 2016 Australia initiated an interim review for the other exporting producers already subject to AD measure</w:t>
      </w:r>
      <w:r>
        <w:rPr>
          <w:noProof/>
        </w:rPr>
        <w:t>s</w:t>
      </w:r>
      <w:r>
        <w:rPr>
          <w:noProof/>
          <w:lang w:val="en-US"/>
        </w:rPr>
        <w:t>, in order to reflect the methodology described above resulting in higher dumping margins. The findings were disclosed in January 2017 and</w:t>
      </w:r>
      <w:r>
        <w:rPr>
          <w:noProof/>
          <w:szCs w:val="24"/>
          <w:lang w:val="en-US"/>
        </w:rPr>
        <w:t>, further to the methodological review lodged by the two Italian exporters, the Australian AD Committee decided to reduce the duty rates for all the exporters concerned without applying any cost adjustment.</w:t>
      </w:r>
    </w:p>
    <w:p>
      <w:pPr>
        <w:rPr>
          <w:noProof/>
          <w:lang w:val="en-US"/>
        </w:rPr>
      </w:pPr>
      <w:r>
        <w:rPr>
          <w:noProof/>
          <w:lang w:val="en-US"/>
        </w:rPr>
        <w:t xml:space="preserve">The Commission also intervened in the AD investigation concerning </w:t>
      </w:r>
      <w:r>
        <w:rPr>
          <w:b/>
          <w:bCs/>
          <w:noProof/>
          <w:lang w:val="en-US"/>
        </w:rPr>
        <w:t xml:space="preserve">chrome bars </w:t>
      </w:r>
      <w:r>
        <w:rPr>
          <w:noProof/>
          <w:lang w:val="en-US"/>
        </w:rPr>
        <w:t>from Italy and Romania, where AD measures were imposed in September 2016 only against Romania. Following an administrative review requested by the Australian producer in October 2016, the conclusions of the case were re-examined; however, these have been confirmed.</w:t>
      </w:r>
    </w:p>
    <w:p>
      <w:pPr>
        <w:pStyle w:val="Heading1"/>
        <w:rPr>
          <w:noProof/>
        </w:rPr>
      </w:pPr>
      <w:r>
        <w:rPr>
          <w:noProof/>
        </w:rPr>
        <w:t>MOROCCO</w:t>
      </w:r>
    </w:p>
    <w:p>
      <w:pPr>
        <w:pStyle w:val="Heading2"/>
        <w:rPr>
          <w:noProof/>
        </w:rPr>
      </w:pPr>
      <w:r>
        <w:rPr>
          <w:noProof/>
        </w:rPr>
        <w:t xml:space="preserve">Overall trends </w:t>
      </w:r>
    </w:p>
    <w:p>
      <w:pPr>
        <w:rPr>
          <w:noProof/>
        </w:rPr>
      </w:pPr>
      <w:r>
        <w:rPr>
          <w:noProof/>
        </w:rPr>
        <w:t xml:space="preserve">Morocco is now among the regular users of TDI. It has </w:t>
      </w:r>
      <w:r>
        <w:rPr>
          <w:b/>
          <w:noProof/>
        </w:rPr>
        <w:t>initiated 1 new AD</w:t>
      </w:r>
      <w:r>
        <w:rPr>
          <w:noProof/>
        </w:rPr>
        <w:t xml:space="preserve"> investigation concerning ceramic tiles in 2016.  It </w:t>
      </w:r>
      <w:r>
        <w:rPr>
          <w:b/>
          <w:noProof/>
        </w:rPr>
        <w:t>imposed 1 SFG</w:t>
      </w:r>
      <w:r>
        <w:rPr>
          <w:noProof/>
        </w:rPr>
        <w:t xml:space="preserve"> measure on paper in reels and reams and </w:t>
      </w:r>
      <w:r>
        <w:rPr>
          <w:b/>
          <w:noProof/>
        </w:rPr>
        <w:t>1 AD</w:t>
      </w:r>
      <w:r>
        <w:rPr>
          <w:noProof/>
        </w:rPr>
        <w:t xml:space="preserve"> duty on PVC.  At the end of 2016, Morocco had 4 AD (A4 paper, hot rolled steel sheets, insulin, PVC) and 3 SFG measures (bars and rods, cold rolled steel sheets and paper in reels and reams) in force. </w:t>
      </w:r>
    </w:p>
    <w:p>
      <w:pPr>
        <w:pStyle w:val="Heading2"/>
        <w:rPr>
          <w:noProof/>
        </w:rPr>
      </w:pPr>
      <w:r>
        <w:rPr>
          <w:noProof/>
        </w:rPr>
        <w:t xml:space="preserve">Main cases </w:t>
      </w:r>
    </w:p>
    <w:p>
      <w:pPr>
        <w:rPr>
          <w:noProof/>
          <w:szCs w:val="24"/>
        </w:rPr>
      </w:pPr>
      <w:r>
        <w:rPr>
          <w:noProof/>
        </w:rPr>
        <w:t xml:space="preserve">The SFG investigation regarding </w:t>
      </w:r>
      <w:r>
        <w:rPr>
          <w:b/>
          <w:noProof/>
        </w:rPr>
        <w:t>paper in reels and reams</w:t>
      </w:r>
      <w:r>
        <w:rPr>
          <w:noProof/>
        </w:rPr>
        <w:t xml:space="preserve"> was initiated in June 2015 (EU economic interest around € 20 million). Despite the doubtful causal link analysis and several interventions made by the Commission and the industry, definitive measures became effective as of 1 January 2017. A</w:t>
      </w:r>
      <w:r>
        <w:rPr>
          <w:noProof/>
          <w:szCs w:val="24"/>
        </w:rPr>
        <w:t xml:space="preserve"> digressive ad valorem duty was then proposed, but the Commission’s efforts played a positive role in reducing the negative impact of the measures on EU exporters </w:t>
      </w:r>
      <w:r>
        <w:rPr>
          <w:noProof/>
        </w:rPr>
        <w:t>(see also under point 4 of the main report).</w:t>
      </w:r>
    </w:p>
    <w:p>
      <w:pPr>
        <w:rPr>
          <w:noProof/>
        </w:rPr>
      </w:pPr>
      <w:r>
        <w:rPr>
          <w:noProof/>
        </w:rPr>
        <w:t xml:space="preserve">The AD investigation regarding imports of </w:t>
      </w:r>
      <w:r>
        <w:rPr>
          <w:b/>
          <w:noProof/>
        </w:rPr>
        <w:t>PVC</w:t>
      </w:r>
      <w:r>
        <w:rPr>
          <w:noProof/>
        </w:rPr>
        <w:t xml:space="preserve"> was initiated in June 2015 (EU economic interest around € 30 million). The Commission, in cooperation with the industry, made several submissions, highlighting the main problematic issues: the injury picture was not conclusive and other factors such as imports from Mexico were not taken appropriately into account in the analysis. Nevertheless, definitive measures were imposed in December 2016.</w:t>
      </w:r>
    </w:p>
    <w:p>
      <w:pPr>
        <w:rPr>
          <w:noProof/>
        </w:rPr>
      </w:pPr>
      <w:r>
        <w:rPr>
          <w:noProof/>
        </w:rPr>
        <w:t xml:space="preserve">The AD investigation concerning imports of </w:t>
      </w:r>
      <w:r>
        <w:rPr>
          <w:b/>
          <w:noProof/>
        </w:rPr>
        <w:t>ceramic tiles</w:t>
      </w:r>
      <w:r>
        <w:rPr>
          <w:noProof/>
        </w:rPr>
        <w:t xml:space="preserve"> was initiated in May 2016 (EU economic interest around € 70 million). The Spanish industry targeted by this investigation is very concerned. The Commission has made several submissions in cooperation with the industry, as the case has been initiated on very week grounds: evidence regarding dumping is doubtful and the domestic industry does not seem to suffer material injury. The Commission will continue to closely follow this case and intervene as appropriate.</w:t>
      </w:r>
    </w:p>
    <w:p>
      <w:pPr>
        <w:pStyle w:val="Heading1"/>
        <w:rPr>
          <w:noProof/>
        </w:rPr>
      </w:pPr>
      <w:r>
        <w:rPr>
          <w:noProof/>
        </w:rPr>
        <w:t>ARGENTINA</w:t>
      </w:r>
    </w:p>
    <w:p>
      <w:pPr>
        <w:rPr>
          <w:noProof/>
        </w:rPr>
      </w:pPr>
      <w:r>
        <w:rPr>
          <w:noProof/>
        </w:rPr>
        <w:t xml:space="preserve">Argentina did not </w:t>
      </w:r>
      <w:r>
        <w:rPr>
          <w:b/>
          <w:noProof/>
        </w:rPr>
        <w:t>impose any new measure</w:t>
      </w:r>
      <w:r>
        <w:rPr>
          <w:noProof/>
        </w:rPr>
        <w:t xml:space="preserve"> on EU exports in 2016. It </w:t>
      </w:r>
      <w:r>
        <w:rPr>
          <w:b/>
          <w:noProof/>
        </w:rPr>
        <w:t xml:space="preserve">initiated </w:t>
      </w:r>
      <w:r>
        <w:rPr>
          <w:noProof/>
        </w:rPr>
        <w:t xml:space="preserve">an expiry review of the existing AD duties on </w:t>
      </w:r>
      <w:r>
        <w:rPr>
          <w:b/>
          <w:noProof/>
        </w:rPr>
        <w:t>straight handsaw blades</w:t>
      </w:r>
      <w:r>
        <w:rPr>
          <w:noProof/>
        </w:rPr>
        <w:t xml:space="preserve"> from Sweden and an </w:t>
      </w:r>
      <w:r>
        <w:rPr>
          <w:b/>
          <w:noProof/>
        </w:rPr>
        <w:t>anti-circumvention investigation</w:t>
      </w:r>
      <w:r>
        <w:rPr>
          <w:noProof/>
        </w:rPr>
        <w:t xml:space="preserve"> against imports of </w:t>
      </w:r>
      <w:r>
        <w:rPr>
          <w:b/>
          <w:noProof/>
        </w:rPr>
        <w:t>coated paper</w:t>
      </w:r>
      <w:r>
        <w:rPr>
          <w:noProof/>
        </w:rPr>
        <w:t xml:space="preserve"> from Finland. Argentina also </w:t>
      </w:r>
      <w:r>
        <w:rPr>
          <w:b/>
          <w:noProof/>
        </w:rPr>
        <w:t xml:space="preserve">terminated without measures </w:t>
      </w:r>
      <w:r>
        <w:rPr>
          <w:noProof/>
        </w:rPr>
        <w:t xml:space="preserve">the AD investigation against imports of </w:t>
      </w:r>
      <w:r>
        <w:rPr>
          <w:b/>
          <w:noProof/>
        </w:rPr>
        <w:t>veterinary vaccines</w:t>
      </w:r>
      <w:r>
        <w:rPr>
          <w:noProof/>
        </w:rPr>
        <w:t xml:space="preserve"> from France.</w:t>
      </w:r>
    </w:p>
    <w:p>
      <w:pPr>
        <w:pStyle w:val="Heading1"/>
        <w:rPr>
          <w:noProof/>
        </w:rPr>
      </w:pPr>
      <w:r>
        <w:rPr>
          <w:noProof/>
        </w:rPr>
        <w:t>CANADA</w:t>
      </w:r>
    </w:p>
    <w:p>
      <w:pPr>
        <w:pStyle w:val="Heading2"/>
        <w:rPr>
          <w:noProof/>
        </w:rPr>
      </w:pPr>
      <w:r>
        <w:rPr>
          <w:noProof/>
        </w:rPr>
        <w:t xml:space="preserve">Overall trends </w:t>
      </w:r>
    </w:p>
    <w:p>
      <w:pPr>
        <w:rPr>
          <w:noProof/>
        </w:rPr>
      </w:pPr>
      <w:r>
        <w:rPr>
          <w:noProof/>
        </w:rPr>
        <w:t xml:space="preserve">Canada is a moderate user of TDIs. It has </w:t>
      </w:r>
      <w:r>
        <w:rPr>
          <w:b/>
          <w:noProof/>
        </w:rPr>
        <w:t>4 AD and 1 AS measures in force</w:t>
      </w:r>
      <w:r>
        <w:rPr>
          <w:noProof/>
        </w:rPr>
        <w:t xml:space="preserve">. It has </w:t>
      </w:r>
      <w:r>
        <w:rPr>
          <w:b/>
          <w:noProof/>
        </w:rPr>
        <w:t>initiated 2 new AD</w:t>
      </w:r>
      <w:r>
        <w:rPr>
          <w:noProof/>
        </w:rPr>
        <w:t xml:space="preserve"> investigations in 2016.</w:t>
      </w:r>
    </w:p>
    <w:p>
      <w:pPr>
        <w:pStyle w:val="Heading2"/>
        <w:rPr>
          <w:noProof/>
        </w:rPr>
      </w:pPr>
      <w:r>
        <w:rPr>
          <w:noProof/>
        </w:rPr>
        <w:t xml:space="preserve">Main cases </w:t>
      </w:r>
    </w:p>
    <w:p>
      <w:pPr>
        <w:rPr>
          <w:noProof/>
        </w:rPr>
      </w:pPr>
      <w:r>
        <w:rPr>
          <w:noProof/>
        </w:rPr>
        <w:t xml:space="preserve">The AD investigation concerning </w:t>
      </w:r>
      <w:r>
        <w:rPr>
          <w:b/>
          <w:noProof/>
        </w:rPr>
        <w:t>certain concrete reinforcing bars</w:t>
      </w:r>
      <w:r>
        <w:rPr>
          <w:noProof/>
        </w:rPr>
        <w:t xml:space="preserve"> has been initiated in August 2016 (EU economic interest around € 90 million). The Spanish industry, mainly affected, is cooperating in the investigation. The Commission made a submission at initiation, highlighting in particular: the lack of a meaningful non-confidential version of the complaint, the weakness of injury and causality analysis and the fact that imports from the countries concerned merely replaced imports from other third countries. The Commission is closely monitoring this case and will intervene as appropriate.   </w:t>
      </w:r>
    </w:p>
    <w:p>
      <w:pPr>
        <w:rPr>
          <w:noProof/>
        </w:rPr>
      </w:pPr>
      <w:r>
        <w:rPr>
          <w:noProof/>
        </w:rPr>
        <w:t xml:space="preserve">The AD investigation concerning imports of </w:t>
      </w:r>
      <w:r>
        <w:rPr>
          <w:b/>
          <w:noProof/>
        </w:rPr>
        <w:t>certain fabricated industrial steel components</w:t>
      </w:r>
      <w:r>
        <w:rPr>
          <w:noProof/>
        </w:rPr>
        <w:t xml:space="preserve"> has been initiated in September 2016 (EU economic interest around € 130 million). The main issue is that imports from Spain and the UK have been de-minimis in 2015 and 2016. However, in order to include those imports, the Canadian authorities decided to use an extremely long investigation period (2 and half years). The Commission has contested this practice in a submission and will continue to closely follow the case. The issue was also raised during the WTO Anti-dumping Committee in October 2016.</w:t>
      </w:r>
    </w:p>
    <w:p>
      <w:pPr>
        <w:pStyle w:val="Heading1"/>
        <w:rPr>
          <w:noProof/>
        </w:rPr>
      </w:pPr>
      <w:r>
        <w:rPr>
          <w:noProof/>
        </w:rPr>
        <w:t>MEXICO</w:t>
      </w:r>
    </w:p>
    <w:p>
      <w:pPr>
        <w:pStyle w:val="Heading2"/>
        <w:rPr>
          <w:noProof/>
        </w:rPr>
      </w:pPr>
      <w:r>
        <w:rPr>
          <w:noProof/>
        </w:rPr>
        <w:t xml:space="preserve">Overall trends </w:t>
      </w:r>
    </w:p>
    <w:p>
      <w:pPr>
        <w:rPr>
          <w:noProof/>
        </w:rPr>
      </w:pPr>
      <w:r>
        <w:rPr>
          <w:noProof/>
        </w:rPr>
        <w:t xml:space="preserve">In 2016 Mexico initiated </w:t>
      </w:r>
      <w:r>
        <w:rPr>
          <w:b/>
          <w:noProof/>
        </w:rPr>
        <w:t>1 new AD investigation</w:t>
      </w:r>
      <w:r>
        <w:rPr>
          <w:noProof/>
        </w:rPr>
        <w:t xml:space="preserve"> on imports of Spanish seamless carbon steel pipes, which is still ongoing. It also </w:t>
      </w:r>
      <w:r>
        <w:rPr>
          <w:b/>
          <w:noProof/>
        </w:rPr>
        <w:t>imposed measures in 2 AD investigations</w:t>
      </w:r>
      <w:r>
        <w:rPr>
          <w:noProof/>
        </w:rPr>
        <w:t xml:space="preserve"> and </w:t>
      </w:r>
      <w:r>
        <w:rPr>
          <w:b/>
          <w:noProof/>
        </w:rPr>
        <w:t>extended existing AD measures</w:t>
      </w:r>
      <w:r>
        <w:rPr>
          <w:noProof/>
        </w:rPr>
        <w:t xml:space="preserve"> following an expiry review investigation. All those investigations concern </w:t>
      </w:r>
      <w:r>
        <w:rPr>
          <w:b/>
          <w:noProof/>
        </w:rPr>
        <w:t>steel products</w:t>
      </w:r>
      <w:r>
        <w:rPr>
          <w:noProof/>
        </w:rPr>
        <w:t>.</w:t>
      </w:r>
    </w:p>
    <w:p>
      <w:pPr>
        <w:pStyle w:val="Heading2"/>
        <w:rPr>
          <w:noProof/>
        </w:rPr>
      </w:pPr>
      <w:r>
        <w:rPr>
          <w:noProof/>
        </w:rPr>
        <w:t xml:space="preserve">Main cases </w:t>
      </w:r>
    </w:p>
    <w:p>
      <w:pPr>
        <w:rPr>
          <w:noProof/>
        </w:rPr>
      </w:pPr>
      <w:r>
        <w:rPr>
          <w:noProof/>
        </w:rPr>
        <w:t xml:space="preserve">The 4 above mentioned AD investigations concerned the following steel products: </w:t>
      </w:r>
      <w:r>
        <w:rPr>
          <w:b/>
          <w:noProof/>
        </w:rPr>
        <w:t>carbon steel tubes</w:t>
      </w:r>
      <w:r>
        <w:rPr>
          <w:noProof/>
        </w:rPr>
        <w:t xml:space="preserve"> from Spain, </w:t>
      </w:r>
      <w:r>
        <w:rPr>
          <w:b/>
          <w:noProof/>
        </w:rPr>
        <w:t>stranded wire ropes and cables</w:t>
      </w:r>
      <w:r>
        <w:rPr>
          <w:noProof/>
        </w:rPr>
        <w:t xml:space="preserve"> from Spain and Portugal, </w:t>
      </w:r>
      <w:r>
        <w:rPr>
          <w:b/>
          <w:noProof/>
        </w:rPr>
        <w:t>carbon steel plate</w:t>
      </w:r>
      <w:r>
        <w:rPr>
          <w:noProof/>
        </w:rPr>
        <w:t xml:space="preserve"> from Romania (expiry review), and </w:t>
      </w:r>
      <w:r>
        <w:rPr>
          <w:b/>
          <w:noProof/>
        </w:rPr>
        <w:t>seamless carbon steel pipes</w:t>
      </w:r>
      <w:r>
        <w:rPr>
          <w:noProof/>
        </w:rPr>
        <w:t xml:space="preserve"> from Spain (investigation on-going). The Commission intervened in all proceedings since their initiation. However, in 2016 the first 3 investigations were concluded with the imposition/extension of the measures. The new investigation regarding imports of seamless carbon steel pipes from Spain is still at an early stage. The Commission filed a first written submission in February 2016 and will continue to closely monitor the case.</w:t>
      </w:r>
    </w:p>
    <w:p>
      <w:pPr>
        <w:pStyle w:val="Heading1"/>
        <w:rPr>
          <w:noProof/>
        </w:rPr>
      </w:pPr>
      <w:r>
        <w:rPr>
          <w:noProof/>
        </w:rPr>
        <w:t>SOUTH AFRICA</w:t>
      </w:r>
    </w:p>
    <w:p>
      <w:pPr>
        <w:pStyle w:val="Heading2"/>
        <w:rPr>
          <w:noProof/>
        </w:rPr>
      </w:pPr>
      <w:r>
        <w:rPr>
          <w:noProof/>
        </w:rPr>
        <w:t xml:space="preserve">Overall trends </w:t>
      </w:r>
    </w:p>
    <w:p>
      <w:pPr>
        <w:rPr>
          <w:noProof/>
          <w:lang w:val="en-US"/>
        </w:rPr>
      </w:pPr>
      <w:r>
        <w:rPr>
          <w:noProof/>
        </w:rPr>
        <w:t xml:space="preserve">South Africa has currently </w:t>
      </w:r>
      <w:r>
        <w:rPr>
          <w:b/>
          <w:noProof/>
        </w:rPr>
        <w:t>3 AD measures in force</w:t>
      </w:r>
      <w:r>
        <w:rPr>
          <w:noProof/>
        </w:rPr>
        <w:t xml:space="preserve"> against EU exports, </w:t>
      </w:r>
      <w:r>
        <w:rPr>
          <w:b/>
          <w:noProof/>
        </w:rPr>
        <w:t xml:space="preserve">1 of which was imposed in October 2016 </w:t>
      </w:r>
      <w:r>
        <w:rPr>
          <w:noProof/>
        </w:rPr>
        <w:t xml:space="preserve">(frozen potato chips). It initiated </w:t>
      </w:r>
      <w:r>
        <w:rPr>
          <w:b/>
          <w:noProof/>
        </w:rPr>
        <w:t>3 new SFG investigations,</w:t>
      </w:r>
      <w:r>
        <w:rPr>
          <w:noProof/>
        </w:rPr>
        <w:t xml:space="preserve"> and also </w:t>
      </w:r>
      <w:r>
        <w:rPr>
          <w:b/>
          <w:noProof/>
        </w:rPr>
        <w:t>imposed provisional SFG measures</w:t>
      </w:r>
      <w:r>
        <w:rPr>
          <w:noProof/>
        </w:rPr>
        <w:t xml:space="preserve"> in one of them (frozen chicken), on top of the existing AD measures already in force on the same product.</w:t>
      </w:r>
    </w:p>
    <w:p>
      <w:pPr>
        <w:pStyle w:val="Heading2"/>
        <w:rPr>
          <w:noProof/>
        </w:rPr>
      </w:pPr>
      <w:r>
        <w:rPr>
          <w:noProof/>
        </w:rPr>
        <w:t xml:space="preserve">Main cases </w:t>
      </w:r>
    </w:p>
    <w:p>
      <w:pPr>
        <w:rPr>
          <w:noProof/>
        </w:rPr>
      </w:pPr>
      <w:r>
        <w:rPr>
          <w:noProof/>
        </w:rPr>
        <w:t xml:space="preserve">The AD duties on imports of </w:t>
      </w:r>
      <w:r>
        <w:rPr>
          <w:b/>
          <w:noProof/>
        </w:rPr>
        <w:t xml:space="preserve">frozen potato chips </w:t>
      </w:r>
      <w:r>
        <w:rPr>
          <w:noProof/>
        </w:rPr>
        <w:t>from Belgium and the Netherlands had been suspended during the period of application of the SFG measure on the same product, but were re-imposed in October 2016, following the expiry of the SFG measure in June.</w:t>
      </w:r>
    </w:p>
    <w:p>
      <w:pPr>
        <w:rPr>
          <w:noProof/>
        </w:rPr>
      </w:pPr>
      <w:r>
        <w:rPr>
          <w:noProof/>
        </w:rPr>
        <w:t xml:space="preserve">The South African authorities did not apply the same logic with regard to imports of </w:t>
      </w:r>
      <w:r>
        <w:rPr>
          <w:b/>
          <w:noProof/>
        </w:rPr>
        <w:t>frozen chicken</w:t>
      </w:r>
      <w:r>
        <w:rPr>
          <w:noProof/>
        </w:rPr>
        <w:t xml:space="preserve">. This product is already subject to AD measures since 2015, but the authorities did not refrain from adopting provisional SFG measures in addition to those. The Commission intervened in the proceeding stressing, </w:t>
      </w:r>
      <w:r>
        <w:rPr>
          <w:i/>
          <w:noProof/>
        </w:rPr>
        <w:t>inter alia</w:t>
      </w:r>
      <w:r>
        <w:rPr>
          <w:noProof/>
        </w:rPr>
        <w:t>, that the conditions to invoke the bilateral SFG clause were not met and that the two measures should not be applied cumulatively.</w:t>
      </w:r>
    </w:p>
    <w:p>
      <w:pPr>
        <w:rPr>
          <w:noProof/>
        </w:rPr>
      </w:pPr>
      <w:r>
        <w:rPr>
          <w:noProof/>
        </w:rPr>
        <w:t xml:space="preserve">The Commission also submitted comments in two new SFG investigations concerning </w:t>
      </w:r>
      <w:r>
        <w:rPr>
          <w:b/>
          <w:noProof/>
        </w:rPr>
        <w:t>cold rolled steel</w:t>
      </w:r>
      <w:r>
        <w:rPr>
          <w:noProof/>
        </w:rPr>
        <w:t xml:space="preserve"> and </w:t>
      </w:r>
      <w:r>
        <w:rPr>
          <w:b/>
          <w:noProof/>
        </w:rPr>
        <w:t>hot rolled flat steel</w:t>
      </w:r>
      <w:r>
        <w:rPr>
          <w:noProof/>
        </w:rPr>
        <w:t>. In both cases it was argued that the choice of the SFG instrument was not appropriate, as the surge of imports seemed to stem mainly from one source. No provisional measures were adopted so far.</w:t>
      </w:r>
    </w:p>
    <w:p>
      <w:pPr>
        <w:pStyle w:val="Heading1"/>
        <w:rPr>
          <w:noProof/>
        </w:rPr>
      </w:pPr>
      <w:r>
        <w:rPr>
          <w:noProof/>
        </w:rPr>
        <w:t>THAILAND</w:t>
      </w:r>
    </w:p>
    <w:p>
      <w:pPr>
        <w:pStyle w:val="Heading2"/>
        <w:rPr>
          <w:noProof/>
        </w:rPr>
      </w:pPr>
      <w:r>
        <w:rPr>
          <w:noProof/>
        </w:rPr>
        <w:t xml:space="preserve">Overall trends </w:t>
      </w:r>
    </w:p>
    <w:p>
      <w:pPr>
        <w:rPr>
          <w:noProof/>
        </w:rPr>
      </w:pPr>
      <w:r>
        <w:rPr>
          <w:noProof/>
        </w:rPr>
        <w:t xml:space="preserve">As in recent years, in 2016 Thailand's trade defence activity affecting EU exports was </w:t>
      </w:r>
      <w:r>
        <w:rPr>
          <w:b/>
          <w:noProof/>
        </w:rPr>
        <w:t>relatively low</w:t>
      </w:r>
      <w:r>
        <w:rPr>
          <w:noProof/>
        </w:rPr>
        <w:t xml:space="preserve"> and focused exclusively on the SFG instrument.</w:t>
      </w:r>
    </w:p>
    <w:p>
      <w:pPr>
        <w:pStyle w:val="Heading2"/>
        <w:rPr>
          <w:noProof/>
        </w:rPr>
      </w:pPr>
      <w:r>
        <w:rPr>
          <w:noProof/>
        </w:rPr>
        <w:t xml:space="preserve">Main cases </w:t>
      </w:r>
    </w:p>
    <w:p>
      <w:pPr>
        <w:rPr>
          <w:noProof/>
        </w:rPr>
      </w:pPr>
      <w:r>
        <w:rPr>
          <w:noProof/>
        </w:rPr>
        <w:t xml:space="preserve">In February 2016, Thailand initiated a new SFG investigation concerning </w:t>
      </w:r>
      <w:r>
        <w:rPr>
          <w:b/>
          <w:noProof/>
        </w:rPr>
        <w:t>hot-rolled H-beams</w:t>
      </w:r>
      <w:r>
        <w:rPr>
          <w:noProof/>
        </w:rPr>
        <w:t xml:space="preserve"> (EU exports of this particular product to Thailand are marginal). In January 2017 definitive SFG measures were imposed for a period of two years.</w:t>
      </w:r>
    </w:p>
    <w:p>
      <w:pPr>
        <w:rPr>
          <w:noProof/>
        </w:rPr>
      </w:pPr>
      <w:r>
        <w:rPr>
          <w:noProof/>
        </w:rPr>
        <w:t xml:space="preserve">In February 2016, Thailand extended for a period of 3 years the existing SFG measures on imports of </w:t>
      </w:r>
      <w:r>
        <w:rPr>
          <w:b/>
          <w:noProof/>
        </w:rPr>
        <w:t>hot rolled steel flat with certain amounts of alloying elements</w:t>
      </w:r>
      <w:r>
        <w:rPr>
          <w:noProof/>
        </w:rPr>
        <w:t>. The initial SFG measures had been imposed in September 2013 (EU economic interest is marginal).</w:t>
      </w:r>
    </w:p>
    <w:p>
      <w:pPr>
        <w:rPr>
          <w:noProof/>
        </w:rPr>
      </w:pPr>
      <w:r>
        <w:rPr>
          <w:noProof/>
        </w:rPr>
        <w:t xml:space="preserve">In October 2016, Thailand initiated a review of the SFG measures on imports of </w:t>
      </w:r>
      <w:r>
        <w:rPr>
          <w:b/>
          <w:noProof/>
        </w:rPr>
        <w:t>non-alloy hot rolled steel flat products in coils and not in coils</w:t>
      </w:r>
      <w:r>
        <w:rPr>
          <w:noProof/>
        </w:rPr>
        <w:t xml:space="preserve"> in place since December 2014 (EU economic interest around € 3.5 million). The EU took part as an observer in a public hearing in November 2016.</w:t>
      </w:r>
    </w:p>
    <w:p>
      <w:pPr>
        <w:pStyle w:val="Heading1"/>
        <w:rPr>
          <w:rFonts w:asciiTheme="minorHAnsi" w:hAnsiTheme="minorHAnsi" w:cs="Arial"/>
          <w:noProof/>
          <w:sz w:val="20"/>
        </w:rPr>
      </w:pPr>
      <w:r>
        <w:rPr>
          <w:noProof/>
        </w:rPr>
        <w:t>MALAYSIA</w:t>
      </w:r>
    </w:p>
    <w:p>
      <w:pPr>
        <w:pStyle w:val="Heading2"/>
        <w:rPr>
          <w:noProof/>
        </w:rPr>
      </w:pPr>
      <w:r>
        <w:rPr>
          <w:noProof/>
        </w:rPr>
        <w:t xml:space="preserve">Overall trends </w:t>
      </w:r>
    </w:p>
    <w:p>
      <w:pPr>
        <w:rPr>
          <w:noProof/>
        </w:rPr>
      </w:pPr>
      <w:r>
        <w:rPr>
          <w:noProof/>
        </w:rPr>
        <w:t xml:space="preserve">Malaysia initiated </w:t>
      </w:r>
      <w:r>
        <w:rPr>
          <w:b/>
          <w:noProof/>
        </w:rPr>
        <w:t>2 new SFG investigations</w:t>
      </w:r>
      <w:r>
        <w:rPr>
          <w:noProof/>
        </w:rPr>
        <w:t xml:space="preserve"> last year.</w:t>
      </w:r>
    </w:p>
    <w:p>
      <w:pPr>
        <w:pStyle w:val="Heading2"/>
        <w:rPr>
          <w:noProof/>
        </w:rPr>
      </w:pPr>
      <w:r>
        <w:rPr>
          <w:noProof/>
        </w:rPr>
        <w:t xml:space="preserve">Main cases </w:t>
      </w:r>
    </w:p>
    <w:p>
      <w:pPr>
        <w:rPr>
          <w:noProof/>
        </w:rPr>
      </w:pPr>
      <w:r>
        <w:rPr>
          <w:noProof/>
        </w:rPr>
        <w:t xml:space="preserve">In May 2016, Malaysia initiated two SFG investigations concerning </w:t>
      </w:r>
      <w:r>
        <w:rPr>
          <w:b/>
          <w:noProof/>
        </w:rPr>
        <w:t>steel wire rods and deformed bar in coils</w:t>
      </w:r>
      <w:r>
        <w:rPr>
          <w:noProof/>
        </w:rPr>
        <w:t xml:space="preserve"> and </w:t>
      </w:r>
      <w:r>
        <w:rPr>
          <w:b/>
          <w:noProof/>
        </w:rPr>
        <w:t>steel concrete reinforcing bars</w:t>
      </w:r>
      <w:r>
        <w:rPr>
          <w:noProof/>
        </w:rPr>
        <w:t xml:space="preserve"> (EU economic interest is limited in both cases). The Commission, in cooperation with the industry, submitted comments in both proceedings for the respective public hearings, which took place during 2016. However, in September 2016 Malaysia imposed provisional SFG measures for 200 days at a rate of 13.9% in the first investigation and of 13.42% in the second.</w:t>
      </w:r>
    </w:p>
    <w:p>
      <w:pPr>
        <w:pStyle w:val="Heading1"/>
        <w:rPr>
          <w:rFonts w:asciiTheme="minorHAnsi" w:hAnsiTheme="minorHAnsi" w:cs="Arial"/>
          <w:noProof/>
          <w:sz w:val="20"/>
        </w:rPr>
      </w:pPr>
      <w:r>
        <w:rPr>
          <w:noProof/>
        </w:rPr>
        <w:t xml:space="preserve">THE REPUBLIC OF THE PHILIPPINES </w:t>
      </w:r>
    </w:p>
    <w:p>
      <w:pPr>
        <w:pStyle w:val="Heading2"/>
        <w:rPr>
          <w:noProof/>
        </w:rPr>
      </w:pPr>
      <w:r>
        <w:rPr>
          <w:noProof/>
        </w:rPr>
        <w:t xml:space="preserve">Overall trends </w:t>
      </w:r>
    </w:p>
    <w:p>
      <w:pPr>
        <w:rPr>
          <w:noProof/>
        </w:rPr>
      </w:pPr>
      <w:r>
        <w:rPr>
          <w:noProof/>
        </w:rPr>
        <w:t xml:space="preserve">In 2016, after the successful EU intervention in the newsprint SFG case in 2015 (please refer to the Annual Report of 2015), trade defence activity by the Philippines affecting EU exports was very modest. </w:t>
      </w:r>
    </w:p>
    <w:p>
      <w:pPr>
        <w:pStyle w:val="Heading2"/>
        <w:rPr>
          <w:noProof/>
        </w:rPr>
      </w:pPr>
      <w:r>
        <w:rPr>
          <w:noProof/>
        </w:rPr>
        <w:t xml:space="preserve">Main cases </w:t>
      </w:r>
    </w:p>
    <w:p>
      <w:pPr>
        <w:rPr>
          <w:noProof/>
        </w:rPr>
      </w:pPr>
      <w:r>
        <w:rPr>
          <w:noProof/>
        </w:rPr>
        <w:t xml:space="preserve">In June 2016, the Philippines extended for a final period of four years the definitive SFG measure on </w:t>
      </w:r>
      <w:r>
        <w:rPr>
          <w:b/>
          <w:noProof/>
        </w:rPr>
        <w:t>testliner board</w:t>
      </w:r>
      <w:r>
        <w:rPr>
          <w:noProof/>
        </w:rPr>
        <w:t>. This measure is in force since 2010 (the EU has no economic interest).</w:t>
      </w:r>
    </w:p>
    <w:p>
      <w:pPr>
        <w:pStyle w:val="Heading1"/>
        <w:rPr>
          <w:rFonts w:asciiTheme="minorHAnsi" w:hAnsiTheme="minorHAnsi" w:cs="Arial"/>
          <w:noProof/>
          <w:sz w:val="20"/>
        </w:rPr>
      </w:pPr>
      <w:r>
        <w:rPr>
          <w:noProof/>
        </w:rPr>
        <w:t>UKRAINE</w:t>
      </w:r>
    </w:p>
    <w:p>
      <w:pPr>
        <w:pStyle w:val="Heading2"/>
        <w:rPr>
          <w:noProof/>
        </w:rPr>
      </w:pPr>
      <w:r>
        <w:rPr>
          <w:noProof/>
        </w:rPr>
        <w:t xml:space="preserve">Overall trends </w:t>
      </w:r>
    </w:p>
    <w:p>
      <w:pPr>
        <w:rPr>
          <w:noProof/>
        </w:rPr>
      </w:pPr>
      <w:r>
        <w:rPr>
          <w:noProof/>
        </w:rPr>
        <w:t xml:space="preserve">The trade defence activity in Ukraine has continued being rather modest in 2016. At the end of 2016, there were </w:t>
      </w:r>
      <w:r>
        <w:rPr>
          <w:b/>
          <w:noProof/>
        </w:rPr>
        <w:t>3 measures in force</w:t>
      </w:r>
      <w:r>
        <w:rPr>
          <w:noProof/>
        </w:rPr>
        <w:t xml:space="preserve">, </w:t>
      </w:r>
      <w:r>
        <w:rPr>
          <w:b/>
          <w:noProof/>
        </w:rPr>
        <w:t xml:space="preserve">1 AD </w:t>
      </w:r>
      <w:r>
        <w:rPr>
          <w:noProof/>
        </w:rPr>
        <w:t xml:space="preserve">on float glass and </w:t>
      </w:r>
      <w:r>
        <w:rPr>
          <w:b/>
          <w:noProof/>
        </w:rPr>
        <w:t xml:space="preserve">2 SFG </w:t>
      </w:r>
      <w:r>
        <w:rPr>
          <w:noProof/>
        </w:rPr>
        <w:t>on porcelain tableware and kitchenware and flexible porous plates, blocks and sheets of polyurethane foam.</w:t>
      </w:r>
    </w:p>
    <w:p>
      <w:pPr>
        <w:pStyle w:val="Heading2"/>
        <w:rPr>
          <w:noProof/>
        </w:rPr>
      </w:pPr>
      <w:r>
        <w:rPr>
          <w:noProof/>
        </w:rPr>
        <w:t xml:space="preserve">Main cases </w:t>
      </w:r>
    </w:p>
    <w:p>
      <w:pPr>
        <w:rPr>
          <w:noProof/>
        </w:rPr>
      </w:pPr>
      <w:r>
        <w:rPr>
          <w:noProof/>
        </w:rPr>
        <w:t xml:space="preserve">The SFG measures on </w:t>
      </w:r>
      <w:r>
        <w:rPr>
          <w:b/>
          <w:noProof/>
        </w:rPr>
        <w:t>flexible porous plates, blocks and sheets of polyurethane foam</w:t>
      </w:r>
      <w:r>
        <w:rPr>
          <w:noProof/>
        </w:rPr>
        <w:t xml:space="preserve"> were effective as from July 2016. The Commission intervened in the proceeding and also engaged in bilateral consultations in the framework of the Association Agreement establishing the Deep and Comprehensive Free Trade Area (DCFTA). Unfortunately, the Commission's remarks were not retained and the measures were imposed right after consultations had taken place. </w:t>
      </w:r>
    </w:p>
    <w:p>
      <w:pPr>
        <w:rPr>
          <w:noProof/>
        </w:rPr>
      </w:pPr>
      <w:r>
        <w:rPr>
          <w:noProof/>
        </w:rPr>
        <w:t xml:space="preserve">In December 2016, Ukraine started an expiry review of the existing SFG measures on imports of </w:t>
      </w:r>
      <w:r>
        <w:rPr>
          <w:b/>
          <w:noProof/>
        </w:rPr>
        <w:t>porcelain tableware and kitchenware</w:t>
      </w:r>
      <w:r>
        <w:rPr>
          <w:noProof/>
        </w:rPr>
        <w:t xml:space="preserve">. This ongoing investigation is expected to be concluded in May 2017. </w:t>
      </w:r>
    </w:p>
    <w:p>
      <w:pPr>
        <w:pStyle w:val="Heading1"/>
        <w:rPr>
          <w:noProof/>
        </w:rPr>
      </w:pPr>
      <w:r>
        <w:rPr>
          <w:noProof/>
        </w:rPr>
        <w:t>VIETNAM</w:t>
      </w:r>
    </w:p>
    <w:p>
      <w:pPr>
        <w:pStyle w:val="Heading2"/>
        <w:rPr>
          <w:noProof/>
        </w:rPr>
      </w:pPr>
      <w:r>
        <w:rPr>
          <w:noProof/>
        </w:rPr>
        <w:t xml:space="preserve">Overall trends </w:t>
      </w:r>
    </w:p>
    <w:p>
      <w:pPr>
        <w:rPr>
          <w:noProof/>
        </w:rPr>
      </w:pPr>
      <w:r>
        <w:rPr>
          <w:noProof/>
        </w:rPr>
        <w:t xml:space="preserve">In 2016 Vietnam </w:t>
      </w:r>
      <w:r>
        <w:rPr>
          <w:b/>
          <w:noProof/>
        </w:rPr>
        <w:t>initiated 1 new SFG investigation</w:t>
      </w:r>
      <w:r>
        <w:rPr>
          <w:noProof/>
        </w:rPr>
        <w:t xml:space="preserve"> (pre-painted galvanized steel sheet and strip, EU economic interest is marginal) and </w:t>
      </w:r>
      <w:r>
        <w:rPr>
          <w:b/>
          <w:noProof/>
        </w:rPr>
        <w:t>imposed measures in 2 other SFG investigations</w:t>
      </w:r>
      <w:r>
        <w:rPr>
          <w:noProof/>
        </w:rPr>
        <w:t>.</w:t>
      </w:r>
    </w:p>
    <w:p>
      <w:pPr>
        <w:pStyle w:val="Heading2"/>
        <w:rPr>
          <w:noProof/>
        </w:rPr>
      </w:pPr>
      <w:r>
        <w:rPr>
          <w:noProof/>
        </w:rPr>
        <w:t xml:space="preserve">Main cases </w:t>
      </w:r>
    </w:p>
    <w:p>
      <w:pPr>
        <w:rPr>
          <w:noProof/>
        </w:rPr>
      </w:pPr>
      <w:r>
        <w:rPr>
          <w:noProof/>
        </w:rPr>
        <w:t xml:space="preserve">In August, Vietnam imposed final SFG measures on </w:t>
      </w:r>
      <w:r>
        <w:rPr>
          <w:b/>
          <w:noProof/>
        </w:rPr>
        <w:t>semi-finished and finished products of alloy and non-alloy steel</w:t>
      </w:r>
      <w:r>
        <w:rPr>
          <w:noProof/>
        </w:rPr>
        <w:t>. It should be noted that 60% of all Vietnam's imported steel in 2015 was originated in China, while there are almost no EU exports of steel products to Vietnam.</w:t>
      </w:r>
    </w:p>
    <w:p>
      <w:pPr>
        <w:pStyle w:val="Heading1"/>
        <w:rPr>
          <w:noProof/>
        </w:rPr>
      </w:pPr>
      <w:r>
        <w:rPr>
          <w:noProof/>
        </w:rPr>
        <w:t xml:space="preserve">THE REPUBLIC OF KOREA </w:t>
      </w:r>
    </w:p>
    <w:p>
      <w:pPr>
        <w:rPr>
          <w:noProof/>
        </w:rPr>
      </w:pPr>
      <w:r>
        <w:rPr>
          <w:noProof/>
        </w:rPr>
        <w:t xml:space="preserve">Korea is not a frequent user of TDIs. In December 2016, Korea </w:t>
      </w:r>
      <w:r>
        <w:rPr>
          <w:b/>
          <w:noProof/>
        </w:rPr>
        <w:t>imposed AD measures</w:t>
      </w:r>
      <w:r>
        <w:rPr>
          <w:noProof/>
        </w:rPr>
        <w:t xml:space="preserve"> on imports of </w:t>
      </w:r>
      <w:r>
        <w:rPr>
          <w:b/>
          <w:noProof/>
        </w:rPr>
        <w:t>butyl glycol ether</w:t>
      </w:r>
      <w:r>
        <w:rPr>
          <w:noProof/>
        </w:rPr>
        <w:t xml:space="preserve"> from France and the US (the investigation was initiated in December 2015). The duty imposed on the sole French exporting producer, who decided not to cooperate in the proceeding, was of 20.1%.</w:t>
      </w:r>
    </w:p>
    <w:p>
      <w:pPr>
        <w:pStyle w:val="Heading1"/>
        <w:rPr>
          <w:noProof/>
        </w:rPr>
      </w:pPr>
      <w:r>
        <w:rPr>
          <w:noProof/>
        </w:rPr>
        <w:t>NEW ZEALAND</w:t>
      </w:r>
    </w:p>
    <w:p>
      <w:pPr>
        <w:rPr>
          <w:noProof/>
          <w:lang w:val="en-US"/>
        </w:rPr>
      </w:pPr>
      <w:r>
        <w:rPr>
          <w:noProof/>
          <w:lang w:val="en-US"/>
        </w:rPr>
        <w:t xml:space="preserve">Last year New Zealand </w:t>
      </w:r>
      <w:r>
        <w:rPr>
          <w:b/>
          <w:noProof/>
          <w:lang w:val="en-US"/>
        </w:rPr>
        <w:t>initiated an expiry review of the existing AD measures</w:t>
      </w:r>
      <w:r>
        <w:rPr>
          <w:noProof/>
          <w:lang w:val="en-US"/>
        </w:rPr>
        <w:t xml:space="preserve"> on imports of </w:t>
      </w:r>
      <w:r>
        <w:rPr>
          <w:b/>
          <w:noProof/>
          <w:lang w:val="en-US"/>
        </w:rPr>
        <w:t>preserved peaches</w:t>
      </w:r>
      <w:r>
        <w:rPr>
          <w:noProof/>
          <w:lang w:val="en-US"/>
        </w:rPr>
        <w:t xml:space="preserve"> from Spain (measures were in place since 2011); in March 2017 the New Zealand authorities concluded that the measures were no longer necessary and terminated them. </w:t>
      </w:r>
      <w:r>
        <w:rPr>
          <w:b/>
          <w:noProof/>
          <w:lang w:val="en-US"/>
        </w:rPr>
        <w:t>Canned peaches</w:t>
      </w:r>
      <w:r>
        <w:rPr>
          <w:noProof/>
          <w:lang w:val="en-US"/>
        </w:rPr>
        <w:t xml:space="preserve"> from Greece are still subject to AD measures until 2020.</w:t>
      </w:r>
    </w:p>
    <w:p>
      <w:pPr>
        <w:pStyle w:val="Heading1"/>
        <w:rPr>
          <w:noProof/>
        </w:rPr>
      </w:pPr>
      <w:r>
        <w:rPr>
          <w:noProof/>
        </w:rPr>
        <w:t>EGYPT</w:t>
      </w:r>
    </w:p>
    <w:p>
      <w:pPr>
        <w:pStyle w:val="Heading2"/>
        <w:rPr>
          <w:noProof/>
        </w:rPr>
      </w:pPr>
      <w:r>
        <w:rPr>
          <w:noProof/>
        </w:rPr>
        <w:t xml:space="preserve">Overall trends </w:t>
      </w:r>
    </w:p>
    <w:p>
      <w:pPr>
        <w:rPr>
          <w:noProof/>
        </w:rPr>
      </w:pPr>
      <w:r>
        <w:rPr>
          <w:noProof/>
        </w:rPr>
        <w:t xml:space="preserve">In 2016 Egypt </w:t>
      </w:r>
      <w:r>
        <w:rPr>
          <w:b/>
          <w:noProof/>
        </w:rPr>
        <w:t>initiated</w:t>
      </w:r>
      <w:r>
        <w:rPr>
          <w:noProof/>
        </w:rPr>
        <w:t xml:space="preserve"> </w:t>
      </w:r>
      <w:r>
        <w:rPr>
          <w:b/>
          <w:noProof/>
        </w:rPr>
        <w:t>1 new AD</w:t>
      </w:r>
      <w:r>
        <w:rPr>
          <w:noProof/>
        </w:rPr>
        <w:t xml:space="preserve"> investigation and </w:t>
      </w:r>
      <w:r>
        <w:rPr>
          <w:b/>
          <w:noProof/>
        </w:rPr>
        <w:t>terminated without measures</w:t>
      </w:r>
      <w:r>
        <w:rPr>
          <w:noProof/>
        </w:rPr>
        <w:t xml:space="preserve"> </w:t>
      </w:r>
      <w:r>
        <w:rPr>
          <w:b/>
          <w:noProof/>
        </w:rPr>
        <w:t>1 SFG</w:t>
      </w:r>
      <w:r>
        <w:rPr>
          <w:noProof/>
        </w:rPr>
        <w:t xml:space="preserve"> investigation regarding imports of polyethylene terephthalate (PET) (see also under point 4 of the main report). At the end of 2016, Egypt had only 1 trade defence measure in force</w:t>
      </w:r>
      <w:r>
        <w:rPr>
          <w:b/>
          <w:noProof/>
        </w:rPr>
        <w:t xml:space="preserve"> </w:t>
      </w:r>
      <w:r>
        <w:rPr>
          <w:noProof/>
        </w:rPr>
        <w:t>(namely SFG duties on steel rebar).</w:t>
      </w:r>
    </w:p>
    <w:p>
      <w:pPr>
        <w:pStyle w:val="Heading2"/>
        <w:rPr>
          <w:noProof/>
        </w:rPr>
      </w:pPr>
      <w:r>
        <w:rPr>
          <w:noProof/>
        </w:rPr>
        <w:t xml:space="preserve">Main cases </w:t>
      </w:r>
    </w:p>
    <w:p>
      <w:pPr>
        <w:rPr>
          <w:noProof/>
        </w:rPr>
      </w:pPr>
      <w:r>
        <w:rPr>
          <w:noProof/>
          <w:color w:val="000000"/>
          <w:szCs w:val="24"/>
        </w:rPr>
        <w:t xml:space="preserve">The AD investigation regarding imports of </w:t>
      </w:r>
      <w:r>
        <w:rPr>
          <w:b/>
          <w:noProof/>
          <w:color w:val="000000"/>
          <w:szCs w:val="24"/>
        </w:rPr>
        <w:t>flat rolled steel</w:t>
      </w:r>
      <w:r>
        <w:rPr>
          <w:noProof/>
          <w:color w:val="000000"/>
          <w:szCs w:val="24"/>
        </w:rPr>
        <w:t xml:space="preserve"> was initiated in August 2016 (EU economic interest around € 30 million). The Commission made a submission at initiation. There </w:t>
      </w:r>
      <w:r>
        <w:rPr>
          <w:noProof/>
        </w:rPr>
        <w:t xml:space="preserve">were no major issues, except that the case was initiated against the EU and Belgium. </w:t>
      </w:r>
    </w:p>
    <w:p>
      <w:pPr>
        <w:pStyle w:val="Heading1"/>
        <w:rPr>
          <w:noProof/>
        </w:rPr>
      </w:pPr>
      <w:r>
        <w:rPr>
          <w:noProof/>
        </w:rPr>
        <w:t>EURASIAN ECONOMIC UNION (Belarus, Kazakhstan, Russia, Armenia and Kyrgyz Republic)</w:t>
      </w:r>
      <w:r>
        <w:rPr>
          <w:noProof/>
          <w:vertAlign w:val="superscript"/>
        </w:rPr>
        <w:footnoteReference w:id="2"/>
      </w:r>
      <w:r>
        <w:rPr>
          <w:noProof/>
        </w:rPr>
        <w:t xml:space="preserve"> </w:t>
      </w:r>
    </w:p>
    <w:p>
      <w:pPr>
        <w:pStyle w:val="Heading2"/>
        <w:rPr>
          <w:noProof/>
        </w:rPr>
      </w:pPr>
      <w:r>
        <w:rPr>
          <w:noProof/>
        </w:rPr>
        <w:t xml:space="preserve">Overall trends </w:t>
      </w:r>
    </w:p>
    <w:p>
      <w:pPr>
        <w:rPr>
          <w:noProof/>
          <w:color w:val="000000"/>
          <w:szCs w:val="24"/>
        </w:rPr>
      </w:pPr>
      <w:r>
        <w:rPr>
          <w:noProof/>
          <w:color w:val="000000"/>
          <w:szCs w:val="24"/>
        </w:rPr>
        <w:t xml:space="preserve">The activity in 2016 was as modest as in 2015. Out of the </w:t>
      </w:r>
      <w:r>
        <w:rPr>
          <w:b/>
          <w:noProof/>
          <w:color w:val="000000"/>
          <w:szCs w:val="24"/>
        </w:rPr>
        <w:t>3 measures in force</w:t>
      </w:r>
      <w:r>
        <w:rPr>
          <w:noProof/>
          <w:color w:val="000000"/>
          <w:szCs w:val="24"/>
        </w:rPr>
        <w:t xml:space="preserve"> (1 AD and 2 SFG), 2 SFG lapsed in 2016 and the AD measure on light commercial vehicles is still in force. </w:t>
      </w:r>
    </w:p>
    <w:p>
      <w:pPr>
        <w:pStyle w:val="Heading2"/>
        <w:rPr>
          <w:noProof/>
        </w:rPr>
      </w:pPr>
      <w:r>
        <w:rPr>
          <w:noProof/>
        </w:rPr>
        <w:t xml:space="preserve">Main cases </w:t>
      </w:r>
    </w:p>
    <w:p>
      <w:pPr>
        <w:rPr>
          <w:noProof/>
        </w:rPr>
      </w:pPr>
      <w:r>
        <w:rPr>
          <w:noProof/>
        </w:rPr>
        <w:t xml:space="preserve">In 2014 the Commission had requested a WTO Panel against Russia concerning the AD measures imposed on imports of </w:t>
      </w:r>
      <w:r>
        <w:rPr>
          <w:b/>
          <w:noProof/>
        </w:rPr>
        <w:t>light commercial vehicles</w:t>
      </w:r>
      <w:r>
        <w:rPr>
          <w:noProof/>
        </w:rPr>
        <w:t>, mainly based on the lack of an objective injury analysis and several procedural flaws. The substantive part of the Panel proceeding was held in 2016 and the report of the Panel was circulated in January 2017. The Panel agreed with the EU on all procedural claims and recognised several problems with the analysis made by Russia that led to the introduction of duties. In February 2017, however, Russia appealed the Panel's report on behalf of the EAEU (see also under point 5 of the main report).</w:t>
      </w:r>
    </w:p>
    <w:p>
      <w:pPr>
        <w:pStyle w:val="Heading1"/>
        <w:rPr>
          <w:noProof/>
        </w:rPr>
      </w:pPr>
      <w:r>
        <w:rPr>
          <w:noProof/>
        </w:rPr>
        <w:t>JORDAN</w:t>
      </w:r>
    </w:p>
    <w:p>
      <w:pPr>
        <w:rPr>
          <w:noProof/>
          <w:color w:val="000000"/>
          <w:szCs w:val="24"/>
        </w:rPr>
      </w:pPr>
      <w:r>
        <w:rPr>
          <w:noProof/>
          <w:color w:val="000000"/>
          <w:szCs w:val="24"/>
        </w:rPr>
        <w:t xml:space="preserve">Jordan has used the instruments only occasionally in the past. In 2016, it has </w:t>
      </w:r>
      <w:r>
        <w:rPr>
          <w:b/>
          <w:noProof/>
          <w:color w:val="000000"/>
          <w:szCs w:val="24"/>
        </w:rPr>
        <w:t>initiated 1 new SFG</w:t>
      </w:r>
      <w:r>
        <w:rPr>
          <w:noProof/>
          <w:color w:val="000000"/>
          <w:szCs w:val="24"/>
        </w:rPr>
        <w:t xml:space="preserve"> investigation regarding </w:t>
      </w:r>
      <w:r>
        <w:rPr>
          <w:b/>
          <w:noProof/>
          <w:color w:val="000000"/>
          <w:szCs w:val="24"/>
        </w:rPr>
        <w:t>aluminium bars, rods and profiles</w:t>
      </w:r>
      <w:r>
        <w:rPr>
          <w:noProof/>
          <w:color w:val="000000"/>
          <w:szCs w:val="24"/>
        </w:rPr>
        <w:t>, for which provisional measures were imposed in July.</w:t>
      </w:r>
    </w:p>
    <w:p>
      <w:pPr>
        <w:pStyle w:val="Heading1"/>
        <w:rPr>
          <w:noProof/>
        </w:rPr>
      </w:pPr>
      <w:r>
        <w:rPr>
          <w:noProof/>
        </w:rPr>
        <w:t>GULF COOPERATION COUNCIL ('GCC')</w:t>
      </w:r>
      <w:r>
        <w:rPr>
          <w:noProof/>
          <w:vertAlign w:val="superscript"/>
        </w:rPr>
        <w:footnoteReference w:id="3"/>
      </w:r>
    </w:p>
    <w:p>
      <w:pPr>
        <w:pStyle w:val="Heading2"/>
        <w:rPr>
          <w:noProof/>
        </w:rPr>
      </w:pPr>
      <w:r>
        <w:rPr>
          <w:noProof/>
        </w:rPr>
        <w:t xml:space="preserve">Overall trends </w:t>
      </w:r>
    </w:p>
    <w:p>
      <w:pPr>
        <w:rPr>
          <w:noProof/>
        </w:rPr>
      </w:pPr>
      <w:r>
        <w:rPr>
          <w:noProof/>
        </w:rPr>
        <w:t xml:space="preserve">The GCC is not a regular user of TDIs; however, in 2016 it </w:t>
      </w:r>
      <w:r>
        <w:rPr>
          <w:b/>
          <w:noProof/>
        </w:rPr>
        <w:t>initiated 2 new SFG</w:t>
      </w:r>
      <w:r>
        <w:rPr>
          <w:noProof/>
        </w:rPr>
        <w:t xml:space="preserve"> investigations. </w:t>
      </w:r>
    </w:p>
    <w:p>
      <w:pPr>
        <w:pStyle w:val="Heading2"/>
        <w:rPr>
          <w:noProof/>
        </w:rPr>
      </w:pPr>
      <w:r>
        <w:rPr>
          <w:noProof/>
        </w:rPr>
        <w:t xml:space="preserve">Main cases </w:t>
      </w:r>
    </w:p>
    <w:p>
      <w:pPr>
        <w:rPr>
          <w:noProof/>
        </w:rPr>
      </w:pPr>
      <w:r>
        <w:rPr>
          <w:noProof/>
        </w:rPr>
        <w:t xml:space="preserve">The SFG investigation concerning imports of </w:t>
      </w:r>
      <w:r>
        <w:rPr>
          <w:b/>
          <w:noProof/>
        </w:rPr>
        <w:t xml:space="preserve">flat rolled products of iron or non-alloy steel </w:t>
      </w:r>
      <w:r>
        <w:rPr>
          <w:noProof/>
        </w:rPr>
        <w:t>was initiated in June 2016 (EU economic interest around € 40 million). The Commission is intervening on systemic issues, in particular the doubtful injury and causal link analysis.</w:t>
      </w:r>
    </w:p>
    <w:p>
      <w:pPr>
        <w:rPr>
          <w:noProof/>
        </w:rPr>
      </w:pPr>
      <w:r>
        <w:rPr>
          <w:noProof/>
        </w:rPr>
        <w:t xml:space="preserve">The SFG investigation concerning imports of </w:t>
      </w:r>
      <w:r>
        <w:rPr>
          <w:b/>
          <w:noProof/>
        </w:rPr>
        <w:t>ferro silico manganese</w:t>
      </w:r>
      <w:r>
        <w:rPr>
          <w:noProof/>
        </w:rPr>
        <w:t xml:space="preserve"> has been initiated in October 2016 (EU economic interest around € 1 million). The Commission has intervened to underline systemic issues, in particular the lack of a meaningful non-confidential version of the complaint and the unconvincing injury and causal link analysis, including the absence of any price analysis.</w:t>
      </w:r>
    </w:p>
    <w:p>
      <w:pPr>
        <w:pStyle w:val="Heading1"/>
        <w:rPr>
          <w:noProof/>
        </w:rPr>
      </w:pPr>
      <w:r>
        <w:rPr>
          <w:noProof/>
        </w:rPr>
        <w:t>ISRAEL</w:t>
      </w:r>
    </w:p>
    <w:p>
      <w:pPr>
        <w:pStyle w:val="Heading2"/>
        <w:rPr>
          <w:noProof/>
        </w:rPr>
      </w:pPr>
      <w:r>
        <w:rPr>
          <w:noProof/>
        </w:rPr>
        <w:t xml:space="preserve">Overall trends </w:t>
      </w:r>
    </w:p>
    <w:p>
      <w:pPr>
        <w:rPr>
          <w:noProof/>
        </w:rPr>
      </w:pPr>
      <w:r>
        <w:rPr>
          <w:noProof/>
        </w:rPr>
        <w:t xml:space="preserve">Israel is a sporadic user of TDIs. It has 1 AD (non-woven floor and cleaning cloth) and 1 SFG measure (glass wool and rock wool) officially in place, even though these have both been suspended (no economic impact on EU exports). It has </w:t>
      </w:r>
      <w:r>
        <w:rPr>
          <w:b/>
          <w:noProof/>
        </w:rPr>
        <w:t>initiated 1 new AD</w:t>
      </w:r>
      <w:r>
        <w:rPr>
          <w:noProof/>
        </w:rPr>
        <w:t xml:space="preserve"> investigation in 2016.</w:t>
      </w:r>
    </w:p>
    <w:p>
      <w:pPr>
        <w:pStyle w:val="Heading2"/>
        <w:rPr>
          <w:noProof/>
        </w:rPr>
      </w:pPr>
      <w:r>
        <w:rPr>
          <w:noProof/>
        </w:rPr>
        <w:t xml:space="preserve">Main cases </w:t>
      </w:r>
    </w:p>
    <w:p>
      <w:pPr>
        <w:rPr>
          <w:noProof/>
        </w:rPr>
      </w:pPr>
      <w:r>
        <w:rPr>
          <w:noProof/>
        </w:rPr>
        <w:t xml:space="preserve">The AD investigation regarding </w:t>
      </w:r>
      <w:r>
        <w:rPr>
          <w:b/>
          <w:noProof/>
        </w:rPr>
        <w:t>hazelnut cocoa spread</w:t>
      </w:r>
      <w:r>
        <w:rPr>
          <w:noProof/>
        </w:rPr>
        <w:t xml:space="preserve"> has been initiated in September 2016 (EU economic interest around € 50 million). The Commission has intervened at initiation in cooperation with the industry. The main issues raised are the lack of a meaningful non-confidential version of the complaint and a doubtful analysis of injury and causality.</w:t>
      </w:r>
    </w:p>
    <w:p>
      <w:pPr>
        <w:spacing w:before="0" w:line="276" w:lineRule="auto"/>
        <w:jc w:val="center"/>
        <w:rPr>
          <w:b/>
          <w:noProof/>
          <w:lang w:eastAsia="en-US"/>
        </w:rPr>
      </w:pPr>
      <w:r>
        <w:rPr>
          <w:noProof/>
        </w:rPr>
        <w:br w:type="page"/>
      </w:r>
      <w:r>
        <w:rPr>
          <w:b/>
          <w:noProof/>
          <w:lang w:eastAsia="en-US"/>
        </w:rPr>
        <w:t>Annex II – Measures in force at the end of 2014, 2015 and 2016</w:t>
      </w:r>
    </w:p>
    <w:tbl>
      <w:tblPr>
        <w:tblW w:w="9456" w:type="dxa"/>
        <w:jc w:val="center"/>
        <w:tblInd w:w="93" w:type="dxa"/>
        <w:tblLook w:val="04A0" w:firstRow="1" w:lastRow="0" w:firstColumn="1" w:lastColumn="0" w:noHBand="0" w:noVBand="1"/>
      </w:tblPr>
      <w:tblGrid>
        <w:gridCol w:w="2592"/>
        <w:gridCol w:w="572"/>
        <w:gridCol w:w="572"/>
        <w:gridCol w:w="572"/>
        <w:gridCol w:w="572"/>
        <w:gridCol w:w="572"/>
        <w:gridCol w:w="572"/>
        <w:gridCol w:w="572"/>
        <w:gridCol w:w="572"/>
        <w:gridCol w:w="572"/>
        <w:gridCol w:w="572"/>
        <w:gridCol w:w="572"/>
        <w:gridCol w:w="572"/>
      </w:tblGrid>
      <w:tr>
        <w:trPr>
          <w:trHeight w:val="270"/>
          <w:jc w:val="center"/>
        </w:trPr>
        <w:tc>
          <w:tcPr>
            <w:tcW w:w="9456" w:type="dxa"/>
            <w:gridSpan w:val="13"/>
            <w:tcBorders>
              <w:top w:val="single" w:sz="8" w:space="0" w:color="auto"/>
              <w:left w:val="single" w:sz="8" w:space="0" w:color="auto"/>
              <w:bottom w:val="single" w:sz="4" w:space="0" w:color="auto"/>
              <w:right w:val="single" w:sz="8" w:space="0" w:color="000000"/>
            </w:tcBorders>
            <w:shd w:val="clear" w:color="auto" w:fill="auto"/>
            <w:noWrap/>
            <w:vAlign w:val="bottom"/>
            <w:hideMark/>
          </w:tcPr>
          <w:p>
            <w:pPr>
              <w:spacing w:before="0" w:after="0"/>
              <w:jc w:val="center"/>
              <w:rPr>
                <w:rFonts w:ascii="Arial" w:hAnsi="Arial" w:cs="Arial"/>
                <w:b/>
                <w:bCs/>
                <w:noProof/>
                <w:sz w:val="16"/>
                <w:szCs w:val="16"/>
              </w:rPr>
            </w:pPr>
            <w:r>
              <w:rPr>
                <w:rFonts w:ascii="Arial" w:hAnsi="Arial" w:cs="Arial"/>
                <w:b/>
                <w:bCs/>
                <w:noProof/>
                <w:sz w:val="16"/>
                <w:szCs w:val="16"/>
              </w:rPr>
              <w:t>Measures in force at the end of 2014, 2015 and 2016</w:t>
            </w:r>
          </w:p>
        </w:tc>
      </w:tr>
      <w:tr>
        <w:trPr>
          <w:trHeight w:val="270"/>
          <w:jc w:val="center"/>
        </w:trPr>
        <w:tc>
          <w:tcPr>
            <w:tcW w:w="2592" w:type="dxa"/>
            <w:vMerge w:val="restart"/>
            <w:tcBorders>
              <w:top w:val="single" w:sz="8" w:space="0" w:color="auto"/>
              <w:left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Country</w:t>
            </w:r>
          </w:p>
          <w:p>
            <w:pPr>
              <w:spacing w:before="0" w:after="0"/>
              <w:jc w:val="left"/>
              <w:rPr>
                <w:rFonts w:ascii="Arial" w:hAnsi="Arial" w:cs="Arial"/>
                <w:b/>
                <w:bCs/>
                <w:noProof/>
                <w:sz w:val="16"/>
                <w:szCs w:val="16"/>
              </w:rPr>
            </w:pPr>
            <w:r>
              <w:rPr>
                <w:rFonts w:ascii="Arial" w:hAnsi="Arial" w:cs="Arial"/>
                <w:b/>
                <w:bCs/>
                <w:noProof/>
                <w:sz w:val="16"/>
                <w:szCs w:val="16"/>
              </w:rPr>
              <w:t> </w:t>
            </w:r>
          </w:p>
        </w:tc>
        <w:tc>
          <w:tcPr>
            <w:tcW w:w="1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AD</w:t>
            </w:r>
          </w:p>
        </w:tc>
        <w:tc>
          <w:tcPr>
            <w:tcW w:w="1716"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CVD</w:t>
            </w:r>
          </w:p>
        </w:tc>
        <w:tc>
          <w:tcPr>
            <w:tcW w:w="1716"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SFG</w:t>
            </w:r>
          </w:p>
        </w:tc>
        <w:tc>
          <w:tcPr>
            <w:tcW w:w="1716"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TOTAL</w:t>
            </w:r>
          </w:p>
        </w:tc>
      </w:tr>
      <w:tr>
        <w:trPr>
          <w:trHeight w:val="270"/>
          <w:jc w:val="center"/>
        </w:trPr>
        <w:tc>
          <w:tcPr>
            <w:tcW w:w="2592" w:type="dxa"/>
            <w:vMerge/>
            <w:tcBorders>
              <w:left w:val="single" w:sz="8" w:space="0" w:color="auto"/>
              <w:bottom w:val="single" w:sz="8" w:space="0" w:color="auto"/>
              <w:right w:val="single" w:sz="4" w:space="0" w:color="auto"/>
            </w:tcBorders>
            <w:shd w:val="clear" w:color="auto" w:fill="auto"/>
            <w:noWrap/>
            <w:vAlign w:val="center"/>
            <w:hideMark/>
          </w:tcPr>
          <w:p>
            <w:pPr>
              <w:spacing w:before="0" w:after="0"/>
              <w:jc w:val="left"/>
              <w:rPr>
                <w:rFonts w:ascii="Arial" w:hAnsi="Arial" w:cs="Arial"/>
                <w:b/>
                <w:bCs/>
                <w:noProof/>
                <w:sz w:val="16"/>
                <w:szCs w:val="16"/>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2014</w:t>
            </w:r>
          </w:p>
        </w:tc>
        <w:tc>
          <w:tcPr>
            <w:tcW w:w="572"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Argentina</w:t>
            </w:r>
          </w:p>
        </w:tc>
        <w:tc>
          <w:tcPr>
            <w:tcW w:w="57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Australia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Belarus</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Brazil</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9</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15</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9</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16</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15</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Canada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Chile</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China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16</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17</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17</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18</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19</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19</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Colombia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Costa Rica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Dominican Republic</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Ecuador</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Egypt</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Eurasian Customs Union</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India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19</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19</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24</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Indonesia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8</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8</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Japan</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Jordan</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Kazakhstan</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Korea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Malaysia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Mexico</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Morocco</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New Zealand</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Pakistan</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Philippines</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South Africa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Thailand</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Turkey</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8</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12</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10</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Ukraine</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USA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17</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19</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18</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18</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21</w:t>
            </w:r>
          </w:p>
        </w:tc>
      </w:tr>
      <w:tr>
        <w:trPr>
          <w:trHeight w:val="270"/>
          <w:jc w:val="center"/>
        </w:trPr>
        <w:tc>
          <w:tcPr>
            <w:tcW w:w="2592"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Vietnam</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r>
      <w:tr>
        <w:trPr>
          <w:trHeight w:val="270"/>
          <w:jc w:val="center"/>
        </w:trPr>
        <w:tc>
          <w:tcPr>
            <w:tcW w:w="2592" w:type="dxa"/>
            <w:tcBorders>
              <w:top w:val="nil"/>
              <w:left w:val="single" w:sz="8" w:space="0" w:color="auto"/>
              <w:bottom w:val="nil"/>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Zambia</w:t>
            </w:r>
          </w:p>
        </w:tc>
        <w:tc>
          <w:tcPr>
            <w:tcW w:w="572" w:type="dxa"/>
            <w:tcBorders>
              <w:top w:val="nil"/>
              <w:left w:val="single" w:sz="8" w:space="0" w:color="auto"/>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jc w:val="center"/>
        </w:trPr>
        <w:tc>
          <w:tcPr>
            <w:tcW w:w="2592" w:type="dxa"/>
            <w:tcBorders>
              <w:top w:val="single" w:sz="8" w:space="0" w:color="auto"/>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TOTAL</w:t>
            </w:r>
          </w:p>
        </w:tc>
        <w:tc>
          <w:tcPr>
            <w:tcW w:w="5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104</w:t>
            </w:r>
          </w:p>
        </w:tc>
        <w:tc>
          <w:tcPr>
            <w:tcW w:w="572" w:type="dxa"/>
            <w:tcBorders>
              <w:top w:val="single" w:sz="8" w:space="0" w:color="auto"/>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108</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116</w:t>
            </w:r>
          </w:p>
        </w:tc>
        <w:tc>
          <w:tcPr>
            <w:tcW w:w="572" w:type="dxa"/>
            <w:tcBorders>
              <w:top w:val="single" w:sz="8" w:space="0" w:color="auto"/>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4</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5</w:t>
            </w:r>
          </w:p>
        </w:tc>
        <w:tc>
          <w:tcPr>
            <w:tcW w:w="572" w:type="dxa"/>
            <w:tcBorders>
              <w:top w:val="single" w:sz="8" w:space="0" w:color="auto"/>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5</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32</w:t>
            </w:r>
          </w:p>
        </w:tc>
        <w:tc>
          <w:tcPr>
            <w:tcW w:w="572" w:type="dxa"/>
            <w:tcBorders>
              <w:top w:val="single" w:sz="8" w:space="0" w:color="auto"/>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38</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35</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140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151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156</w:t>
            </w:r>
          </w:p>
        </w:tc>
      </w:tr>
    </w:tbl>
    <w:p>
      <w:pPr>
        <w:jc w:val="center"/>
        <w:rPr>
          <w:b/>
          <w:noProof/>
          <w:lang w:eastAsia="en-US"/>
        </w:rPr>
      </w:pPr>
      <w:r>
        <w:rPr>
          <w:noProof/>
          <w:lang w:eastAsia="en-US"/>
        </w:rPr>
        <w:br w:type="page"/>
      </w:r>
      <w:r>
        <w:rPr>
          <w:b/>
          <w:noProof/>
          <w:lang w:eastAsia="en-US"/>
        </w:rPr>
        <w:t>Annex III – Detail of measures in force at the end of 2016</w:t>
      </w:r>
    </w:p>
    <w:tbl>
      <w:tblPr>
        <w:tblW w:w="9398" w:type="dxa"/>
        <w:jc w:val="center"/>
        <w:tblInd w:w="93" w:type="dxa"/>
        <w:tblLayout w:type="fixed"/>
        <w:tblLook w:val="04A0" w:firstRow="1" w:lastRow="0" w:firstColumn="1" w:lastColumn="0" w:noHBand="0" w:noVBand="1"/>
      </w:tblPr>
      <w:tblGrid>
        <w:gridCol w:w="1421"/>
        <w:gridCol w:w="2432"/>
        <w:gridCol w:w="843"/>
        <w:gridCol w:w="1404"/>
        <w:gridCol w:w="1248"/>
        <w:gridCol w:w="2050"/>
      </w:tblGrid>
      <w:tr>
        <w:trPr>
          <w:trHeight w:val="228"/>
          <w:jc w:val="center"/>
        </w:trPr>
        <w:tc>
          <w:tcPr>
            <w:tcW w:w="9398" w:type="dxa"/>
            <w:gridSpan w:val="6"/>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Measures in force at the end of the year 2016</w:t>
            </w:r>
          </w:p>
        </w:tc>
      </w:tr>
      <w:tr>
        <w:trPr>
          <w:trHeight w:val="228"/>
          <w:jc w:val="center"/>
        </w:trPr>
        <w:tc>
          <w:tcPr>
            <w:tcW w:w="9398" w:type="dxa"/>
            <w:gridSpan w:val="6"/>
            <w:vMerge/>
            <w:tcBorders>
              <w:top w:val="single" w:sz="8" w:space="0" w:color="auto"/>
              <w:left w:val="single" w:sz="8" w:space="0" w:color="auto"/>
              <w:bottom w:val="single" w:sz="4" w:space="0" w:color="auto"/>
              <w:right w:val="single" w:sz="8" w:space="0" w:color="000000"/>
            </w:tcBorders>
            <w:vAlign w:val="center"/>
            <w:hideMark/>
          </w:tcPr>
          <w:p>
            <w:pPr>
              <w:spacing w:before="0" w:after="0"/>
              <w:jc w:val="left"/>
              <w:rPr>
                <w:rFonts w:ascii="Arial" w:hAnsi="Arial" w:cs="Arial"/>
                <w:b/>
                <w:bCs/>
                <w:noProof/>
                <w:sz w:val="16"/>
                <w:szCs w:val="16"/>
              </w:rPr>
            </w:pP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vAlign w:val="bottom"/>
            <w:hideMark/>
          </w:tcPr>
          <w:p>
            <w:pPr>
              <w:spacing w:before="0" w:after="0"/>
              <w:jc w:val="left"/>
              <w:rPr>
                <w:rFonts w:ascii="Arial" w:hAnsi="Arial" w:cs="Arial"/>
                <w:b/>
                <w:bCs/>
                <w:noProof/>
                <w:sz w:val="16"/>
                <w:szCs w:val="16"/>
              </w:rPr>
            </w:pPr>
            <w:r>
              <w:rPr>
                <w:rFonts w:ascii="Arial" w:hAnsi="Arial" w:cs="Arial"/>
                <w:b/>
                <w:bCs/>
                <w:noProof/>
                <w:sz w:val="16"/>
                <w:szCs w:val="16"/>
              </w:rPr>
              <w:t>Country</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b/>
                <w:bCs/>
                <w:noProof/>
                <w:sz w:val="16"/>
                <w:szCs w:val="16"/>
              </w:rPr>
            </w:pPr>
            <w:r>
              <w:rPr>
                <w:rFonts w:ascii="Arial" w:hAnsi="Arial" w:cs="Arial"/>
                <w:b/>
                <w:bCs/>
                <w:noProof/>
                <w:sz w:val="16"/>
                <w:szCs w:val="16"/>
              </w:rPr>
              <w:t>Product</w:t>
            </w:r>
          </w:p>
        </w:tc>
        <w:tc>
          <w:tcPr>
            <w:tcW w:w="843" w:type="dxa"/>
            <w:tcBorders>
              <w:top w:val="nil"/>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Instrument</w:t>
            </w:r>
          </w:p>
        </w:tc>
        <w:tc>
          <w:tcPr>
            <w:tcW w:w="1404" w:type="dxa"/>
            <w:tcBorders>
              <w:top w:val="nil"/>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Type Of Measure</w:t>
            </w:r>
          </w:p>
        </w:tc>
        <w:tc>
          <w:tcPr>
            <w:tcW w:w="1248" w:type="dxa"/>
            <w:tcBorders>
              <w:top w:val="nil"/>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Date Of Imposition</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b/>
                <w:bCs/>
                <w:noProof/>
                <w:sz w:val="16"/>
                <w:szCs w:val="16"/>
              </w:rPr>
            </w:pPr>
            <w:r>
              <w:rPr>
                <w:rFonts w:ascii="Arial" w:hAnsi="Arial" w:cs="Arial"/>
                <w:b/>
                <w:bCs/>
                <w:noProof/>
                <w:sz w:val="16"/>
                <w:szCs w:val="16"/>
              </w:rPr>
              <w:t>Exporting MS</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Argentina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Ceramic borders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2014-Jul-02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Argentina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Coated paper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2012-Jun-14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Austria, Finland</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Argentina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Electrical terminals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2009-Apr-02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Argentina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PVC profiles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2014-Jun-03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Argentina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straight handsaw blades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2008-Feb-21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Sweden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Chrome bars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Romania</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Prepared or preserved tomato products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2014-Apr-16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Processed dried currants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2009-Jan-14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Greece</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Processed tomatoes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2016-Feb-10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Q&amp;T Steel Plate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2014-Nov-05</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Finland, Sweden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Reinforcing Bar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2015-Nov-19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Adipic Acid</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2015-Apr-01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France, 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Butyl Acrylate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2015-Sep-25</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Elastomeric rubber pipes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2015-Jun-22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Italy</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Ethanolamines and triethanolamines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2013-Nov-04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Galvanized steel wire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2015-Jan-30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Sweden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Glazed papers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2008-Oct-22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Finland</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Indigo Blue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2008-Mar-24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Laminated steel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2013-Oct-04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Finland</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Lightweight paper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2012-Apr-23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Finland, Sweden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Milk powder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2001-Feb-23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Denmark, Ireland</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Monobutyl ethers of ethylene glycol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2016-Apr-22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Offset printing plates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2015-Mar-05</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United Kingdom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Phenol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2002-Oct-16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Plastic Tubes for Blood Collection</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2015-Apr-30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United Kingdom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Seamless steel pipes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2005-Oct-07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Copper tubes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2014-Jan-02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Greece</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Hot-rolled carbon steel plate and high-strength low-alloy steel plate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2004-Jan-09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Czech Republic, Bulgaria, Romania</w:t>
            </w:r>
          </w:p>
        </w:tc>
      </w:tr>
      <w:tr>
        <w:trPr>
          <w:trHeight w:val="686"/>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Refined sugar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1995-Nov-06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Denmark, Germany, Netherlands, United Kingdom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Refined sugar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1995-Nov-06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European Union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plate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2014-Jun-04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Denmark, 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Adipic acid</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2009-Nov-02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France, 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Alloy Seamless Tubes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2014-May-10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France, Italy</w:t>
            </w:r>
          </w:p>
        </w:tc>
      </w:tr>
      <w:tr>
        <w:trPr>
          <w:trHeight w:val="686"/>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Caprolactam</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2011-Sep-22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Czech Republic, Germany, Spain, Netherlands, Poland</w:t>
            </w:r>
          </w:p>
        </w:tc>
      </w:tr>
      <w:tr>
        <w:trPr>
          <w:trHeight w:val="686"/>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Certain iron or steel fasteners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2010-Jun-29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Spain, France, Italy, Poland, Sweden, United Kingdom</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Chloroprene Rubber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2005-May-10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France, European Union</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Ethylene Glycol Monobutyl Ether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2013-Jan-25</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France, Sweden</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Grain oriented flat-rolled steel (GOES)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2016-Jul-23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Poland, United Kingdom</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Optical fiber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2011-Apr-22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Denmark, Germany, France, Italy, Netherlands</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Perchlorethylene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2014-May-30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France</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Photographic paper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2012-Mar-23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Netherlands, United Kingdom</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Polyamide-6 (PA6)</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2010-Apr-22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Italy, Netherlands, Poland</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Polyamide-6,6</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2009-Oct-12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France, Italy, United Kingdom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Polysilicone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2014-Apr-30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Polysilicone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2014-Apr-30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Potato Starch</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2007-Feb-06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France, Netherlands</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Potato Starch</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2011-Sep-17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France, Netherlands</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Toluene Diisocyanate (TDI)</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2013-Mar-13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Spain, France, Hungary, Poland</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Toluidine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2013-Mar-13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Unbleached sack paper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2016-Apr-09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Austria, Finland, Sweden, Bulgaria</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Costa Rica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Pounded Rice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2015-Feb-19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Dominican Republic</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bars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2014-Jul-30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Ecuador</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Wood &amp; bamboo flooring</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2015-May-29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Egypt</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Rebar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2015-May-02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 Italy, Bulgaria</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Eurasian Economic Union</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Light commercial vehicles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2013-Jun-16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Italy, Poland</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2-Ethyl Hexanol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2016-Feb-18</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Acetone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2008-Mar-11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Spain, Italy</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Aniline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2012-May-29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Czech Republic, Germany, United Kingdom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Cefadroxil Monohydrate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2013-Oct-10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Certain Rubber Chemicals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2005-Nov-20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Italy</w:t>
            </w:r>
          </w:p>
        </w:tc>
      </w:tr>
      <w:tr>
        <w:trPr>
          <w:trHeight w:val="686"/>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Cold-Rolled Flat Products of Stainless Steel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2010-Feb-20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Spain, France, Italy, Netherlands, Finland, Sweden, United Kingdom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Flexible Slabstock Polyol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2015-Apr-07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686"/>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Hot rolled flat products of non-alloy and other alloy steel in coils of a width of 600 mm or more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2016-Mar-29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686"/>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Hot rolled flat sheets and plates thick =&lt;150mm, width &gt;= 600 mm</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2016-Nov-23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France, Italy, Austria, Sweden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Melamine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2012-Jun-01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Methylene Chloride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2014-May-21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Morpholine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2012-Jan-24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Normal Butanol or N-Butyl Alcohol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2016-Feb-19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Pentaerythritol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2012-Jun-20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Phenol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2016-Mar-08</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Spain, Netherlands</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Polyvinyl Chloride Suspension Grade Resin</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2014-Jun-13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PVC paste resin</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2004-Oct-07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 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Saturated fatty Alcohols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2015-Mar-13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Seamless Pipes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2014-Aug-13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Soda Ash</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2012-Feb-17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Bulgaria, Romania</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Sodium Citrate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2014-Dec-31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Sodium Nitrate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2014-Nov-13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Bulgaria</w:t>
            </w:r>
          </w:p>
        </w:tc>
      </w:tr>
      <w:tr>
        <w:trPr>
          <w:trHeight w:val="259"/>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Sodium nitrite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2002-Nov-29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European Union</w:t>
            </w:r>
          </w:p>
        </w:tc>
      </w:tr>
      <w:tr>
        <w:trPr>
          <w:trHeight w:val="686"/>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Stainless Steel Cold Rolled Flat Products of 400 series having width below 600 mm</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2012-Oct-04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Italy, Finland, Sweden</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Indonesia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Bars and Rods, Hot-Rolled, in Irregularity Wound Coils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2015-Aug-17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Indonesia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Casing and Tubing</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2013-Aug-06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Indonesia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Coated Paper and Paperboard, not including Banknotes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2015-Sep-07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Indonesia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Cotton yarn other than sewing thread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2011-Jun-06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Indonesia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Flat rolled iron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2014-Jul-22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Indonesia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 and I sections of other alloy steel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2015-Jan-21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Indonesia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Wheat Flour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2014-May-04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Japan</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Electrolytic Manganese Dioxide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2008-Aug-29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Jordan</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Aluminium bars, rods and profiles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2016-Jul-31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Korea/South</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Butyl Glycol Ether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2016-Dec-06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Korea/South</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Stainless steel bar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2004-Jul-30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Malaysia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Hot-rolled steel plate of iron or non-alloy steel and</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2015-Jul-02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Malaysia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concrete reinforcing bar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2016-Sep-26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Austria, Finland, United Kingdom</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Malaysia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wire rods and deformed bar in coils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2016-Sep-27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Carbon steel tubes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2016-Apr-21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carbon steel tubes with longitudinal straight seam</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2010-Jan-06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United Kingdom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Hot rolled steel coils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2015-Dec-23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France</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plate produced in Romania</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2005-Sep-22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Stranded wire ropes &amp; cables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2016-Feb-27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 Portugal</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Bars and Rods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2014-Apr-01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Cold rolled steel sheets and plated or coated sheets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2015-Sep-07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Hot rolled steel sheets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2014-Aug-12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Insulin</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2015-Feb-03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Paper A4</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2014-Oct-20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PVC</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2016-Dec-29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Spain, France, Portugal</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New Zealand</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Canned peaches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1998-Mar-09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Greece</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New Zealand</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Preserved peaches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2011-Aug-04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Pakistan</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Hydrogen Peroxide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2011-Jul-15</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Pakistan</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Phthalic Anhydride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2013-Feb-07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Philippines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Newsprint</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2015-May-13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Philippines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angle bars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2009-Aug-31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Philippines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Testliner board</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2010-Sep-16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Frozen chicken</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2015-Feb-27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Netherlands, United Kingdom</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Frozen chicken BSG</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2016-Dec-14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Netherlands, United Kingdom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Potato chips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2016-Oct-21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Netherlands</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Ropes &amp; cables of iron or steel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2002-Aug-28</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United Kingdom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Thailand</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Glass Block</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2011-Aug-18</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Czech Republic</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Thailand</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Hot rolled steel flat with certain amounts of alloying elements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2013-Sep-15</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Thailand</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Hot-rolled flat in coils and not in coils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2003-May-27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Slovakia</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Thailand</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Non Alloy Hot Rolled Steel Flat Products in (non) coils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2014-Dec-23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Spain, Sweden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Fittings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2006-Sep-07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Float glass colourless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2013-Nov-17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Romania</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Laminated flooring</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2015-Jun-13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plywood</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2016-Oct-28</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Bulgaria</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Polyethylene terephthalate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2011-Nov-07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Greece, Spain, Italy</w:t>
            </w:r>
          </w:p>
        </w:tc>
      </w:tr>
      <w:tr>
        <w:trPr>
          <w:trHeight w:val="915"/>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Polyvinyl chloride (PVC)</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2003-Feb-06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Greece, Italy, Hungary, Netherlands, Finland, Romania</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wall paper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2015-Aug-06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Italy, United Kingdom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Water heaters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2013-Sep-19</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woven fabrics of synthetic filament yarn</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2015-Aug-22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Bulgaria</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woven fabrics of synthetic and artificial staple fibres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2015-Aug-22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Poland, Bulgaria</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Ukraine</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Flexible porous plates, blocks and sheets of polyurethane foam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2016-Jul-07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Hungary, Poland, Romania</w:t>
            </w:r>
          </w:p>
        </w:tc>
      </w:tr>
      <w:tr>
        <w:trPr>
          <w:trHeight w:val="686"/>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Ukraine</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Float glass with thickness up to 3.5 mm, 3.5 - 4.5 mm, more than 4.5 mm</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2012-Apr-28</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Ukraine</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Porcelain tableware and kitchenware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2014-May-23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Poland</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Brass sheet &amp; strip</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1987-Mar-06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Brass sheet &amp; strip</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1987-Mar-06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France</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Brass sheet &amp; strip</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1987-Mar-06</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Carbon &amp; alloy steel cut to length plate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2016-Nov-14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France, Italy, Austria</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Chlorinated isocyanurates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2005-Jun-24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cold rolled steel flat products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2016-Sep-10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Netherlands, United Kingdom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Corrosion-resistant steel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2016-Jul-15</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Corrosion-resistant steel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2016-Sep-15</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Hot rolled steel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2016-Sep-12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Netherlands, United Kingdom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Low enriched uranium</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2002-Feb-13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France</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Non-oriented electrical steel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2014-Nov-18</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Sweden</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Pasta</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1996-Jul-24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Pasta</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1996-Jul-24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Pressure sensitive plastic tape x673</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1977-Oct-21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Seamless pipe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1997-Mar-04</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Seamless pipe small diameter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2011-Oct-11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Romania</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Sodium Nitrite</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2008-Aug-27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Stainless steel bar x709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1995-Mar-02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Stainless steel butt-weld pipe fittings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2001-Feb-23</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Stainless steel plates in coils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1999-May-21</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Stainless steel wire rod x743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1998-Sep-15</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 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Stainless steel wire rod x745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1998-Sep-15</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concrete reinforcing bars</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2001-Sep-07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Latvia</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Steel concrete reinforcing bars x752 </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2001-Sep-07</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Poland</w:t>
            </w:r>
          </w:p>
        </w:tc>
      </w:tr>
      <w:tr>
        <w:trPr>
          <w:trHeight w:val="22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Uncoated paper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2016-Jan-20</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Portugal</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Monosodium glutamate- food flavour</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2016-Mar-25</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Spain</w:t>
            </w:r>
          </w:p>
        </w:tc>
      </w:tr>
      <w:tr>
        <w:trPr>
          <w:trHeight w:val="458"/>
          <w:jc w:val="center"/>
        </w:trPr>
        <w:tc>
          <w:tcPr>
            <w:tcW w:w="1421"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2432"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semi-finished and finished products of alloy&amp;non-alloy steel</w:t>
            </w:r>
          </w:p>
        </w:tc>
        <w:tc>
          <w:tcPr>
            <w:tcW w:w="843"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2016-Aug-02</w:t>
            </w:r>
          </w:p>
        </w:tc>
        <w:tc>
          <w:tcPr>
            <w:tcW w:w="2050"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44"/>
          <w:jc w:val="center"/>
        </w:trPr>
        <w:tc>
          <w:tcPr>
            <w:tcW w:w="1421" w:type="dxa"/>
            <w:tcBorders>
              <w:top w:val="nil"/>
              <w:left w:val="single" w:sz="8" w:space="0" w:color="auto"/>
              <w:bottom w:val="single" w:sz="8"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2432" w:type="dxa"/>
            <w:tcBorders>
              <w:top w:val="nil"/>
              <w:left w:val="nil"/>
              <w:bottom w:val="single" w:sz="8"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Vegetable oils</w:t>
            </w:r>
          </w:p>
        </w:tc>
        <w:tc>
          <w:tcPr>
            <w:tcW w:w="843" w:type="dxa"/>
            <w:tcBorders>
              <w:top w:val="nil"/>
              <w:left w:val="nil"/>
              <w:bottom w:val="single" w:sz="8"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404"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248" w:type="dxa"/>
            <w:tcBorders>
              <w:top w:val="nil"/>
              <w:left w:val="nil"/>
              <w:bottom w:val="single" w:sz="8"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2013-Sep-06</w:t>
            </w:r>
          </w:p>
        </w:tc>
        <w:tc>
          <w:tcPr>
            <w:tcW w:w="2050" w:type="dxa"/>
            <w:tcBorders>
              <w:top w:val="nil"/>
              <w:left w:val="nil"/>
              <w:bottom w:val="single" w:sz="8"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bl>
    <w:p>
      <w:pPr>
        <w:jc w:val="center"/>
        <w:rPr>
          <w:b/>
          <w:noProof/>
          <w:lang w:eastAsia="en-US"/>
        </w:rPr>
      </w:pPr>
    </w:p>
    <w:p>
      <w:pPr>
        <w:rPr>
          <w:noProof/>
          <w:lang w:eastAsia="en-US"/>
        </w:rPr>
      </w:pPr>
      <w:r>
        <w:rPr>
          <w:noProof/>
          <w:lang w:eastAsia="en-US"/>
        </w:rPr>
        <w:br w:type="page"/>
      </w:r>
    </w:p>
    <w:p>
      <w:pPr>
        <w:jc w:val="center"/>
        <w:rPr>
          <w:b/>
          <w:noProof/>
          <w:lang w:eastAsia="en-US"/>
        </w:rPr>
      </w:pPr>
      <w:r>
        <w:rPr>
          <w:b/>
          <w:noProof/>
          <w:lang w:eastAsia="en-US"/>
        </w:rPr>
        <w:t xml:space="preserve">Annex IV – New investigations initiated in 2014, 2015 and 2016  </w:t>
      </w:r>
    </w:p>
    <w:tbl>
      <w:tblPr>
        <w:tblW w:w="9387" w:type="dxa"/>
        <w:jc w:val="center"/>
        <w:tblInd w:w="93" w:type="dxa"/>
        <w:tblLook w:val="04A0" w:firstRow="1" w:lastRow="0" w:firstColumn="1" w:lastColumn="0" w:noHBand="0" w:noVBand="1"/>
      </w:tblPr>
      <w:tblGrid>
        <w:gridCol w:w="2523"/>
        <w:gridCol w:w="572"/>
        <w:gridCol w:w="572"/>
        <w:gridCol w:w="572"/>
        <w:gridCol w:w="572"/>
        <w:gridCol w:w="572"/>
        <w:gridCol w:w="572"/>
        <w:gridCol w:w="572"/>
        <w:gridCol w:w="572"/>
        <w:gridCol w:w="572"/>
        <w:gridCol w:w="572"/>
        <w:gridCol w:w="572"/>
        <w:gridCol w:w="572"/>
      </w:tblGrid>
      <w:tr>
        <w:trPr>
          <w:trHeight w:val="240"/>
          <w:jc w:val="center"/>
        </w:trPr>
        <w:tc>
          <w:tcPr>
            <w:tcW w:w="9387"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New investigations initiated in 2014, 2015 and 2016</w:t>
            </w:r>
          </w:p>
        </w:tc>
      </w:tr>
      <w:tr>
        <w:trPr>
          <w:trHeight w:val="240"/>
          <w:jc w:val="center"/>
        </w:trPr>
        <w:tc>
          <w:tcPr>
            <w:tcW w:w="2523" w:type="dxa"/>
            <w:vMerge w:val="restart"/>
            <w:tcBorders>
              <w:top w:val="nil"/>
              <w:left w:val="single" w:sz="8" w:space="0" w:color="auto"/>
              <w:right w:val="nil"/>
            </w:tcBorders>
            <w:shd w:val="clear" w:color="auto" w:fill="auto"/>
            <w:noWrap/>
            <w:hideMark/>
          </w:tcPr>
          <w:p>
            <w:pPr>
              <w:spacing w:before="0" w:after="0"/>
              <w:jc w:val="left"/>
              <w:rPr>
                <w:rFonts w:ascii="Arial" w:hAnsi="Arial" w:cs="Arial"/>
                <w:b/>
                <w:bCs/>
                <w:noProof/>
                <w:sz w:val="16"/>
                <w:szCs w:val="16"/>
              </w:rPr>
            </w:pPr>
            <w:r>
              <w:rPr>
                <w:rFonts w:ascii="Arial" w:hAnsi="Arial" w:cs="Arial"/>
                <w:b/>
                <w:bCs/>
                <w:noProof/>
                <w:sz w:val="16"/>
                <w:szCs w:val="16"/>
              </w:rPr>
              <w:t>Country</w:t>
            </w:r>
          </w:p>
        </w:tc>
        <w:tc>
          <w:tcPr>
            <w:tcW w:w="1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AD</w:t>
            </w:r>
          </w:p>
        </w:tc>
        <w:tc>
          <w:tcPr>
            <w:tcW w:w="1716"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CVD</w:t>
            </w:r>
          </w:p>
        </w:tc>
        <w:tc>
          <w:tcPr>
            <w:tcW w:w="1716"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SFG</w:t>
            </w:r>
          </w:p>
        </w:tc>
        <w:tc>
          <w:tcPr>
            <w:tcW w:w="1716"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TOTAL</w:t>
            </w:r>
          </w:p>
        </w:tc>
      </w:tr>
      <w:tr>
        <w:trPr>
          <w:trHeight w:val="240"/>
          <w:jc w:val="center"/>
        </w:trPr>
        <w:tc>
          <w:tcPr>
            <w:tcW w:w="2523" w:type="dxa"/>
            <w:vMerge/>
            <w:tcBorders>
              <w:left w:val="single" w:sz="8" w:space="0" w:color="auto"/>
              <w:bottom w:val="single" w:sz="8" w:space="0" w:color="auto"/>
              <w:right w:val="single" w:sz="4" w:space="0" w:color="auto"/>
            </w:tcBorders>
            <w:shd w:val="clear" w:color="auto" w:fill="auto"/>
            <w:noWrap/>
            <w:vAlign w:val="center"/>
            <w:hideMark/>
          </w:tcPr>
          <w:p>
            <w:pPr>
              <w:spacing w:before="0" w:after="0"/>
              <w:jc w:val="left"/>
              <w:rPr>
                <w:rFonts w:ascii="Arial" w:hAnsi="Arial" w:cs="Arial"/>
                <w:b/>
                <w:bCs/>
                <w:noProof/>
                <w:sz w:val="16"/>
                <w:szCs w:val="16"/>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2014</w:t>
            </w:r>
          </w:p>
        </w:tc>
        <w:tc>
          <w:tcPr>
            <w:tcW w:w="572"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Argentina</w:t>
            </w:r>
          </w:p>
        </w:tc>
        <w:tc>
          <w:tcPr>
            <w:tcW w:w="57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Australia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55"/>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Belarus</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Brazil</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Canada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Chile</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China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55"/>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Colombia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Costa Rica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Ecuador</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Egypt</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Gulf Cooperation Council</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India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7</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Indonesia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Israel</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55"/>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Jordan</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jc w:val="center"/>
        </w:trPr>
        <w:tc>
          <w:tcPr>
            <w:tcW w:w="2523" w:type="dxa"/>
            <w:tcBorders>
              <w:top w:val="nil"/>
              <w:left w:val="single" w:sz="8" w:space="0" w:color="auto"/>
              <w:bottom w:val="single" w:sz="8" w:space="0" w:color="auto"/>
              <w:right w:val="nil"/>
            </w:tcBorders>
            <w:shd w:val="clear" w:color="000000" w:fill="FFFFFF"/>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Korea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Lebanon</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Malaysia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Mexico</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55"/>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Morocco</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South Africa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Thailand</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Tunisia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Turkey</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Ukraine</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USA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r>
      <w:tr>
        <w:trPr>
          <w:trHeight w:val="240"/>
          <w:jc w:val="center"/>
        </w:trPr>
        <w:tc>
          <w:tcPr>
            <w:tcW w:w="2523"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Vietnam</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40"/>
          <w:jc w:val="center"/>
        </w:trPr>
        <w:tc>
          <w:tcPr>
            <w:tcW w:w="2523" w:type="dxa"/>
            <w:tcBorders>
              <w:top w:val="nil"/>
              <w:left w:val="single" w:sz="8" w:space="0" w:color="auto"/>
              <w:bottom w:val="nil"/>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Zambia</w:t>
            </w:r>
          </w:p>
        </w:tc>
        <w:tc>
          <w:tcPr>
            <w:tcW w:w="572" w:type="dxa"/>
            <w:tcBorders>
              <w:top w:val="nil"/>
              <w:left w:val="single" w:sz="8" w:space="0" w:color="auto"/>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40"/>
          <w:jc w:val="center"/>
        </w:trPr>
        <w:tc>
          <w:tcPr>
            <w:tcW w:w="2523" w:type="dxa"/>
            <w:tcBorders>
              <w:top w:val="single" w:sz="8" w:space="0" w:color="auto"/>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TOTAL</w:t>
            </w:r>
          </w:p>
        </w:tc>
        <w:tc>
          <w:tcPr>
            <w:tcW w:w="5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17</w:t>
            </w:r>
          </w:p>
        </w:tc>
        <w:tc>
          <w:tcPr>
            <w:tcW w:w="572"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18</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18</w:t>
            </w:r>
          </w:p>
        </w:tc>
        <w:tc>
          <w:tcPr>
            <w:tcW w:w="572"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0</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23</w:t>
            </w:r>
          </w:p>
        </w:tc>
        <w:tc>
          <w:tcPr>
            <w:tcW w:w="572"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18</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12</w:t>
            </w:r>
          </w:p>
        </w:tc>
        <w:tc>
          <w:tcPr>
            <w:tcW w:w="572"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41</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37</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30</w:t>
            </w:r>
          </w:p>
        </w:tc>
      </w:tr>
    </w:tbl>
    <w:p>
      <w:pPr>
        <w:jc w:val="center"/>
        <w:rPr>
          <w:b/>
          <w:noProof/>
          <w:lang w:eastAsia="en-US"/>
        </w:rPr>
      </w:pPr>
    </w:p>
    <w:p>
      <w:pPr>
        <w:rPr>
          <w:noProof/>
          <w:lang w:eastAsia="en-US"/>
        </w:rPr>
      </w:pPr>
      <w:r>
        <w:rPr>
          <w:noProof/>
          <w:lang w:eastAsia="en-US"/>
        </w:rPr>
        <w:br w:type="page"/>
      </w:r>
    </w:p>
    <w:p>
      <w:pPr>
        <w:jc w:val="center"/>
        <w:rPr>
          <w:b/>
          <w:noProof/>
          <w:lang w:eastAsia="en-US"/>
        </w:rPr>
      </w:pPr>
      <w:r>
        <w:rPr>
          <w:b/>
          <w:noProof/>
          <w:lang w:eastAsia="en-US"/>
        </w:rPr>
        <w:t xml:space="preserve">Annex V – Detail of new investigations initiated in 2016  </w:t>
      </w:r>
    </w:p>
    <w:tbl>
      <w:tblPr>
        <w:tblW w:w="9360" w:type="dxa"/>
        <w:jc w:val="center"/>
        <w:tblInd w:w="93" w:type="dxa"/>
        <w:tblLook w:val="04A0" w:firstRow="1" w:lastRow="0" w:firstColumn="1" w:lastColumn="0" w:noHBand="0" w:noVBand="1"/>
      </w:tblPr>
      <w:tblGrid>
        <w:gridCol w:w="1818"/>
        <w:gridCol w:w="3304"/>
        <w:gridCol w:w="1043"/>
        <w:gridCol w:w="1160"/>
        <w:gridCol w:w="2035"/>
      </w:tblGrid>
      <w:tr>
        <w:trPr>
          <w:trHeight w:val="270"/>
          <w:jc w:val="center"/>
        </w:trPr>
        <w:tc>
          <w:tcPr>
            <w:tcW w:w="9360" w:type="dxa"/>
            <w:gridSpan w:val="5"/>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New investigations initiated during the year 2016</w:t>
            </w:r>
          </w:p>
        </w:tc>
      </w:tr>
      <w:tr>
        <w:trPr>
          <w:trHeight w:val="255"/>
          <w:jc w:val="center"/>
        </w:trPr>
        <w:tc>
          <w:tcPr>
            <w:tcW w:w="9360" w:type="dxa"/>
            <w:gridSpan w:val="5"/>
            <w:vMerge/>
            <w:tcBorders>
              <w:top w:val="single" w:sz="8" w:space="0" w:color="auto"/>
              <w:left w:val="single" w:sz="8" w:space="0" w:color="auto"/>
              <w:bottom w:val="single" w:sz="4" w:space="0" w:color="auto"/>
              <w:right w:val="single" w:sz="8" w:space="0" w:color="000000"/>
            </w:tcBorders>
            <w:vAlign w:val="center"/>
            <w:hideMark/>
          </w:tcPr>
          <w:p>
            <w:pPr>
              <w:spacing w:before="0" w:after="0"/>
              <w:jc w:val="left"/>
              <w:rPr>
                <w:rFonts w:ascii="Arial" w:hAnsi="Arial" w:cs="Arial"/>
                <w:b/>
                <w:bCs/>
                <w:noProof/>
                <w:sz w:val="16"/>
                <w:szCs w:val="16"/>
              </w:rPr>
            </w:pPr>
          </w:p>
        </w:tc>
      </w:tr>
      <w:tr>
        <w:trPr>
          <w:trHeight w:val="450"/>
          <w:jc w:val="center"/>
        </w:trPr>
        <w:tc>
          <w:tcPr>
            <w:tcW w:w="1818" w:type="dxa"/>
            <w:tcBorders>
              <w:top w:val="nil"/>
              <w:left w:val="single" w:sz="8" w:space="0" w:color="auto"/>
              <w:bottom w:val="single" w:sz="4" w:space="0" w:color="auto"/>
              <w:right w:val="single" w:sz="4" w:space="0" w:color="auto"/>
            </w:tcBorders>
            <w:shd w:val="clear" w:color="auto" w:fill="auto"/>
            <w:vAlign w:val="bottom"/>
            <w:hideMark/>
          </w:tcPr>
          <w:p>
            <w:pPr>
              <w:spacing w:before="0" w:after="0"/>
              <w:jc w:val="left"/>
              <w:rPr>
                <w:rFonts w:ascii="Arial" w:hAnsi="Arial" w:cs="Arial"/>
                <w:b/>
                <w:bCs/>
                <w:noProof/>
                <w:sz w:val="16"/>
                <w:szCs w:val="16"/>
              </w:rPr>
            </w:pPr>
            <w:r>
              <w:rPr>
                <w:rFonts w:ascii="Arial" w:hAnsi="Arial" w:cs="Arial"/>
                <w:b/>
                <w:bCs/>
                <w:noProof/>
                <w:sz w:val="16"/>
                <w:szCs w:val="16"/>
              </w:rPr>
              <w:t>Country</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b/>
                <w:bCs/>
                <w:noProof/>
                <w:sz w:val="16"/>
                <w:szCs w:val="16"/>
              </w:rPr>
            </w:pPr>
            <w:r>
              <w:rPr>
                <w:rFonts w:ascii="Arial" w:hAnsi="Arial" w:cs="Arial"/>
                <w:b/>
                <w:bCs/>
                <w:noProof/>
                <w:sz w:val="16"/>
                <w:szCs w:val="16"/>
              </w:rPr>
              <w:t>Product</w:t>
            </w:r>
          </w:p>
        </w:tc>
        <w:tc>
          <w:tcPr>
            <w:tcW w:w="857" w:type="dxa"/>
            <w:tcBorders>
              <w:top w:val="nil"/>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Instrument</w:t>
            </w:r>
          </w:p>
        </w:tc>
        <w:tc>
          <w:tcPr>
            <w:tcW w:w="1160" w:type="dxa"/>
            <w:tcBorders>
              <w:top w:val="nil"/>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Initiation Date</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b/>
                <w:bCs/>
                <w:noProof/>
                <w:sz w:val="16"/>
                <w:szCs w:val="16"/>
              </w:rPr>
            </w:pPr>
            <w:r>
              <w:rPr>
                <w:rFonts w:ascii="Arial" w:hAnsi="Arial" w:cs="Arial"/>
                <w:b/>
                <w:bCs/>
                <w:noProof/>
                <w:sz w:val="16"/>
                <w:szCs w:val="16"/>
              </w:rPr>
              <w:t>Exporting MS</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Argentina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Coated paper AC</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2016-Dec-06</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Finland</w:t>
            </w:r>
          </w:p>
        </w:tc>
      </w:tr>
      <w:tr>
        <w:trPr>
          <w:trHeight w:val="450"/>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Certain fabricated industrial steel components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2016-Sep-12</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 United Kingdom</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Canada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Rebar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2016-Aug-19</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 Portugal</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sugar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2016-Sep-22</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Egypt</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Flat rolled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2016-Aug-16</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Spain, Italy</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Gulf Cooperation Council</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Ferro Silico Manganese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2016-Oct-03</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Gulf Cooperation Council</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Flat rolled products of iron or non-alloy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2016-Jun-09</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Italy</w:t>
            </w:r>
          </w:p>
        </w:tc>
      </w:tr>
      <w:tr>
        <w:trPr>
          <w:trHeight w:val="450"/>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SBR - Styrene Butadiene Rubber of 1500 series and 1700 series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2016-Jan-14</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Cold rolled steel 600 - 1250 mm</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2016-Feb-19</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Naphtalene : crude &amp; refined </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2016-Jun-01</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0"/>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Unwrought aluminium (Aluminium not alloyed and Aluminium alloys)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2016-Apr-19</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France, Netherlands, United Kingdom</w:t>
            </w:r>
          </w:p>
        </w:tc>
      </w:tr>
      <w:tr>
        <w:trPr>
          <w:trHeight w:val="450"/>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Colour coated/pre-painted flat products of alloy or non-alloy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2016-Jun-29</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France, Netherlands, Austria, Portugal</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Sodium Chlorate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2016-May-12</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Israel</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Hazelnut cocoa spread</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2016-Sep-27</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 Poland</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Jordan</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Aluminium bars, rods and profiles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2016-Jul-24</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0"/>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Malaysia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concrete reinforcing bar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2016-May-28</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Austria, Finland, United Kingdom</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Malaysia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wire rods and deformed bar in coils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2016-May-29</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Seamless carbon steel pipes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2016-Dec-15</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Ceramic tiles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2016-May-18</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Cold rolled steel</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2016-Jul-29</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450"/>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Frozen chicken BSG</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2016-Feb-19</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Netherlands, United Kingdom</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certain hot rolled flat products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2016-Mar-24</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Thailand</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Structural Hot Rolled H-Beam with Alloy</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2016-Feb-04</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Unbleached kraft liner paper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2016-Oct-30</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Tubes and pipes of refined copper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2016-Jul-14</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hinges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2016-Nov-17</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Greece, Spain, Italy</w:t>
            </w:r>
          </w:p>
        </w:tc>
      </w:tr>
      <w:tr>
        <w:trPr>
          <w:trHeight w:val="450"/>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Carbon &amp; alloy steel cut to length plate</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2016-Apr-29</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France, Italy, Austria</w:t>
            </w:r>
          </w:p>
        </w:tc>
      </w:tr>
      <w:tr>
        <w:trPr>
          <w:trHeight w:val="450"/>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lang w:val="nb-NO"/>
              </w:rPr>
            </w:pPr>
            <w:r>
              <w:rPr>
                <w:rFonts w:ascii="Arial" w:hAnsi="Arial" w:cs="Arial"/>
                <w:noProof/>
                <w:sz w:val="16"/>
                <w:szCs w:val="16"/>
                <w:lang w:val="nb-NO"/>
              </w:rPr>
              <w:t>Emulsion styrene-butadiene rubber (ESB rubber)</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2016-Aug-10</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Poland</w:t>
            </w:r>
          </w:p>
        </w:tc>
      </w:tr>
      <w:tr>
        <w:trPr>
          <w:trHeight w:val="255"/>
          <w:jc w:val="center"/>
        </w:trPr>
        <w:tc>
          <w:tcPr>
            <w:tcW w:w="1818"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3458"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Finished Carbon Steel Flanges</w:t>
            </w:r>
          </w:p>
        </w:tc>
        <w:tc>
          <w:tcPr>
            <w:tcW w:w="857"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2016-Jun-30</w:t>
            </w:r>
          </w:p>
        </w:tc>
        <w:tc>
          <w:tcPr>
            <w:tcW w:w="2067"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 Italy</w:t>
            </w:r>
          </w:p>
        </w:tc>
      </w:tr>
      <w:tr>
        <w:trPr>
          <w:trHeight w:val="270"/>
          <w:jc w:val="center"/>
        </w:trPr>
        <w:tc>
          <w:tcPr>
            <w:tcW w:w="1818" w:type="dxa"/>
            <w:tcBorders>
              <w:top w:val="nil"/>
              <w:left w:val="single" w:sz="8" w:space="0" w:color="auto"/>
              <w:bottom w:val="single" w:sz="8"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3458" w:type="dxa"/>
            <w:tcBorders>
              <w:top w:val="nil"/>
              <w:left w:val="nil"/>
              <w:bottom w:val="single" w:sz="8"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Pre-painted galvanized steel sheet and strip</w:t>
            </w:r>
          </w:p>
        </w:tc>
        <w:tc>
          <w:tcPr>
            <w:tcW w:w="857" w:type="dxa"/>
            <w:tcBorders>
              <w:top w:val="nil"/>
              <w:left w:val="nil"/>
              <w:bottom w:val="single" w:sz="8"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60" w:type="dxa"/>
            <w:tcBorders>
              <w:top w:val="nil"/>
              <w:left w:val="nil"/>
              <w:bottom w:val="single" w:sz="8"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2016-Jul-06</w:t>
            </w:r>
          </w:p>
        </w:tc>
        <w:tc>
          <w:tcPr>
            <w:tcW w:w="2067" w:type="dxa"/>
            <w:tcBorders>
              <w:top w:val="nil"/>
              <w:left w:val="nil"/>
              <w:bottom w:val="single" w:sz="8"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Austria</w:t>
            </w:r>
          </w:p>
        </w:tc>
      </w:tr>
    </w:tbl>
    <w:p>
      <w:pPr>
        <w:jc w:val="center"/>
        <w:rPr>
          <w:b/>
          <w:noProof/>
          <w:lang w:eastAsia="en-US"/>
        </w:rPr>
      </w:pPr>
    </w:p>
    <w:p>
      <w:pPr>
        <w:rPr>
          <w:noProof/>
          <w:lang w:eastAsia="en-US"/>
        </w:rPr>
      </w:pPr>
      <w:r>
        <w:rPr>
          <w:noProof/>
          <w:lang w:eastAsia="en-US"/>
        </w:rPr>
        <w:br w:type="page"/>
      </w:r>
    </w:p>
    <w:p>
      <w:pPr>
        <w:jc w:val="center"/>
        <w:rPr>
          <w:b/>
          <w:noProof/>
          <w:lang w:eastAsia="en-US"/>
        </w:rPr>
      </w:pPr>
      <w:r>
        <w:rPr>
          <w:b/>
          <w:noProof/>
          <w:lang w:eastAsia="en-US"/>
        </w:rPr>
        <w:t xml:space="preserve">Annex VI – Measures imposed in 2014, 2015 and 2016  </w:t>
      </w:r>
    </w:p>
    <w:tbl>
      <w:tblPr>
        <w:tblW w:w="9439" w:type="dxa"/>
        <w:tblInd w:w="93" w:type="dxa"/>
        <w:tblLook w:val="04A0" w:firstRow="1" w:lastRow="0" w:firstColumn="1" w:lastColumn="0" w:noHBand="0" w:noVBand="1"/>
      </w:tblPr>
      <w:tblGrid>
        <w:gridCol w:w="2575"/>
        <w:gridCol w:w="572"/>
        <w:gridCol w:w="572"/>
        <w:gridCol w:w="572"/>
        <w:gridCol w:w="572"/>
        <w:gridCol w:w="572"/>
        <w:gridCol w:w="572"/>
        <w:gridCol w:w="572"/>
        <w:gridCol w:w="572"/>
        <w:gridCol w:w="572"/>
        <w:gridCol w:w="572"/>
        <w:gridCol w:w="572"/>
        <w:gridCol w:w="572"/>
      </w:tblGrid>
      <w:tr>
        <w:trPr>
          <w:trHeight w:val="270"/>
        </w:trPr>
        <w:tc>
          <w:tcPr>
            <w:tcW w:w="9439"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Measures imposed in 2014, 2015 and 2016</w:t>
            </w:r>
          </w:p>
        </w:tc>
      </w:tr>
      <w:tr>
        <w:trPr>
          <w:trHeight w:val="270"/>
        </w:trPr>
        <w:tc>
          <w:tcPr>
            <w:tcW w:w="2575" w:type="dxa"/>
            <w:vMerge w:val="restart"/>
            <w:tcBorders>
              <w:top w:val="nil"/>
              <w:left w:val="single" w:sz="8" w:space="0" w:color="auto"/>
              <w:right w:val="nil"/>
            </w:tcBorders>
            <w:shd w:val="clear" w:color="auto" w:fill="auto"/>
            <w:noWrap/>
            <w:hideMark/>
          </w:tcPr>
          <w:p>
            <w:pPr>
              <w:spacing w:before="0" w:after="0"/>
              <w:jc w:val="left"/>
              <w:rPr>
                <w:rFonts w:ascii="Arial" w:hAnsi="Arial" w:cs="Arial"/>
                <w:b/>
                <w:bCs/>
                <w:noProof/>
                <w:sz w:val="16"/>
                <w:szCs w:val="16"/>
              </w:rPr>
            </w:pPr>
            <w:r>
              <w:rPr>
                <w:rFonts w:ascii="Arial" w:hAnsi="Arial" w:cs="Arial"/>
                <w:b/>
                <w:bCs/>
                <w:noProof/>
                <w:sz w:val="16"/>
                <w:szCs w:val="16"/>
              </w:rPr>
              <w:t>Country</w:t>
            </w:r>
          </w:p>
        </w:tc>
        <w:tc>
          <w:tcPr>
            <w:tcW w:w="171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AD</w:t>
            </w:r>
          </w:p>
        </w:tc>
        <w:tc>
          <w:tcPr>
            <w:tcW w:w="1716"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CVD</w:t>
            </w:r>
          </w:p>
        </w:tc>
        <w:tc>
          <w:tcPr>
            <w:tcW w:w="1716"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SFG</w:t>
            </w:r>
          </w:p>
        </w:tc>
        <w:tc>
          <w:tcPr>
            <w:tcW w:w="1716" w:type="dxa"/>
            <w:gridSpan w:val="3"/>
            <w:tcBorders>
              <w:top w:val="single" w:sz="8" w:space="0" w:color="auto"/>
              <w:left w:val="nil"/>
              <w:bottom w:val="single" w:sz="8"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TOTAL</w:t>
            </w:r>
          </w:p>
        </w:tc>
      </w:tr>
      <w:tr>
        <w:trPr>
          <w:trHeight w:val="270"/>
        </w:trPr>
        <w:tc>
          <w:tcPr>
            <w:tcW w:w="2575" w:type="dxa"/>
            <w:vMerge/>
            <w:tcBorders>
              <w:left w:val="single" w:sz="8" w:space="0" w:color="auto"/>
              <w:bottom w:val="single" w:sz="8" w:space="0" w:color="auto"/>
              <w:right w:val="single" w:sz="4" w:space="0" w:color="auto"/>
            </w:tcBorders>
            <w:shd w:val="clear" w:color="auto" w:fill="auto"/>
            <w:noWrap/>
            <w:vAlign w:val="center"/>
            <w:hideMark/>
          </w:tcPr>
          <w:p>
            <w:pPr>
              <w:spacing w:before="0" w:after="0"/>
              <w:jc w:val="left"/>
              <w:rPr>
                <w:rFonts w:ascii="Arial" w:hAnsi="Arial" w:cs="Arial"/>
                <w:b/>
                <w:bCs/>
                <w:noProof/>
                <w:sz w:val="16"/>
                <w:szCs w:val="16"/>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2014</w:t>
            </w:r>
          </w:p>
        </w:tc>
        <w:tc>
          <w:tcPr>
            <w:tcW w:w="572" w:type="dxa"/>
            <w:tcBorders>
              <w:top w:val="nil"/>
              <w:left w:val="single" w:sz="4"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2016</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Argentina</w:t>
            </w:r>
          </w:p>
        </w:tc>
        <w:tc>
          <w:tcPr>
            <w:tcW w:w="57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Australia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Brazil</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8</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8</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Canada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Chile</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China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Colombia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Costa Rica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Dominican republic</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Ecuador</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Egypt</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Eurasian Economic Union</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India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8</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Indonesia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Jordan</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Korea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Malaysia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Mexico</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Morocco</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4</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85"/>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Philippines</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South Africa</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Thailand</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Turkey</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3</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Ukraine</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r>
      <w:tr>
        <w:trPr>
          <w:trHeight w:val="270"/>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United States</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5</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6</w:t>
            </w:r>
          </w:p>
        </w:tc>
      </w:tr>
      <w:tr>
        <w:trPr>
          <w:trHeight w:val="285"/>
        </w:trPr>
        <w:tc>
          <w:tcPr>
            <w:tcW w:w="2575" w:type="dxa"/>
            <w:tcBorders>
              <w:top w:val="nil"/>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Vietnam</w:t>
            </w:r>
          </w:p>
        </w:tc>
        <w:tc>
          <w:tcPr>
            <w:tcW w:w="572" w:type="dxa"/>
            <w:tcBorders>
              <w:top w:val="nil"/>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2</w:t>
            </w:r>
          </w:p>
        </w:tc>
      </w:tr>
      <w:tr>
        <w:trPr>
          <w:trHeight w:val="285"/>
        </w:trPr>
        <w:tc>
          <w:tcPr>
            <w:tcW w:w="2575" w:type="dxa"/>
            <w:tcBorders>
              <w:top w:val="nil"/>
              <w:left w:val="single" w:sz="8" w:space="0" w:color="auto"/>
              <w:bottom w:val="nil"/>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Zambia</w:t>
            </w:r>
          </w:p>
        </w:tc>
        <w:tc>
          <w:tcPr>
            <w:tcW w:w="572" w:type="dxa"/>
            <w:tcBorders>
              <w:top w:val="nil"/>
              <w:left w:val="single" w:sz="8" w:space="0" w:color="auto"/>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c>
          <w:tcPr>
            <w:tcW w:w="572" w:type="dxa"/>
            <w:tcBorders>
              <w:top w:val="nil"/>
              <w:left w:val="nil"/>
              <w:bottom w:val="nil"/>
              <w:right w:val="single" w:sz="8" w:space="0" w:color="auto"/>
            </w:tcBorders>
            <w:shd w:val="clear" w:color="auto" w:fill="auto"/>
            <w:noWrap/>
            <w:vAlign w:val="center"/>
            <w:hideMark/>
          </w:tcPr>
          <w:p>
            <w:pPr>
              <w:spacing w:before="0" w:after="0"/>
              <w:jc w:val="center"/>
              <w:rPr>
                <w:rFonts w:ascii="Arial" w:hAnsi="Arial" w:cs="Arial"/>
                <w:noProof/>
                <w:sz w:val="16"/>
                <w:szCs w:val="16"/>
              </w:rPr>
            </w:pPr>
            <w:r>
              <w:rPr>
                <w:rFonts w:ascii="Arial" w:hAnsi="Arial" w:cs="Arial"/>
                <w:noProof/>
                <w:sz w:val="16"/>
                <w:szCs w:val="16"/>
              </w:rPr>
              <w:t>1</w:t>
            </w:r>
          </w:p>
        </w:tc>
        <w:tc>
          <w:tcPr>
            <w:tcW w:w="572" w:type="dxa"/>
            <w:tcBorders>
              <w:top w:val="nil"/>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noProof/>
                <w:sz w:val="16"/>
                <w:szCs w:val="16"/>
              </w:rPr>
            </w:pPr>
            <w:r>
              <w:rPr>
                <w:rFonts w:ascii="Arial" w:hAnsi="Arial" w:cs="Arial"/>
                <w:noProof/>
                <w:sz w:val="16"/>
                <w:szCs w:val="16"/>
              </w:rPr>
              <w:t>0</w:t>
            </w:r>
          </w:p>
        </w:tc>
      </w:tr>
      <w:tr>
        <w:trPr>
          <w:trHeight w:val="270"/>
        </w:trPr>
        <w:tc>
          <w:tcPr>
            <w:tcW w:w="2575" w:type="dxa"/>
            <w:tcBorders>
              <w:top w:val="single" w:sz="8" w:space="0" w:color="auto"/>
              <w:left w:val="single" w:sz="8" w:space="0" w:color="auto"/>
              <w:bottom w:val="single" w:sz="8" w:space="0" w:color="auto"/>
              <w:right w:val="nil"/>
            </w:tcBorders>
            <w:shd w:val="clear" w:color="auto" w:fill="auto"/>
            <w:noWrap/>
            <w:vAlign w:val="center"/>
            <w:hideMark/>
          </w:tcPr>
          <w:p>
            <w:pPr>
              <w:spacing w:before="0" w:after="0"/>
              <w:jc w:val="left"/>
              <w:rPr>
                <w:rFonts w:ascii="Arial" w:hAnsi="Arial" w:cs="Arial"/>
                <w:b/>
                <w:bCs/>
                <w:noProof/>
                <w:sz w:val="16"/>
                <w:szCs w:val="16"/>
              </w:rPr>
            </w:pPr>
            <w:r>
              <w:rPr>
                <w:rFonts w:ascii="Arial" w:hAnsi="Arial" w:cs="Arial"/>
                <w:b/>
                <w:bCs/>
                <w:noProof/>
                <w:sz w:val="16"/>
                <w:szCs w:val="16"/>
              </w:rPr>
              <w:t>TOTAL</w:t>
            </w:r>
          </w:p>
        </w:tc>
        <w:tc>
          <w:tcPr>
            <w:tcW w:w="5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19</w:t>
            </w:r>
          </w:p>
        </w:tc>
        <w:tc>
          <w:tcPr>
            <w:tcW w:w="572"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21</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19</w:t>
            </w:r>
          </w:p>
        </w:tc>
        <w:tc>
          <w:tcPr>
            <w:tcW w:w="572"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14</w:t>
            </w:r>
          </w:p>
        </w:tc>
        <w:tc>
          <w:tcPr>
            <w:tcW w:w="572"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15</w:t>
            </w:r>
          </w:p>
        </w:tc>
        <w:tc>
          <w:tcPr>
            <w:tcW w:w="572" w:type="dxa"/>
            <w:tcBorders>
              <w:top w:val="nil"/>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10</w:t>
            </w:r>
          </w:p>
        </w:tc>
        <w:tc>
          <w:tcPr>
            <w:tcW w:w="572" w:type="dxa"/>
            <w:tcBorders>
              <w:top w:val="single" w:sz="8" w:space="0" w:color="auto"/>
              <w:left w:val="nil"/>
              <w:bottom w:val="single" w:sz="8" w:space="0" w:color="auto"/>
              <w:right w:val="single" w:sz="8" w:space="0" w:color="auto"/>
            </w:tcBorders>
            <w:shd w:val="clear" w:color="000000" w:fill="C0C0C0"/>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34</w:t>
            </w:r>
          </w:p>
        </w:tc>
        <w:tc>
          <w:tcPr>
            <w:tcW w:w="572" w:type="dxa"/>
            <w:tcBorders>
              <w:top w:val="single" w:sz="8" w:space="0" w:color="auto"/>
              <w:left w:val="nil"/>
              <w:bottom w:val="single" w:sz="8" w:space="0" w:color="auto"/>
              <w:right w:val="single" w:sz="8" w:space="0" w:color="auto"/>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37</w:t>
            </w:r>
          </w:p>
        </w:tc>
        <w:tc>
          <w:tcPr>
            <w:tcW w:w="572" w:type="dxa"/>
            <w:tcBorders>
              <w:top w:val="nil"/>
              <w:left w:val="nil"/>
              <w:bottom w:val="single" w:sz="8" w:space="0" w:color="auto"/>
              <w:right w:val="single" w:sz="8" w:space="0" w:color="auto"/>
            </w:tcBorders>
            <w:shd w:val="clear" w:color="000000" w:fill="BFBFBF"/>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30</w:t>
            </w:r>
          </w:p>
        </w:tc>
      </w:tr>
    </w:tbl>
    <w:p>
      <w:pPr>
        <w:jc w:val="center"/>
        <w:rPr>
          <w:b/>
          <w:noProof/>
          <w:lang w:eastAsia="en-US"/>
        </w:rPr>
      </w:pPr>
    </w:p>
    <w:p>
      <w:pPr>
        <w:rPr>
          <w:noProof/>
          <w:lang w:eastAsia="en-US"/>
        </w:rPr>
      </w:pPr>
      <w:r>
        <w:rPr>
          <w:noProof/>
          <w:lang w:eastAsia="en-US"/>
        </w:rPr>
        <w:br w:type="page"/>
      </w:r>
    </w:p>
    <w:p>
      <w:pPr>
        <w:jc w:val="center"/>
        <w:rPr>
          <w:b/>
          <w:noProof/>
          <w:lang w:eastAsia="en-US"/>
        </w:rPr>
      </w:pPr>
      <w:r>
        <w:rPr>
          <w:b/>
          <w:noProof/>
          <w:lang w:eastAsia="en-US"/>
        </w:rPr>
        <w:t xml:space="preserve">Annex VII – Detail of measures imposed in 2016  </w:t>
      </w:r>
    </w:p>
    <w:tbl>
      <w:tblPr>
        <w:tblW w:w="9539" w:type="dxa"/>
        <w:jc w:val="center"/>
        <w:tblInd w:w="93" w:type="dxa"/>
        <w:tblLayout w:type="fixed"/>
        <w:tblLook w:val="04A0" w:firstRow="1" w:lastRow="0" w:firstColumn="1" w:lastColumn="0" w:noHBand="0" w:noVBand="1"/>
      </w:tblPr>
      <w:tblGrid>
        <w:gridCol w:w="1183"/>
        <w:gridCol w:w="2489"/>
        <w:gridCol w:w="586"/>
        <w:gridCol w:w="1199"/>
        <w:gridCol w:w="1360"/>
        <w:gridCol w:w="2722"/>
      </w:tblGrid>
      <w:tr>
        <w:trPr>
          <w:trHeight w:val="194"/>
          <w:jc w:val="center"/>
        </w:trPr>
        <w:tc>
          <w:tcPr>
            <w:tcW w:w="9539" w:type="dxa"/>
            <w:gridSpan w:val="6"/>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pPr>
              <w:spacing w:before="0" w:after="0"/>
              <w:jc w:val="center"/>
              <w:rPr>
                <w:rFonts w:ascii="Arial" w:hAnsi="Arial" w:cs="Arial"/>
                <w:b/>
                <w:bCs/>
                <w:noProof/>
                <w:sz w:val="16"/>
                <w:szCs w:val="16"/>
              </w:rPr>
            </w:pPr>
            <w:r>
              <w:rPr>
                <w:rFonts w:ascii="Arial" w:hAnsi="Arial" w:cs="Arial"/>
                <w:b/>
                <w:bCs/>
                <w:noProof/>
                <w:sz w:val="16"/>
                <w:szCs w:val="16"/>
              </w:rPr>
              <w:t>Measures imposed during the year 2016</w:t>
            </w:r>
          </w:p>
        </w:tc>
      </w:tr>
      <w:tr>
        <w:trPr>
          <w:trHeight w:val="194"/>
          <w:jc w:val="center"/>
        </w:trPr>
        <w:tc>
          <w:tcPr>
            <w:tcW w:w="9539" w:type="dxa"/>
            <w:gridSpan w:val="6"/>
            <w:vMerge/>
            <w:tcBorders>
              <w:top w:val="single" w:sz="8" w:space="0" w:color="auto"/>
              <w:left w:val="single" w:sz="8" w:space="0" w:color="auto"/>
              <w:bottom w:val="single" w:sz="4" w:space="0" w:color="auto"/>
              <w:right w:val="single" w:sz="8" w:space="0" w:color="000000"/>
            </w:tcBorders>
            <w:vAlign w:val="center"/>
            <w:hideMark/>
          </w:tcPr>
          <w:p>
            <w:pPr>
              <w:spacing w:before="0" w:after="0"/>
              <w:jc w:val="left"/>
              <w:rPr>
                <w:rFonts w:ascii="Arial" w:hAnsi="Arial" w:cs="Arial"/>
                <w:b/>
                <w:bCs/>
                <w:noProof/>
                <w:sz w:val="16"/>
                <w:szCs w:val="16"/>
              </w:rPr>
            </w:pP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vAlign w:val="bottom"/>
            <w:hideMark/>
          </w:tcPr>
          <w:p>
            <w:pPr>
              <w:spacing w:before="0" w:after="0"/>
              <w:jc w:val="left"/>
              <w:rPr>
                <w:rFonts w:ascii="Arial" w:hAnsi="Arial" w:cs="Arial"/>
                <w:b/>
                <w:bCs/>
                <w:noProof/>
                <w:sz w:val="16"/>
                <w:szCs w:val="16"/>
              </w:rPr>
            </w:pPr>
            <w:r>
              <w:rPr>
                <w:rFonts w:ascii="Arial" w:hAnsi="Arial" w:cs="Arial"/>
                <w:b/>
                <w:bCs/>
                <w:noProof/>
                <w:sz w:val="16"/>
                <w:szCs w:val="16"/>
              </w:rPr>
              <w:t>Country</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b/>
                <w:bCs/>
                <w:noProof/>
                <w:sz w:val="16"/>
                <w:szCs w:val="16"/>
              </w:rPr>
            </w:pPr>
            <w:r>
              <w:rPr>
                <w:rFonts w:ascii="Arial" w:hAnsi="Arial" w:cs="Arial"/>
                <w:b/>
                <w:bCs/>
                <w:noProof/>
                <w:sz w:val="16"/>
                <w:szCs w:val="16"/>
              </w:rPr>
              <w:t>Product</w:t>
            </w:r>
          </w:p>
        </w:tc>
        <w:tc>
          <w:tcPr>
            <w:tcW w:w="586" w:type="dxa"/>
            <w:tcBorders>
              <w:top w:val="nil"/>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Instrument</w:t>
            </w:r>
          </w:p>
        </w:tc>
        <w:tc>
          <w:tcPr>
            <w:tcW w:w="1199" w:type="dxa"/>
            <w:tcBorders>
              <w:top w:val="nil"/>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Type Of Measure</w:t>
            </w:r>
          </w:p>
        </w:tc>
        <w:tc>
          <w:tcPr>
            <w:tcW w:w="1360" w:type="dxa"/>
            <w:tcBorders>
              <w:top w:val="nil"/>
              <w:left w:val="nil"/>
              <w:bottom w:val="single" w:sz="4" w:space="0" w:color="auto"/>
              <w:right w:val="single" w:sz="4" w:space="0" w:color="auto"/>
            </w:tcBorders>
            <w:shd w:val="clear" w:color="auto" w:fill="auto"/>
            <w:vAlign w:val="bottom"/>
            <w:hideMark/>
          </w:tcPr>
          <w:p>
            <w:pPr>
              <w:spacing w:before="0" w:after="0"/>
              <w:jc w:val="center"/>
              <w:rPr>
                <w:rFonts w:ascii="Arial" w:hAnsi="Arial" w:cs="Arial"/>
                <w:b/>
                <w:bCs/>
                <w:noProof/>
                <w:sz w:val="16"/>
                <w:szCs w:val="16"/>
              </w:rPr>
            </w:pPr>
            <w:r>
              <w:rPr>
                <w:rFonts w:ascii="Arial" w:hAnsi="Arial" w:cs="Arial"/>
                <w:b/>
                <w:bCs/>
                <w:noProof/>
                <w:sz w:val="16"/>
                <w:szCs w:val="16"/>
              </w:rPr>
              <w:t>Date Of Imposition</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b/>
                <w:bCs/>
                <w:noProof/>
                <w:sz w:val="16"/>
                <w:szCs w:val="16"/>
              </w:rPr>
            </w:pPr>
            <w:r>
              <w:rPr>
                <w:rFonts w:ascii="Arial" w:hAnsi="Arial" w:cs="Arial"/>
                <w:b/>
                <w:bCs/>
                <w:noProof/>
                <w:sz w:val="16"/>
                <w:szCs w:val="16"/>
              </w:rPr>
              <w:t>Exporting MS</w:t>
            </w:r>
          </w:p>
        </w:tc>
      </w:tr>
      <w:tr>
        <w:trPr>
          <w:trHeight w:val="162"/>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Chrome bars</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2016-Sep-06</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Romania</w:t>
            </w:r>
          </w:p>
        </w:tc>
      </w:tr>
      <w:tr>
        <w:trPr>
          <w:trHeight w:val="309"/>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Australia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Processed tomatoes</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2016-Feb-10</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Brazil</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Monobutyl ethers of ethylene glycol </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2016-Apr-22</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318"/>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Chile</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wire rod</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2016-Apr-22</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Grain oriented flat-rolled steel (GOES)</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2016-Jul-23</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Poland, United Kingdom</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China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Unbleached sack paper</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2016-Apr-09</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Austria, Finland, Sweden, Bulgaria</w:t>
            </w:r>
          </w:p>
        </w:tc>
      </w:tr>
      <w:tr>
        <w:trPr>
          <w:trHeight w:val="162"/>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2-Ethyl Hexanol</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2016-Feb-18</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Phenol</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2016-Mar-08</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Spain, Netherlands</w:t>
            </w:r>
          </w:p>
        </w:tc>
      </w:tr>
      <w:tr>
        <w:trPr>
          <w:trHeight w:val="486"/>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Hot rolled flat sheets and plates thick =&lt;150mm, width &gt;= 600 mm</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2016-Nov-23</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France, Italy, Austria, Sweden</w:t>
            </w:r>
          </w:p>
        </w:tc>
      </w:tr>
      <w:tr>
        <w:trPr>
          <w:trHeight w:val="648"/>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Hot rolled flat products of non-alloy and other alloy steel in coils of a width of 600 mm or more</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2016-Mar-29</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India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Normal Butanol or N-Butyl Alcohol</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2016-Feb-19</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Jordan</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Aluminium bars, rods and profiles</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2016-Jul-31</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302"/>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Korea/South</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Butyl Glycol Ether</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2016-Dec-06</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Malaysia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concrete reinforcing bar</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2016-Sep-26</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Austria, Finland, United Kingdom</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Malaysia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steel wire rods and deformed bar in coils</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2016-Sep-27</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162"/>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Carbon steel tubes</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2016-Apr-21</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Mexico</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Stranded wire ropes &amp; cables</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2016-Feb-27</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Spain, Portugal</w:t>
            </w:r>
          </w:p>
        </w:tc>
      </w:tr>
      <w:tr>
        <w:trPr>
          <w:trHeight w:val="276"/>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Morocco</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PVC</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2016-Dec-29</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Spain, France, Portugal</w:t>
            </w:r>
          </w:p>
        </w:tc>
      </w:tr>
      <w:tr>
        <w:trPr>
          <w:trHeight w:val="162"/>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Potato chips</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2016-Oct-21</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Netherlands</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South Africa</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Frozen chicken BSG</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2016-Dec-14</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Germany, Netherlands, United Kingdom</w:t>
            </w:r>
          </w:p>
        </w:tc>
      </w:tr>
      <w:tr>
        <w:trPr>
          <w:trHeight w:val="162"/>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Turkey</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plywood</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2016-Oct-28</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Bulgaria</w:t>
            </w:r>
          </w:p>
        </w:tc>
      </w:tr>
      <w:tr>
        <w:trPr>
          <w:trHeight w:val="486"/>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Ukraine</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xml:space="preserve">Flexible porous plates, blocks and sheets of polyurethane foam </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2016-Jul-07</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Hungary, Poland, Romania</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Carbon &amp; alloy steel cut to length plate</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Provisional</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2016-Nov-14</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France, Italy, Austria</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Hot rolled steel</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2016-Sep-12</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Netherlands, United Kingdom</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cold rolled steel flat products</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2016-Sep-10</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Netherlands, United Kingdom</w:t>
            </w:r>
          </w:p>
        </w:tc>
      </w:tr>
      <w:tr>
        <w:trPr>
          <w:trHeight w:val="162"/>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Corrosion-resistant steel</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CVD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2016-Sep-15</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162"/>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Corrosion-resistant steel</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2016-Jul-15</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Italy</w:t>
            </w:r>
          </w:p>
        </w:tc>
      </w:tr>
      <w:tr>
        <w:trPr>
          <w:trHeight w:val="162"/>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United States</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Uncoated paper</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AD</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2016-Jan-20</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Portugal</w:t>
            </w:r>
          </w:p>
        </w:tc>
      </w:tr>
      <w:tr>
        <w:trPr>
          <w:trHeight w:val="325"/>
          <w:jc w:val="center"/>
        </w:trPr>
        <w:tc>
          <w:tcPr>
            <w:tcW w:w="1183" w:type="dxa"/>
            <w:tcBorders>
              <w:top w:val="nil"/>
              <w:left w:val="single" w:sz="8" w:space="0" w:color="auto"/>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2489"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Monosodium glutamate- food flavour</w:t>
            </w:r>
          </w:p>
        </w:tc>
        <w:tc>
          <w:tcPr>
            <w:tcW w:w="586"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99"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2016-Mar-25</w:t>
            </w:r>
          </w:p>
        </w:tc>
        <w:tc>
          <w:tcPr>
            <w:tcW w:w="2722" w:type="dxa"/>
            <w:tcBorders>
              <w:top w:val="nil"/>
              <w:left w:val="nil"/>
              <w:bottom w:val="single" w:sz="4"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Belgium, Germany, Spain</w:t>
            </w:r>
          </w:p>
        </w:tc>
      </w:tr>
      <w:tr>
        <w:trPr>
          <w:trHeight w:val="498"/>
          <w:jc w:val="center"/>
        </w:trPr>
        <w:tc>
          <w:tcPr>
            <w:tcW w:w="1183" w:type="dxa"/>
            <w:tcBorders>
              <w:top w:val="nil"/>
              <w:left w:val="single" w:sz="8" w:space="0" w:color="auto"/>
              <w:bottom w:val="single" w:sz="8"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Viet Nam</w:t>
            </w:r>
          </w:p>
        </w:tc>
        <w:tc>
          <w:tcPr>
            <w:tcW w:w="2489" w:type="dxa"/>
            <w:tcBorders>
              <w:top w:val="nil"/>
              <w:left w:val="nil"/>
              <w:bottom w:val="single" w:sz="8" w:space="0" w:color="auto"/>
              <w:right w:val="single" w:sz="4"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semi-finished and finished products of alloy&amp;non-alloy steel</w:t>
            </w:r>
          </w:p>
        </w:tc>
        <w:tc>
          <w:tcPr>
            <w:tcW w:w="586" w:type="dxa"/>
            <w:tcBorders>
              <w:top w:val="nil"/>
              <w:left w:val="nil"/>
              <w:bottom w:val="single" w:sz="8"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SFG</w:t>
            </w:r>
          </w:p>
        </w:tc>
        <w:tc>
          <w:tcPr>
            <w:tcW w:w="1199"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ascii="Arial" w:hAnsi="Arial" w:cs="Arial"/>
                <w:noProof/>
                <w:sz w:val="16"/>
                <w:szCs w:val="16"/>
              </w:rPr>
            </w:pPr>
            <w:r>
              <w:rPr>
                <w:rFonts w:ascii="Arial" w:hAnsi="Arial" w:cs="Arial"/>
                <w:noProof/>
                <w:sz w:val="16"/>
                <w:szCs w:val="16"/>
              </w:rPr>
              <w:t>Definitive</w:t>
            </w:r>
          </w:p>
        </w:tc>
        <w:tc>
          <w:tcPr>
            <w:tcW w:w="1360" w:type="dxa"/>
            <w:tcBorders>
              <w:top w:val="nil"/>
              <w:left w:val="nil"/>
              <w:bottom w:val="single" w:sz="8" w:space="0" w:color="auto"/>
              <w:right w:val="single" w:sz="4" w:space="0" w:color="auto"/>
            </w:tcBorders>
            <w:shd w:val="clear" w:color="auto" w:fill="auto"/>
            <w:noWrap/>
            <w:vAlign w:val="bottom"/>
            <w:hideMark/>
          </w:tcPr>
          <w:p>
            <w:pPr>
              <w:spacing w:before="0" w:after="0"/>
              <w:jc w:val="center"/>
              <w:rPr>
                <w:rFonts w:ascii="Arial" w:hAnsi="Arial" w:cs="Arial"/>
                <w:noProof/>
                <w:sz w:val="16"/>
                <w:szCs w:val="16"/>
              </w:rPr>
            </w:pPr>
            <w:r>
              <w:rPr>
                <w:rFonts w:ascii="Arial" w:hAnsi="Arial" w:cs="Arial"/>
                <w:noProof/>
                <w:sz w:val="16"/>
                <w:szCs w:val="16"/>
              </w:rPr>
              <w:t>2016-Aug-02</w:t>
            </w:r>
          </w:p>
        </w:tc>
        <w:tc>
          <w:tcPr>
            <w:tcW w:w="2722" w:type="dxa"/>
            <w:tcBorders>
              <w:top w:val="nil"/>
              <w:left w:val="nil"/>
              <w:bottom w:val="single" w:sz="8" w:space="0" w:color="auto"/>
              <w:right w:val="single" w:sz="8" w:space="0" w:color="auto"/>
            </w:tcBorders>
            <w:shd w:val="clear" w:color="auto" w:fill="auto"/>
            <w:vAlign w:val="bottom"/>
            <w:hideMark/>
          </w:tcPr>
          <w:p>
            <w:pPr>
              <w:spacing w:before="0" w:after="0"/>
              <w:jc w:val="left"/>
              <w:rPr>
                <w:rFonts w:ascii="Arial" w:hAnsi="Arial" w:cs="Arial"/>
                <w:noProof/>
                <w:sz w:val="16"/>
                <w:szCs w:val="16"/>
              </w:rPr>
            </w:pPr>
            <w:r>
              <w:rPr>
                <w:rFonts w:ascii="Arial" w:hAnsi="Arial" w:cs="Arial"/>
                <w:noProof/>
                <w:sz w:val="16"/>
                <w:szCs w:val="16"/>
              </w:rPr>
              <w:t> </w:t>
            </w:r>
          </w:p>
        </w:tc>
      </w:tr>
    </w:tbl>
    <w:p>
      <w:pPr>
        <w:jc w:val="center"/>
        <w:rPr>
          <w:b/>
          <w:noProof/>
          <w:lang w:eastAsia="en-US"/>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991"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7713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Targeted dumping applies if a pattern exists of export prices differing significantly among different purchasers, regions or time periods. In this situation, if the investigating authorities provide an explanation as to why such differences cannot be taken into account in weighted average-to-weighted average or transaction-to-transaction comparisons, the weighted average normal value can be compared to the export prices on individual transactions.  </w:t>
      </w:r>
    </w:p>
  </w:footnote>
  <w:footnote w:id="2">
    <w:p>
      <w:pPr>
        <w:pStyle w:val="FootnoteText"/>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The Eurasian Economic Union ('EAEU') came into existence on 1 January 2015 and it consists of the member states of the former Eurasian Customs Union ('EACU'), which it incorporated. Its founding states were the Republic of Belarus ('Belarus'), the Republic of Kazakhstan ('Kazakhstan') and the Russian Federation ('Russia'). On 2 January 2015 it was enlarged to include the Republic of Armenia ('Armenia'); the Kyrgyz Republic ('Kyrgyzstan') acceded to the Eurasian Economic Union on 6 August 2015.</w:t>
      </w: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Gulf Cooperation Council ('GCC') was formally established on 25 May 1981. Its member states are: Bahrain, Kuwait, Oman, Qatar, Saudi Arabia and the United Arab Emirates.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972"/>
    <w:multiLevelType w:val="multilevel"/>
    <w:tmpl w:val="9162053A"/>
    <w:lvl w:ilvl="0">
      <w:start w:val="1"/>
      <w:numFmt w:val="decimal"/>
      <w:lvlText w:val="%1."/>
      <w:lvlJc w:val="left"/>
      <w:pPr>
        <w:ind w:left="360" w:hanging="360"/>
      </w:pPr>
      <w:rPr>
        <w:b/>
      </w:r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586F45"/>
    <w:multiLevelType w:val="multilevel"/>
    <w:tmpl w:val="14EE6514"/>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FE47D3"/>
    <w:multiLevelType w:val="multilevel"/>
    <w:tmpl w:val="F3D4C72C"/>
    <w:lvl w:ilvl="0">
      <w:start w:val="2"/>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5F2DB4"/>
    <w:multiLevelType w:val="multilevel"/>
    <w:tmpl w:val="E7AA0B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F734306"/>
    <w:multiLevelType w:val="multilevel"/>
    <w:tmpl w:val="518CE5BA"/>
    <w:lvl w:ilvl="0">
      <w:start w:val="1"/>
      <w:numFmt w:val="decimal"/>
      <w:pStyle w:val="Heading1"/>
      <w:lvlText w:val="%1."/>
      <w:lvlJc w:val="left"/>
      <w:pPr>
        <w:tabs>
          <w:tab w:val="num" w:pos="480"/>
        </w:tabs>
        <w:ind w:left="480" w:hanging="480"/>
      </w:pPr>
      <w:rPr>
        <w:rFonts w:ascii="Times New Roman" w:hAnsi="Times New Roman" w:cs="Times New Roman" w:hint="default"/>
        <w:sz w:val="24"/>
        <w:szCs w:val="24"/>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36477D3"/>
    <w:multiLevelType w:val="multilevel"/>
    <w:tmpl w:val="2BC2026C"/>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3ED0641"/>
    <w:multiLevelType w:val="multilevel"/>
    <w:tmpl w:val="4300BBAC"/>
    <w:lvl w:ilvl="0">
      <w:start w:val="7"/>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EE6D9F"/>
    <w:multiLevelType w:val="hybridMultilevel"/>
    <w:tmpl w:val="8A183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345CCB"/>
    <w:multiLevelType w:val="hybridMultilevel"/>
    <w:tmpl w:val="2962F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756DFB"/>
    <w:multiLevelType w:val="multilevel"/>
    <w:tmpl w:val="E7AA0B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0FA170C"/>
    <w:multiLevelType w:val="multilevel"/>
    <w:tmpl w:val="9B2C7032"/>
    <w:lvl w:ilvl="0">
      <w:start w:val="5"/>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50B33CA"/>
    <w:multiLevelType w:val="multilevel"/>
    <w:tmpl w:val="9B2C7032"/>
    <w:lvl w:ilvl="0">
      <w:start w:val="5"/>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9CB53C9"/>
    <w:multiLevelType w:val="multilevel"/>
    <w:tmpl w:val="D0422662"/>
    <w:lvl w:ilvl="0">
      <w:start w:val="9"/>
      <w:numFmt w:val="decimal"/>
      <w:lvlText w:val="%1."/>
      <w:lvlJc w:val="left"/>
      <w:pPr>
        <w:ind w:left="360" w:hanging="360"/>
      </w:pPr>
      <w:rPr>
        <w:rFonts w:hint="default"/>
        <w:b/>
      </w:rPr>
    </w:lvl>
    <w:lvl w:ilvl="1">
      <w:start w:val="2"/>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CC214FC"/>
    <w:multiLevelType w:val="multilevel"/>
    <w:tmpl w:val="A6E8C16A"/>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E6731C7"/>
    <w:multiLevelType w:val="multilevel"/>
    <w:tmpl w:val="9B2C7032"/>
    <w:lvl w:ilvl="0">
      <w:start w:val="5"/>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3AC4F42"/>
    <w:multiLevelType w:val="multilevel"/>
    <w:tmpl w:val="76B6AD22"/>
    <w:lvl w:ilvl="0">
      <w:start w:val="1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4646A06"/>
    <w:multiLevelType w:val="multilevel"/>
    <w:tmpl w:val="4E4E993E"/>
    <w:lvl w:ilvl="0">
      <w:start w:val="6"/>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47D265F"/>
    <w:multiLevelType w:val="multilevel"/>
    <w:tmpl w:val="FC72307C"/>
    <w:lvl w:ilvl="0">
      <w:start w:val="9"/>
      <w:numFmt w:val="decimal"/>
      <w:lvlText w:val="%1."/>
      <w:lvlJc w:val="left"/>
      <w:pPr>
        <w:ind w:left="360" w:hanging="360"/>
      </w:pPr>
      <w:rPr>
        <w:rFonts w:hint="default"/>
        <w:b/>
      </w:rPr>
    </w:lvl>
    <w:lvl w:ilvl="1">
      <w:start w:val="2"/>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5312784"/>
    <w:multiLevelType w:val="multilevel"/>
    <w:tmpl w:val="F53CA2BE"/>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E665CA1"/>
    <w:multiLevelType w:val="hybridMultilevel"/>
    <w:tmpl w:val="B7BC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ECD5ADC"/>
    <w:multiLevelType w:val="multilevel"/>
    <w:tmpl w:val="E7AA0B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6890872"/>
    <w:multiLevelType w:val="multilevel"/>
    <w:tmpl w:val="2BC2026C"/>
    <w:lvl w:ilvl="0">
      <w:start w:val="4"/>
      <w:numFmt w:val="decimal"/>
      <w:lvlText w:val="%1."/>
      <w:lvlJc w:val="left"/>
      <w:pPr>
        <w:ind w:left="360" w:hanging="360"/>
      </w:pPr>
      <w:rPr>
        <w:rFonts w:hint="default"/>
        <w:b/>
      </w:rPr>
    </w:lvl>
    <w:lvl w:ilvl="1">
      <w:start w:val="2"/>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33D2C"/>
    <w:multiLevelType w:val="multilevel"/>
    <w:tmpl w:val="D0422662"/>
    <w:lvl w:ilvl="0">
      <w:start w:val="9"/>
      <w:numFmt w:val="decimal"/>
      <w:lvlText w:val="%1."/>
      <w:lvlJc w:val="left"/>
      <w:pPr>
        <w:ind w:left="360" w:hanging="360"/>
      </w:pPr>
      <w:rPr>
        <w:rFonts w:hint="default"/>
        <w:b/>
      </w:rPr>
    </w:lvl>
    <w:lvl w:ilvl="1">
      <w:start w:val="2"/>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9554F97"/>
    <w:multiLevelType w:val="multilevel"/>
    <w:tmpl w:val="FA867B8C"/>
    <w:lvl w:ilvl="0">
      <w:start w:val="12"/>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F7A1B45"/>
    <w:multiLevelType w:val="multilevel"/>
    <w:tmpl w:val="E7AA0B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5174A57"/>
    <w:multiLevelType w:val="multilevel"/>
    <w:tmpl w:val="13A624D8"/>
    <w:lvl w:ilvl="0">
      <w:start w:val="5"/>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75B25A7"/>
    <w:multiLevelType w:val="multilevel"/>
    <w:tmpl w:val="FFE4784E"/>
    <w:lvl w:ilvl="0">
      <w:start w:val="14"/>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A2A5D9D"/>
    <w:multiLevelType w:val="multilevel"/>
    <w:tmpl w:val="B60C9D4C"/>
    <w:lvl w:ilvl="0">
      <w:start w:val="10"/>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0"/>
  </w:num>
  <w:num w:numId="3">
    <w:abstractNumId w:val="2"/>
  </w:num>
  <w:num w:numId="4">
    <w:abstractNumId w:val="3"/>
  </w:num>
  <w:num w:numId="5">
    <w:abstractNumId w:val="20"/>
  </w:num>
  <w:num w:numId="6">
    <w:abstractNumId w:val="7"/>
  </w:num>
  <w:num w:numId="7">
    <w:abstractNumId w:val="9"/>
  </w:num>
  <w:num w:numId="8">
    <w:abstractNumId w:val="24"/>
  </w:num>
  <w:num w:numId="9">
    <w:abstractNumId w:val="5"/>
  </w:num>
  <w:num w:numId="10">
    <w:abstractNumId w:val="18"/>
  </w:num>
  <w:num w:numId="11">
    <w:abstractNumId w:val="21"/>
  </w:num>
  <w:num w:numId="12">
    <w:abstractNumId w:val="4"/>
  </w:num>
  <w:num w:numId="13">
    <w:abstractNumId w:val="4"/>
  </w:num>
  <w:num w:numId="14">
    <w:abstractNumId w:val="8"/>
  </w:num>
  <w:num w:numId="15">
    <w:abstractNumId w:val="17"/>
  </w:num>
  <w:num w:numId="16">
    <w:abstractNumId w:val="22"/>
  </w:num>
  <w:num w:numId="17">
    <w:abstractNumId w:val="12"/>
  </w:num>
  <w:num w:numId="18">
    <w:abstractNumId w:val="10"/>
  </w:num>
  <w:num w:numId="19">
    <w:abstractNumId w:val="14"/>
  </w:num>
  <w:num w:numId="20">
    <w:abstractNumId w:val="11"/>
  </w:num>
  <w:num w:numId="21">
    <w:abstractNumId w:val="25"/>
  </w:num>
  <w:num w:numId="22">
    <w:abstractNumId w:val="16"/>
  </w:num>
  <w:num w:numId="23">
    <w:abstractNumId w:val="6"/>
  </w:num>
  <w:num w:numId="24">
    <w:abstractNumId w:val="1"/>
  </w:num>
  <w:num w:numId="25">
    <w:abstractNumId w:val="27"/>
  </w:num>
  <w:num w:numId="26">
    <w:abstractNumId w:val="15"/>
  </w:num>
  <w:num w:numId="27">
    <w:abstractNumId w:val="23"/>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ACCOMPAGNANT.CP" w:val="Accompanying the document"/>
    <w:docVar w:name="LW_CONFIDENCE" w:val=" "/>
    <w:docVar w:name="LW_CONST_RESTREINT_UE" w:val="RESTREINT UE"/>
    <w:docVar w:name="LW_CORRIGENDUM" w:val="&lt;UNUSED&gt;"/>
    <w:docVar w:name="LW_COVERPAGE_GUID" w:val="96079C238E814B58BF0ACAD8052FB01E"/>
    <w:docVar w:name="LW_CROSSREFERENCE" w:val="{COM(2017) 401 final}"/>
    <w:docVar w:name="LW_DocType" w:val="NORMAL"/>
    <w:docVar w:name="LW_EMISSION" w:val="27.7.2017"/>
    <w:docVar w:name="LW_EMISSION_ISODATE" w:val="2017-07-27"/>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FOURTEENTH REPORT_x000b__x000b_OVERVIEW OF THIRD COUNTRY TRADE DEFENCE ACTIONS_x000b_AGAINST THE EUROPEAN UNION FOR THE YEAR 2016_x000b_"/>
    <w:docVar w:name="LW_PART_NBR" w:val="1"/>
    <w:docVar w:name="LW_PART_NBR_TOTAL" w:val="1"/>
    <w:docVar w:name="LW_REF.INST.NEW" w:val="SWD"/>
    <w:docVar w:name="LW_REF.INST.NEW_ADOPTED" w:val="final"/>
    <w:docVar w:name="LW_REF.INST.NEW_TEXT" w:val="(2017) 277"/>
    <w:docVar w:name="LW_REF.INTERNE" w:val="&lt;UNUSED&gt;"/>
    <w:docVar w:name="LW_SUPERTITRE" w:val="&lt;UNUSED&gt;"/>
    <w:docVar w:name="LW_TITRE.OBJ.CP" w:val="&lt;UNUSED&gt;"/>
    <w:docVar w:name="LW_TYPE.DOC.CP" w:val="COMMISSION STAFF WORKING DOCUMENT"/>
    <w:docVar w:name="LW_TYPEACTEPRINCIPAL.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pPr>
      <w:keepNext/>
      <w:numPr>
        <w:numId w:val="12"/>
      </w:numPr>
      <w:spacing w:before="240" w:after="240"/>
      <w:outlineLvl w:val="0"/>
    </w:pPr>
    <w:rPr>
      <w:b/>
      <w:smallCaps/>
      <w:lang w:eastAsia="en-US"/>
    </w:rPr>
  </w:style>
  <w:style w:type="paragraph" w:styleId="Heading2">
    <w:name w:val="heading 2"/>
    <w:basedOn w:val="Normal"/>
    <w:next w:val="Normal"/>
    <w:link w:val="Heading2Char"/>
    <w:qFormat/>
    <w:pPr>
      <w:keepNext/>
      <w:numPr>
        <w:ilvl w:val="1"/>
        <w:numId w:val="12"/>
      </w:numPr>
      <w:spacing w:before="0" w:after="240"/>
      <w:outlineLvl w:val="1"/>
    </w:pPr>
    <w:rPr>
      <w:b/>
      <w:lang w:eastAsia="en-US"/>
    </w:rPr>
  </w:style>
  <w:style w:type="paragraph" w:styleId="Heading3">
    <w:name w:val="heading 3"/>
    <w:basedOn w:val="Normal"/>
    <w:next w:val="Normal"/>
    <w:link w:val="Heading3Char"/>
    <w:qFormat/>
    <w:pPr>
      <w:keepNext/>
      <w:numPr>
        <w:ilvl w:val="2"/>
        <w:numId w:val="12"/>
      </w:numPr>
      <w:spacing w:before="0" w:after="240"/>
      <w:outlineLvl w:val="2"/>
    </w:pPr>
    <w:rPr>
      <w:i/>
      <w:lang w:eastAsia="en-US"/>
    </w:rPr>
  </w:style>
  <w:style w:type="paragraph" w:styleId="Heading4">
    <w:name w:val="heading 4"/>
    <w:basedOn w:val="Normal"/>
    <w:next w:val="Normal"/>
    <w:link w:val="Heading4Char"/>
    <w:qFormat/>
    <w:pPr>
      <w:keepNext/>
      <w:numPr>
        <w:ilvl w:val="3"/>
        <w:numId w:val="12"/>
      </w:numPr>
      <w:spacing w:before="0" w:after="240"/>
      <w:outlineLvl w:val="3"/>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Calibri" w:eastAsia="Calibri" w:hAnsi="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en-US"/>
    </w:rPr>
  </w:style>
  <w:style w:type="paragraph" w:styleId="FootnoteText">
    <w:name w:val="footnote text"/>
    <w:basedOn w:val="Normal"/>
    <w:link w:val="FootnoteTextChar"/>
    <w:unhideWhenUsed/>
    <w:pPr>
      <w:spacing w:before="0" w:after="0"/>
      <w:jc w:val="left"/>
    </w:pPr>
    <w:rPr>
      <w:rFonts w:ascii="Calibri" w:eastAsia="Calibri" w:hAnsi="Calibri"/>
      <w:sz w:val="20"/>
      <w:lang w:eastAsia="en-US"/>
    </w:rPr>
  </w:style>
  <w:style w:type="character" w:customStyle="1" w:styleId="FootnoteTextChar">
    <w:name w:val="Footnote Text Char"/>
    <w:basedOn w:val="DefaultParagraphFont"/>
    <w:link w:val="FootnoteText"/>
    <w:rPr>
      <w:rFonts w:ascii="Calibri" w:eastAsia="Calibri" w:hAnsi="Calibri" w:cs="Times New Roman"/>
      <w:sz w:val="20"/>
      <w:szCs w:val="20"/>
      <w:lang w:eastAsia="en-US"/>
    </w:rPr>
  </w:style>
  <w:style w:type="character" w:styleId="FootnoteReference">
    <w:name w:val="footnote reference"/>
    <w:basedOn w:val="DefaultParagraphFont"/>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US"/>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spacing w:before="100" w:beforeAutospacing="1" w:after="100" w:afterAutospacing="1"/>
      <w:jc w:val="center"/>
    </w:pPr>
    <w:rPr>
      <w:rFonts w:ascii="Arial" w:hAnsi="Arial" w:cs="Arial"/>
      <w:sz w:val="16"/>
      <w:szCs w:val="16"/>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7">
    <w:name w:val="xl67"/>
    <w:basedOn w:val="Normal"/>
    <w:pPr>
      <w:spacing w:before="100" w:beforeAutospacing="1" w:after="100" w:afterAutospacing="1"/>
      <w:jc w:val="left"/>
    </w:pPr>
    <w:rPr>
      <w:rFonts w:ascii="Arial" w:hAnsi="Arial" w:cs="Arial"/>
      <w:sz w:val="16"/>
      <w:szCs w:val="16"/>
    </w:rPr>
  </w:style>
  <w:style w:type="paragraph" w:customStyle="1" w:styleId="xl68">
    <w:name w:val="xl68"/>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72">
    <w:name w:val="xl7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Arial" w:hAnsi="Arial" w:cs="Arial"/>
      <w:sz w:val="16"/>
      <w:szCs w:val="16"/>
    </w:rPr>
  </w:style>
  <w:style w:type="paragraph" w:customStyle="1" w:styleId="xl74">
    <w:name w:val="xl7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75">
    <w:name w:val="xl7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76">
    <w:name w:val="xl7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77">
    <w:name w:val="xl7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Arial" w:hAnsi="Arial" w:cs="Arial"/>
      <w:sz w:val="16"/>
      <w:szCs w:val="16"/>
    </w:rPr>
  </w:style>
  <w:style w:type="paragraph" w:customStyle="1" w:styleId="xl79">
    <w:name w:val="xl79"/>
    <w:basedOn w:val="Normal"/>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Normal"/>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1">
    <w:name w:val="xl81"/>
    <w:basedOn w:val="Normal"/>
    <w:pPr>
      <w:pBdr>
        <w:top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2">
    <w:name w:val="xl82"/>
    <w:basedOn w:val="Normal"/>
    <w:pPr>
      <w:pBdr>
        <w:top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3">
    <w:name w:val="xl83"/>
    <w:basedOn w:val="Normal"/>
    <w:pPr>
      <w:spacing w:before="100" w:beforeAutospacing="1" w:after="100" w:afterAutospacing="1"/>
      <w:jc w:val="left"/>
    </w:pPr>
    <w:rPr>
      <w:rFonts w:ascii="Arial" w:hAnsi="Arial" w:cs="Arial"/>
      <w:sz w:val="16"/>
      <w:szCs w:val="16"/>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86">
    <w:name w:val="xl8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Titreobjet">
    <w:name w:val="Titre objet"/>
    <w:basedOn w:val="Normal"/>
    <w:next w:val="Normal"/>
    <w:pPr>
      <w:spacing w:before="360" w:after="36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Typedudocument">
    <w:name w:val="Type du document"/>
    <w:basedOn w:val="Normal"/>
    <w:next w:val="Titreobjet"/>
    <w:pPr>
      <w:spacing w:before="360" w:after="0"/>
      <w:jc w:val="center"/>
    </w:pPr>
    <w:rPr>
      <w:rFonts w:eastAsiaTheme="minorHAnsi"/>
      <w:b/>
      <w:szCs w:val="22"/>
      <w:lang w:eastAsia="en-US"/>
    </w:rPr>
  </w:style>
  <w:style w:type="paragraph" w:customStyle="1" w:styleId="Accompagnant">
    <w:name w:val="Accompagnant"/>
    <w:basedOn w:val="Normal"/>
    <w:next w:val="Normal"/>
    <w:pPr>
      <w:spacing w:before="0" w:after="240"/>
      <w:jc w:val="center"/>
    </w:pPr>
    <w:rPr>
      <w:rFonts w:eastAsiaTheme="minorHAnsi"/>
      <w:b/>
      <w:i/>
      <w:szCs w:val="22"/>
      <w:lang w:eastAsia="en-US"/>
    </w:rPr>
  </w:style>
  <w:style w:type="paragraph" w:customStyle="1" w:styleId="Typeacteprincipal">
    <w:name w:val="Type acte principal"/>
    <w:basedOn w:val="Normal"/>
    <w:next w:val="Normal"/>
    <w:pPr>
      <w:spacing w:before="0" w:after="240"/>
      <w:jc w:val="center"/>
    </w:pPr>
    <w:rPr>
      <w:rFonts w:eastAsiaTheme="minorHAnsi"/>
      <w:b/>
      <w:szCs w:val="22"/>
      <w:lang w:eastAsia="en-US"/>
    </w:rPr>
  </w:style>
  <w:style w:type="paragraph" w:customStyle="1" w:styleId="Objetacteprincipal">
    <w:name w:val="Objet acte principal"/>
    <w:basedOn w:val="Normal"/>
    <w:next w:val="Normal"/>
    <w:pPr>
      <w:spacing w:before="0" w:after="360"/>
      <w:jc w:val="center"/>
    </w:pPr>
    <w:rPr>
      <w:rFonts w:eastAsiaTheme="minorHAnsi"/>
      <w:b/>
      <w:szCs w:val="22"/>
      <w:lang w:eastAsia="en-US"/>
    </w:rPr>
  </w:style>
  <w:style w:type="paragraph" w:customStyle="1" w:styleId="FooterCoverPage">
    <w:name w:val="Footer Cover Page"/>
    <w:basedOn w:val="Normal"/>
    <w:link w:val="FooterCoverPageChar"/>
    <w:pPr>
      <w:shd w:val="clear" w:color="auto" w:fill="FFFFFF"/>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shd w:val="clear" w:color="auto" w:fill="FFFFFF"/>
      <w:lang w:eastAsia="en-GB"/>
    </w:rPr>
  </w:style>
  <w:style w:type="paragraph" w:customStyle="1" w:styleId="HeaderCoverPage">
    <w:name w:val="Header Cover Page"/>
    <w:basedOn w:val="Normal"/>
    <w:link w:val="HeaderCoverPageChar"/>
    <w:pPr>
      <w:shd w:val="clear" w:color="auto" w:fill="FFFFFF"/>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shd w:val="clear" w:color="auto" w:fill="FFFFFF"/>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pPr>
      <w:keepNext/>
      <w:numPr>
        <w:numId w:val="12"/>
      </w:numPr>
      <w:spacing w:before="240" w:after="240"/>
      <w:outlineLvl w:val="0"/>
    </w:pPr>
    <w:rPr>
      <w:b/>
      <w:smallCaps/>
      <w:lang w:eastAsia="en-US"/>
    </w:rPr>
  </w:style>
  <w:style w:type="paragraph" w:styleId="Heading2">
    <w:name w:val="heading 2"/>
    <w:basedOn w:val="Normal"/>
    <w:next w:val="Normal"/>
    <w:link w:val="Heading2Char"/>
    <w:qFormat/>
    <w:pPr>
      <w:keepNext/>
      <w:numPr>
        <w:ilvl w:val="1"/>
        <w:numId w:val="12"/>
      </w:numPr>
      <w:spacing w:before="0" w:after="240"/>
      <w:outlineLvl w:val="1"/>
    </w:pPr>
    <w:rPr>
      <w:b/>
      <w:lang w:eastAsia="en-US"/>
    </w:rPr>
  </w:style>
  <w:style w:type="paragraph" w:styleId="Heading3">
    <w:name w:val="heading 3"/>
    <w:basedOn w:val="Normal"/>
    <w:next w:val="Normal"/>
    <w:link w:val="Heading3Char"/>
    <w:qFormat/>
    <w:pPr>
      <w:keepNext/>
      <w:numPr>
        <w:ilvl w:val="2"/>
        <w:numId w:val="12"/>
      </w:numPr>
      <w:spacing w:before="0" w:after="240"/>
      <w:outlineLvl w:val="2"/>
    </w:pPr>
    <w:rPr>
      <w:i/>
      <w:lang w:eastAsia="en-US"/>
    </w:rPr>
  </w:style>
  <w:style w:type="paragraph" w:styleId="Heading4">
    <w:name w:val="heading 4"/>
    <w:basedOn w:val="Normal"/>
    <w:next w:val="Normal"/>
    <w:link w:val="Heading4Char"/>
    <w:qFormat/>
    <w:pPr>
      <w:keepNext/>
      <w:numPr>
        <w:ilvl w:val="3"/>
        <w:numId w:val="12"/>
      </w:numPr>
      <w:spacing w:before="0" w:after="240"/>
      <w:outlineLvl w:val="3"/>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Calibri" w:eastAsia="Calibri" w:hAnsi="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eastAsia="en-US"/>
    </w:rPr>
  </w:style>
  <w:style w:type="paragraph" w:styleId="FootnoteText">
    <w:name w:val="footnote text"/>
    <w:basedOn w:val="Normal"/>
    <w:link w:val="FootnoteTextChar"/>
    <w:unhideWhenUsed/>
    <w:pPr>
      <w:spacing w:before="0" w:after="0"/>
      <w:jc w:val="left"/>
    </w:pPr>
    <w:rPr>
      <w:rFonts w:ascii="Calibri" w:eastAsia="Calibri" w:hAnsi="Calibri"/>
      <w:sz w:val="20"/>
      <w:lang w:eastAsia="en-US"/>
    </w:rPr>
  </w:style>
  <w:style w:type="character" w:customStyle="1" w:styleId="FootnoteTextChar">
    <w:name w:val="Footnote Text Char"/>
    <w:basedOn w:val="DefaultParagraphFont"/>
    <w:link w:val="FootnoteText"/>
    <w:rPr>
      <w:rFonts w:ascii="Calibri" w:eastAsia="Calibri" w:hAnsi="Calibri" w:cs="Times New Roman"/>
      <w:sz w:val="20"/>
      <w:szCs w:val="20"/>
      <w:lang w:eastAsia="en-US"/>
    </w:rPr>
  </w:style>
  <w:style w:type="character" w:styleId="FootnoteReference">
    <w:name w:val="footnote reference"/>
    <w:basedOn w:val="DefaultParagraphFont"/>
    <w:unhideWhenUsed/>
    <w:rPr>
      <w:vertAlign w:val="superscript"/>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US"/>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5">
    <w:name w:val="xl65"/>
    <w:basedOn w:val="Normal"/>
    <w:pPr>
      <w:spacing w:before="100" w:beforeAutospacing="1" w:after="100" w:afterAutospacing="1"/>
      <w:jc w:val="center"/>
    </w:pPr>
    <w:rPr>
      <w:rFonts w:ascii="Arial" w:hAnsi="Arial" w:cs="Arial"/>
      <w:sz w:val="16"/>
      <w:szCs w:val="16"/>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7">
    <w:name w:val="xl67"/>
    <w:basedOn w:val="Normal"/>
    <w:pPr>
      <w:spacing w:before="100" w:beforeAutospacing="1" w:after="100" w:afterAutospacing="1"/>
      <w:jc w:val="left"/>
    </w:pPr>
    <w:rPr>
      <w:rFonts w:ascii="Arial" w:hAnsi="Arial" w:cs="Arial"/>
      <w:sz w:val="16"/>
      <w:szCs w:val="16"/>
    </w:rPr>
  </w:style>
  <w:style w:type="paragraph" w:customStyle="1" w:styleId="xl68">
    <w:name w:val="xl68"/>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72">
    <w:name w:val="xl7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Arial" w:hAnsi="Arial" w:cs="Arial"/>
      <w:sz w:val="16"/>
      <w:szCs w:val="16"/>
    </w:rPr>
  </w:style>
  <w:style w:type="paragraph" w:customStyle="1" w:styleId="xl74">
    <w:name w:val="xl7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75">
    <w:name w:val="xl7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76">
    <w:name w:val="xl7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hAnsi="Arial" w:cs="Arial"/>
      <w:sz w:val="16"/>
      <w:szCs w:val="16"/>
    </w:rPr>
  </w:style>
  <w:style w:type="paragraph" w:customStyle="1" w:styleId="xl77">
    <w:name w:val="xl7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Arial" w:hAnsi="Arial" w:cs="Arial"/>
      <w:sz w:val="16"/>
      <w:szCs w:val="16"/>
    </w:rPr>
  </w:style>
  <w:style w:type="paragraph" w:customStyle="1" w:styleId="xl79">
    <w:name w:val="xl79"/>
    <w:basedOn w:val="Normal"/>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Normal"/>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1">
    <w:name w:val="xl81"/>
    <w:basedOn w:val="Normal"/>
    <w:pPr>
      <w:pBdr>
        <w:top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2">
    <w:name w:val="xl82"/>
    <w:basedOn w:val="Normal"/>
    <w:pPr>
      <w:pBdr>
        <w:top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3">
    <w:name w:val="xl83"/>
    <w:basedOn w:val="Normal"/>
    <w:pPr>
      <w:spacing w:before="100" w:beforeAutospacing="1" w:after="100" w:afterAutospacing="1"/>
      <w:jc w:val="left"/>
    </w:pPr>
    <w:rPr>
      <w:rFonts w:ascii="Arial" w:hAnsi="Arial" w:cs="Arial"/>
      <w:sz w:val="16"/>
      <w:szCs w:val="16"/>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86">
    <w:name w:val="xl8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Titreobjet">
    <w:name w:val="Titre objet"/>
    <w:basedOn w:val="Normal"/>
    <w:next w:val="Normal"/>
    <w:pPr>
      <w:spacing w:before="360" w:after="36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Typedudocument">
    <w:name w:val="Type du document"/>
    <w:basedOn w:val="Normal"/>
    <w:next w:val="Titreobjet"/>
    <w:pPr>
      <w:spacing w:before="360" w:after="0"/>
      <w:jc w:val="center"/>
    </w:pPr>
    <w:rPr>
      <w:rFonts w:eastAsiaTheme="minorHAnsi"/>
      <w:b/>
      <w:szCs w:val="22"/>
      <w:lang w:eastAsia="en-US"/>
    </w:rPr>
  </w:style>
  <w:style w:type="paragraph" w:customStyle="1" w:styleId="Accompagnant">
    <w:name w:val="Accompagnant"/>
    <w:basedOn w:val="Normal"/>
    <w:next w:val="Normal"/>
    <w:pPr>
      <w:spacing w:before="0" w:after="240"/>
      <w:jc w:val="center"/>
    </w:pPr>
    <w:rPr>
      <w:rFonts w:eastAsiaTheme="minorHAnsi"/>
      <w:b/>
      <w:i/>
      <w:szCs w:val="22"/>
      <w:lang w:eastAsia="en-US"/>
    </w:rPr>
  </w:style>
  <w:style w:type="paragraph" w:customStyle="1" w:styleId="Typeacteprincipal">
    <w:name w:val="Type acte principal"/>
    <w:basedOn w:val="Normal"/>
    <w:next w:val="Normal"/>
    <w:pPr>
      <w:spacing w:before="0" w:after="240"/>
      <w:jc w:val="center"/>
    </w:pPr>
    <w:rPr>
      <w:rFonts w:eastAsiaTheme="minorHAnsi"/>
      <w:b/>
      <w:szCs w:val="22"/>
      <w:lang w:eastAsia="en-US"/>
    </w:rPr>
  </w:style>
  <w:style w:type="paragraph" w:customStyle="1" w:styleId="Objetacteprincipal">
    <w:name w:val="Objet acte principal"/>
    <w:basedOn w:val="Normal"/>
    <w:next w:val="Normal"/>
    <w:pPr>
      <w:spacing w:before="0" w:after="360"/>
      <w:jc w:val="center"/>
    </w:pPr>
    <w:rPr>
      <w:rFonts w:eastAsiaTheme="minorHAnsi"/>
      <w:b/>
      <w:szCs w:val="22"/>
      <w:lang w:eastAsia="en-US"/>
    </w:rPr>
  </w:style>
  <w:style w:type="paragraph" w:customStyle="1" w:styleId="FooterCoverPage">
    <w:name w:val="Footer Cover Page"/>
    <w:basedOn w:val="Normal"/>
    <w:link w:val="FooterCoverPageChar"/>
    <w:pPr>
      <w:shd w:val="clear" w:color="auto" w:fill="FFFFFF"/>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shd w:val="clear" w:color="auto" w:fill="FFFFFF"/>
      <w:lang w:eastAsia="en-GB"/>
    </w:rPr>
  </w:style>
  <w:style w:type="paragraph" w:customStyle="1" w:styleId="HeaderCoverPage">
    <w:name w:val="Header Cover Page"/>
    <w:basedOn w:val="Normal"/>
    <w:link w:val="HeaderCoverPageChar"/>
    <w:pPr>
      <w:shd w:val="clear" w:color="auto" w:fill="FFFFFF"/>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7880">
      <w:bodyDiv w:val="1"/>
      <w:marLeft w:val="0"/>
      <w:marRight w:val="0"/>
      <w:marTop w:val="0"/>
      <w:marBottom w:val="0"/>
      <w:divBdr>
        <w:top w:val="none" w:sz="0" w:space="0" w:color="auto"/>
        <w:left w:val="none" w:sz="0" w:space="0" w:color="auto"/>
        <w:bottom w:val="none" w:sz="0" w:space="0" w:color="auto"/>
        <w:right w:val="none" w:sz="0" w:space="0" w:color="auto"/>
      </w:divBdr>
    </w:div>
    <w:div w:id="263809225">
      <w:bodyDiv w:val="1"/>
      <w:marLeft w:val="0"/>
      <w:marRight w:val="0"/>
      <w:marTop w:val="0"/>
      <w:marBottom w:val="0"/>
      <w:divBdr>
        <w:top w:val="none" w:sz="0" w:space="0" w:color="auto"/>
        <w:left w:val="none" w:sz="0" w:space="0" w:color="auto"/>
        <w:bottom w:val="none" w:sz="0" w:space="0" w:color="auto"/>
        <w:right w:val="none" w:sz="0" w:space="0" w:color="auto"/>
      </w:divBdr>
    </w:div>
    <w:div w:id="362945112">
      <w:bodyDiv w:val="1"/>
      <w:marLeft w:val="0"/>
      <w:marRight w:val="0"/>
      <w:marTop w:val="0"/>
      <w:marBottom w:val="0"/>
      <w:divBdr>
        <w:top w:val="none" w:sz="0" w:space="0" w:color="auto"/>
        <w:left w:val="none" w:sz="0" w:space="0" w:color="auto"/>
        <w:bottom w:val="none" w:sz="0" w:space="0" w:color="auto"/>
        <w:right w:val="none" w:sz="0" w:space="0" w:color="auto"/>
      </w:divBdr>
    </w:div>
    <w:div w:id="500390394">
      <w:bodyDiv w:val="1"/>
      <w:marLeft w:val="0"/>
      <w:marRight w:val="0"/>
      <w:marTop w:val="0"/>
      <w:marBottom w:val="0"/>
      <w:divBdr>
        <w:top w:val="none" w:sz="0" w:space="0" w:color="auto"/>
        <w:left w:val="none" w:sz="0" w:space="0" w:color="auto"/>
        <w:bottom w:val="none" w:sz="0" w:space="0" w:color="auto"/>
        <w:right w:val="none" w:sz="0" w:space="0" w:color="auto"/>
      </w:divBdr>
    </w:div>
    <w:div w:id="639963066">
      <w:bodyDiv w:val="1"/>
      <w:marLeft w:val="0"/>
      <w:marRight w:val="0"/>
      <w:marTop w:val="0"/>
      <w:marBottom w:val="0"/>
      <w:divBdr>
        <w:top w:val="none" w:sz="0" w:space="0" w:color="auto"/>
        <w:left w:val="none" w:sz="0" w:space="0" w:color="auto"/>
        <w:bottom w:val="none" w:sz="0" w:space="0" w:color="auto"/>
        <w:right w:val="none" w:sz="0" w:space="0" w:color="auto"/>
      </w:divBdr>
    </w:div>
    <w:div w:id="796725172">
      <w:bodyDiv w:val="1"/>
      <w:marLeft w:val="0"/>
      <w:marRight w:val="0"/>
      <w:marTop w:val="0"/>
      <w:marBottom w:val="0"/>
      <w:divBdr>
        <w:top w:val="none" w:sz="0" w:space="0" w:color="auto"/>
        <w:left w:val="none" w:sz="0" w:space="0" w:color="auto"/>
        <w:bottom w:val="none" w:sz="0" w:space="0" w:color="auto"/>
        <w:right w:val="none" w:sz="0" w:space="0" w:color="auto"/>
      </w:divBdr>
    </w:div>
    <w:div w:id="825165067">
      <w:bodyDiv w:val="1"/>
      <w:marLeft w:val="0"/>
      <w:marRight w:val="0"/>
      <w:marTop w:val="0"/>
      <w:marBottom w:val="0"/>
      <w:divBdr>
        <w:top w:val="none" w:sz="0" w:space="0" w:color="auto"/>
        <w:left w:val="none" w:sz="0" w:space="0" w:color="auto"/>
        <w:bottom w:val="none" w:sz="0" w:space="0" w:color="auto"/>
        <w:right w:val="none" w:sz="0" w:space="0" w:color="auto"/>
      </w:divBdr>
    </w:div>
    <w:div w:id="878014758">
      <w:bodyDiv w:val="1"/>
      <w:marLeft w:val="0"/>
      <w:marRight w:val="0"/>
      <w:marTop w:val="0"/>
      <w:marBottom w:val="0"/>
      <w:divBdr>
        <w:top w:val="none" w:sz="0" w:space="0" w:color="auto"/>
        <w:left w:val="none" w:sz="0" w:space="0" w:color="auto"/>
        <w:bottom w:val="none" w:sz="0" w:space="0" w:color="auto"/>
        <w:right w:val="none" w:sz="0" w:space="0" w:color="auto"/>
      </w:divBdr>
    </w:div>
    <w:div w:id="1189485273">
      <w:bodyDiv w:val="1"/>
      <w:marLeft w:val="0"/>
      <w:marRight w:val="0"/>
      <w:marTop w:val="0"/>
      <w:marBottom w:val="0"/>
      <w:divBdr>
        <w:top w:val="none" w:sz="0" w:space="0" w:color="auto"/>
        <w:left w:val="none" w:sz="0" w:space="0" w:color="auto"/>
        <w:bottom w:val="none" w:sz="0" w:space="0" w:color="auto"/>
        <w:right w:val="none" w:sz="0" w:space="0" w:color="auto"/>
      </w:divBdr>
    </w:div>
    <w:div w:id="1342513899">
      <w:bodyDiv w:val="1"/>
      <w:marLeft w:val="0"/>
      <w:marRight w:val="0"/>
      <w:marTop w:val="0"/>
      <w:marBottom w:val="0"/>
      <w:divBdr>
        <w:top w:val="none" w:sz="0" w:space="0" w:color="auto"/>
        <w:left w:val="none" w:sz="0" w:space="0" w:color="auto"/>
        <w:bottom w:val="none" w:sz="0" w:space="0" w:color="auto"/>
        <w:right w:val="none" w:sz="0" w:space="0" w:color="auto"/>
      </w:divBdr>
    </w:div>
    <w:div w:id="1675061953">
      <w:bodyDiv w:val="1"/>
      <w:marLeft w:val="0"/>
      <w:marRight w:val="0"/>
      <w:marTop w:val="0"/>
      <w:marBottom w:val="0"/>
      <w:divBdr>
        <w:top w:val="none" w:sz="0" w:space="0" w:color="auto"/>
        <w:left w:val="none" w:sz="0" w:space="0" w:color="auto"/>
        <w:bottom w:val="none" w:sz="0" w:space="0" w:color="auto"/>
        <w:right w:val="none" w:sz="0" w:space="0" w:color="auto"/>
      </w:divBdr>
    </w:div>
    <w:div w:id="1821379609">
      <w:bodyDiv w:val="1"/>
      <w:marLeft w:val="0"/>
      <w:marRight w:val="0"/>
      <w:marTop w:val="0"/>
      <w:marBottom w:val="0"/>
      <w:divBdr>
        <w:top w:val="none" w:sz="0" w:space="0" w:color="auto"/>
        <w:left w:val="none" w:sz="0" w:space="0" w:color="auto"/>
        <w:bottom w:val="none" w:sz="0" w:space="0" w:color="auto"/>
        <w:right w:val="none" w:sz="0" w:space="0" w:color="auto"/>
      </w:divBdr>
    </w:div>
    <w:div w:id="1969504596">
      <w:bodyDiv w:val="1"/>
      <w:marLeft w:val="0"/>
      <w:marRight w:val="0"/>
      <w:marTop w:val="0"/>
      <w:marBottom w:val="0"/>
      <w:divBdr>
        <w:top w:val="none" w:sz="0" w:space="0" w:color="auto"/>
        <w:left w:val="none" w:sz="0" w:space="0" w:color="auto"/>
        <w:bottom w:val="none" w:sz="0" w:space="0" w:color="auto"/>
        <w:right w:val="none" w:sz="0" w:space="0" w:color="auto"/>
      </w:divBdr>
    </w:div>
    <w:div w:id="1974675045">
      <w:bodyDiv w:val="1"/>
      <w:marLeft w:val="0"/>
      <w:marRight w:val="0"/>
      <w:marTop w:val="0"/>
      <w:marBottom w:val="0"/>
      <w:divBdr>
        <w:top w:val="none" w:sz="0" w:space="0" w:color="auto"/>
        <w:left w:val="none" w:sz="0" w:space="0" w:color="auto"/>
        <w:bottom w:val="none" w:sz="0" w:space="0" w:color="auto"/>
        <w:right w:val="none" w:sz="0" w:space="0" w:color="auto"/>
      </w:divBdr>
    </w:div>
    <w:div w:id="2027099419">
      <w:bodyDiv w:val="1"/>
      <w:marLeft w:val="0"/>
      <w:marRight w:val="0"/>
      <w:marTop w:val="0"/>
      <w:marBottom w:val="0"/>
      <w:divBdr>
        <w:top w:val="none" w:sz="0" w:space="0" w:color="auto"/>
        <w:left w:val="none" w:sz="0" w:space="0" w:color="auto"/>
        <w:bottom w:val="none" w:sz="0" w:space="0" w:color="auto"/>
        <w:right w:val="none" w:sz="0" w:space="0" w:color="auto"/>
      </w:divBdr>
    </w:div>
    <w:div w:id="212214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6D248-E634-4B76-9234-0DBF290A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8243</Words>
  <Characters>41549</Characters>
  <Application>Microsoft Office Word</Application>
  <DocSecurity>0</DocSecurity>
  <Lines>3196</Lines>
  <Paragraphs>3111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2017-05-19T09:41:00Z</cp:lastPrinted>
  <dcterms:created xsi:type="dcterms:W3CDTF">2017-07-06T13:14:00Z</dcterms:created>
  <dcterms:modified xsi:type="dcterms:W3CDTF">2017-07-17T14:02:00Z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