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3C90CFB1548427B86D793CA31DD9081" style="width:450.4pt;height:483.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Bdr>
          <w:top w:val="single" w:sz="4" w:space="1" w:color="auto"/>
          <w:left w:val="single" w:sz="4" w:space="4" w:color="auto"/>
          <w:bottom w:val="single" w:sz="4" w:space="1" w:color="auto"/>
          <w:right w:val="single" w:sz="4" w:space="7" w:color="auto"/>
        </w:pBdr>
        <w:shd w:val="clear" w:color="auto" w:fill="8DB3E2" w:themeFill="text2" w:themeFillTint="66"/>
        <w:spacing w:after="0"/>
        <w:jc w:val="center"/>
        <w:rPr>
          <w:rFonts w:ascii="Times New Roman" w:eastAsia="Times New Roman" w:hAnsi="Times New Roman" w:cs="Times New Roman"/>
          <w:b/>
          <w:noProof/>
        </w:rPr>
      </w:pPr>
      <w:bookmarkStart w:id="1" w:name="_GoBack"/>
      <w:bookmarkEnd w:id="1"/>
      <w:r>
        <w:rPr>
          <w:rFonts w:ascii="Times New Roman" w:hAnsi="Times New Roman"/>
          <w:b/>
          <w:noProof/>
        </w:rPr>
        <w:lastRenderedPageBreak/>
        <w:t xml:space="preserve">АКТУАЛНО СЪСТОЯНИЕ НА ИЗПЪЛНЕНИЕТО НА ДЕЙСТВИЯТА, ОПРЕДЕЛЕНИ В СЪОБЩЕНИЕТО НА КОМИСИЯТА </w:t>
      </w:r>
    </w:p>
    <w:p>
      <w:pPr>
        <w:pBdr>
          <w:top w:val="single" w:sz="4" w:space="1" w:color="auto"/>
          <w:left w:val="single" w:sz="4" w:space="4" w:color="auto"/>
          <w:bottom w:val="single" w:sz="4" w:space="1" w:color="auto"/>
          <w:right w:val="single" w:sz="4" w:space="7" w:color="auto"/>
        </w:pBdr>
        <w:shd w:val="clear" w:color="auto" w:fill="8DB3E2" w:themeFill="text2" w:themeFillTint="66"/>
        <w:spacing w:after="0"/>
        <w:jc w:val="center"/>
        <w:rPr>
          <w:rFonts w:ascii="Times New Roman" w:eastAsia="Times New Roman" w:hAnsi="Times New Roman" w:cs="Times New Roman"/>
          <w:b/>
          <w:noProof/>
        </w:rPr>
      </w:pPr>
      <w:r>
        <w:rPr>
          <w:rFonts w:ascii="Times New Roman" w:hAnsi="Times New Roman"/>
          <w:b/>
          <w:noProof/>
        </w:rPr>
        <w:t>„ПОДПОМАГАНЕ НА ПРЕДОТВРАТЯВАНЕТО НА РАДИКАЛИЗАЦИЯТА, ВОДЕЩА ДО НАСИЛНИЧЕСКИ ЕКСТРЕМИЗЪМ“</w:t>
      </w:r>
    </w:p>
    <w:p>
      <w:pPr>
        <w:pBdr>
          <w:top w:val="single" w:sz="4" w:space="1" w:color="auto"/>
          <w:left w:val="single" w:sz="4" w:space="4" w:color="auto"/>
          <w:bottom w:val="single" w:sz="4" w:space="1" w:color="auto"/>
          <w:right w:val="single" w:sz="4" w:space="7" w:color="auto"/>
        </w:pBdr>
        <w:shd w:val="clear" w:color="auto" w:fill="8DB3E2" w:themeFill="text2" w:themeFillTint="66"/>
        <w:spacing w:after="0"/>
        <w:jc w:val="center"/>
        <w:rPr>
          <w:rFonts w:ascii="Times New Roman" w:eastAsia="Times New Roman" w:hAnsi="Times New Roman" w:cs="Times New Roman"/>
          <w:b/>
          <w:noProof/>
        </w:rPr>
      </w:pPr>
      <w:r>
        <w:rPr>
          <w:rFonts w:ascii="Times New Roman" w:hAnsi="Times New Roman"/>
          <w:b/>
          <w:noProof/>
        </w:rPr>
        <w:t>(COM(2016) 379 final от 14.6.2016 г.)</w:t>
      </w:r>
    </w:p>
    <w:tbl>
      <w:tblPr>
        <w:tblStyle w:val="TableGrid"/>
        <w:tblW w:w="14268" w:type="dxa"/>
        <w:tblLayout w:type="fixed"/>
        <w:tblLook w:val="04A0" w:firstRow="1" w:lastRow="0" w:firstColumn="1" w:lastColumn="0" w:noHBand="0" w:noVBand="1"/>
      </w:tblPr>
      <w:tblGrid>
        <w:gridCol w:w="4908"/>
        <w:gridCol w:w="20"/>
        <w:gridCol w:w="972"/>
        <w:gridCol w:w="20"/>
        <w:gridCol w:w="8348"/>
      </w:tblGrid>
      <w:tr>
        <w:trPr>
          <w:tblHeader/>
        </w:trPr>
        <w:tc>
          <w:tcPr>
            <w:tcW w:w="4928" w:type="dxa"/>
            <w:gridSpan w:val="2"/>
            <w:tcBorders>
              <w:bottom w:val="single" w:sz="4" w:space="0" w:color="auto"/>
            </w:tcBorders>
            <w:shd w:val="clear" w:color="auto" w:fill="8DB3E2" w:themeFill="text2" w:themeFillTint="66"/>
          </w:tcPr>
          <w:p>
            <w:pPr>
              <w:rPr>
                <w:rFonts w:ascii="Times New Roman" w:hAnsi="Times New Roman" w:cs="Times New Roman"/>
                <w:b/>
                <w:noProof/>
                <w:sz w:val="20"/>
                <w:szCs w:val="20"/>
              </w:rPr>
            </w:pPr>
            <w:r>
              <w:rPr>
                <w:rFonts w:ascii="Times New Roman" w:hAnsi="Times New Roman"/>
                <w:b/>
                <w:noProof/>
                <w:sz w:val="20"/>
              </w:rPr>
              <w:t>Ключови действия</w:t>
            </w:r>
          </w:p>
          <w:p>
            <w:pPr>
              <w:rPr>
                <w:rFonts w:ascii="Times New Roman" w:hAnsi="Times New Roman" w:cs="Times New Roman"/>
                <w:b/>
                <w:noProof/>
                <w:sz w:val="20"/>
                <w:szCs w:val="20"/>
              </w:rPr>
            </w:pPr>
          </w:p>
        </w:tc>
        <w:tc>
          <w:tcPr>
            <w:tcW w:w="992" w:type="dxa"/>
            <w:gridSpan w:val="2"/>
            <w:tcBorders>
              <w:bottom w:val="single" w:sz="4" w:space="0" w:color="auto"/>
            </w:tcBorders>
            <w:shd w:val="clear" w:color="auto" w:fill="8DB3E2" w:themeFill="text2" w:themeFillTint="66"/>
          </w:tcPr>
          <w:p>
            <w:pPr>
              <w:rPr>
                <w:rFonts w:ascii="Times New Roman" w:hAnsi="Times New Roman" w:cs="Times New Roman"/>
                <w:b/>
                <w:noProof/>
                <w:sz w:val="20"/>
                <w:szCs w:val="20"/>
              </w:rPr>
            </w:pPr>
            <w:r>
              <w:rPr>
                <w:rFonts w:ascii="Times New Roman" w:hAnsi="Times New Roman"/>
                <w:b/>
                <w:noProof/>
                <w:sz w:val="20"/>
              </w:rPr>
              <w:t>Срок</w:t>
            </w:r>
          </w:p>
        </w:tc>
        <w:tc>
          <w:tcPr>
            <w:tcW w:w="8348" w:type="dxa"/>
            <w:tcBorders>
              <w:bottom w:val="single" w:sz="4" w:space="0" w:color="auto"/>
            </w:tcBorders>
            <w:shd w:val="clear" w:color="auto" w:fill="8DB3E2" w:themeFill="text2" w:themeFillTint="66"/>
          </w:tcPr>
          <w:p>
            <w:pPr>
              <w:ind w:left="34"/>
              <w:rPr>
                <w:rFonts w:ascii="Times New Roman" w:hAnsi="Times New Roman" w:cs="Times New Roman"/>
                <w:b/>
                <w:noProof/>
                <w:sz w:val="20"/>
                <w:szCs w:val="20"/>
              </w:rPr>
            </w:pPr>
            <w:r>
              <w:rPr>
                <w:rFonts w:ascii="Times New Roman" w:hAnsi="Times New Roman"/>
                <w:b/>
                <w:noProof/>
                <w:sz w:val="20"/>
              </w:rPr>
              <w:t>Описание/Актуално състояние</w:t>
            </w: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 xml:space="preserve">1.1. </w:t>
            </w:r>
            <w:r>
              <w:rPr>
                <w:noProof/>
              </w:rPr>
              <w:tab/>
            </w:r>
            <w:r>
              <w:rPr>
                <w:rFonts w:ascii="Times New Roman" w:hAnsi="Times New Roman"/>
                <w:noProof/>
              </w:rPr>
              <w:t>Центърът за високи постижения на Мрежата за осведоменост по въпросите на радикализацията (RAN) да оказва подкрепа на държавите членки при разработването и прилагането на ефективни превантивни дейности.</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 xml:space="preserve">През 2016 г. Мрежата за осведоменост по въпросите на радикализацията е предоставила 19 услуги по оказване на подкрепа на държавите членки.  </w:t>
            </w:r>
          </w:p>
          <w:p>
            <w:pPr>
              <w:jc w:val="both"/>
              <w:rPr>
                <w:rFonts w:ascii="Times New Roman" w:hAnsi="Times New Roman" w:cs="Times New Roman"/>
                <w:noProof/>
                <w:highlight w:val="yellow"/>
              </w:rPr>
            </w:pPr>
            <w:r>
              <w:rPr>
                <w:rFonts w:ascii="Times New Roman" w:hAnsi="Times New Roman"/>
                <w:noProof/>
              </w:rPr>
              <w:t>През 2017 г. Мрежата за осведоменост по въпросите на радикализацията планира да предостави 20 такива услуги по оказване на подкрепа чрез семинари, мероприятия за обучение на обучаващи и мисии на експерти.</w:t>
            </w:r>
          </w:p>
          <w:p>
            <w:pPr>
              <w:jc w:val="both"/>
              <w:rPr>
                <w:rFonts w:ascii="Times New Roman" w:hAnsi="Times New Roman" w:cs="Times New Roman"/>
                <w:noProof/>
                <w:highlight w:val="yellow"/>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1.2.</w:t>
            </w:r>
            <w:r>
              <w:rPr>
                <w:noProof/>
              </w:rPr>
              <w:tab/>
            </w:r>
            <w:r>
              <w:rPr>
                <w:rFonts w:ascii="Times New Roman" w:hAnsi="Times New Roman"/>
                <w:noProof/>
              </w:rPr>
              <w:t>Центърът за високи постижения на Мрежата за осведоменост по въпросите на радикализацията</w:t>
            </w:r>
            <w:r>
              <w:rPr>
                <w:noProof/>
              </w:rPr>
              <w:t xml:space="preserve"> </w:t>
            </w:r>
            <w:r>
              <w:rPr>
                <w:rFonts w:ascii="Times New Roman" w:hAnsi="Times New Roman"/>
                <w:noProof/>
              </w:rPr>
              <w:t>да предоставя насоки и наръчници за създаване на многоведомствени структури.</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pStyle w:val="TxtPractice"/>
              <w:jc w:val="both"/>
              <w:rPr>
                <w:rFonts w:ascii="Times New Roman" w:hAnsi="Times New Roman"/>
                <w:noProof/>
                <w:color w:val="auto"/>
                <w:sz w:val="22"/>
                <w:szCs w:val="22"/>
              </w:rPr>
            </w:pPr>
            <w:r>
              <w:rPr>
                <w:rFonts w:ascii="Times New Roman" w:hAnsi="Times New Roman"/>
                <w:noProof/>
                <w:color w:val="auto"/>
                <w:sz w:val="22"/>
              </w:rPr>
              <w:t xml:space="preserve">През 2016 и 2017 г. Мрежата за осведоменост по въпросите на радикализацията публикува редица тематични документи (включително относно действията за справяне с радикализацията в контекста на местата за лишаване от свобода и пробацията, относно начина за създаване на многоведомствени структури за сътрудничество на местно равнище, относно противодействието на пропагандата, обучението за полицейски служители, действията за противодействие на радикализацията в училищата и др.), които са достъпни на следния адрес: </w:t>
            </w:r>
            <w:hyperlink r:id="rId16">
              <w:r>
                <w:rPr>
                  <w:rStyle w:val="Hyperlink"/>
                  <w:rFonts w:ascii="Times New Roman" w:hAnsi="Times New Roman"/>
                  <w:noProof/>
                  <w:sz w:val="22"/>
                </w:rPr>
                <w:t>https://ec.europa.eu/home-affairs/what-we-do/networks/radicalisation_awareness_network/ran-papers_en</w:t>
              </w:r>
            </w:hyperlink>
            <w:r>
              <w:rPr>
                <w:rFonts w:ascii="Times New Roman" w:hAnsi="Times New Roman"/>
                <w:noProof/>
                <w:color w:val="auto"/>
                <w:sz w:val="22"/>
              </w:rPr>
              <w:t xml:space="preserve"> </w:t>
            </w:r>
          </w:p>
          <w:p>
            <w:pPr>
              <w:pStyle w:val="TxtPractice"/>
              <w:jc w:val="both"/>
              <w:rPr>
                <w:rFonts w:ascii="Times New Roman" w:hAnsi="Times New Roman"/>
                <w:noProof/>
                <w:color w:val="auto"/>
                <w:sz w:val="22"/>
                <w:szCs w:val="22"/>
                <w:highlight w:val="yellow"/>
              </w:rPr>
            </w:pPr>
            <w:r>
              <w:rPr>
                <w:rFonts w:ascii="Times New Roman" w:hAnsi="Times New Roman"/>
                <w:noProof/>
                <w:color w:val="auto"/>
                <w:sz w:val="22"/>
              </w:rPr>
              <w:t>На 19 юни 2017 г. мрежата представи ръководство, озаглавено „Възможни действия спрямо завръщащи се чуждестранни бойци“, което има за цел да помогне на държавите членки да се справят с предизвикателствата, поставяни от завръщащи се чуждестранни бойци терористи. В ръководството е представен преглед на възможни подходи на специалистите в областта за реагиране при различни сценарии, включващи лица, завръщащи се от зони на конфликт.</w:t>
            </w: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1.3.</w:t>
            </w:r>
            <w:r>
              <w:rPr>
                <w:noProof/>
              </w:rPr>
              <w:tab/>
            </w:r>
            <w:r>
              <w:rPr>
                <w:rFonts w:ascii="Times New Roman" w:hAnsi="Times New Roman"/>
                <w:noProof/>
              </w:rPr>
              <w:t>Центърът за високи постижения на Мрежата за осведоменост по въпросите на радикализацията</w:t>
            </w:r>
            <w:r>
              <w:rPr>
                <w:noProof/>
              </w:rPr>
              <w:t xml:space="preserve"> </w:t>
            </w:r>
            <w:r>
              <w:rPr>
                <w:rFonts w:ascii="Times New Roman" w:hAnsi="Times New Roman"/>
                <w:noProof/>
              </w:rPr>
              <w:t>да създаде платформа за обмен на опит и практики и да прави преглед на научните изследвания в областта на радикализацията.</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pStyle w:val="TxtPractice"/>
              <w:jc w:val="both"/>
              <w:rPr>
                <w:rFonts w:ascii="Times New Roman" w:hAnsi="Times New Roman"/>
                <w:noProof/>
                <w:color w:val="auto"/>
                <w:sz w:val="22"/>
                <w:szCs w:val="22"/>
              </w:rPr>
            </w:pPr>
            <w:r>
              <w:rPr>
                <w:rFonts w:ascii="Times New Roman" w:hAnsi="Times New Roman"/>
                <w:noProof/>
                <w:color w:val="auto"/>
                <w:sz w:val="22"/>
              </w:rPr>
              <w:t>През 2016 г. Мрежата за осведоменост по въпросите на радикализацията направи преглед на последните научни заключения и на празнотите в изследователските области, които са от значение за работата на различните работни групи на мрежата.</w:t>
            </w:r>
          </w:p>
          <w:p>
            <w:pPr>
              <w:pStyle w:val="TxtPractice"/>
              <w:jc w:val="both"/>
              <w:rPr>
                <w:rFonts w:ascii="Times New Roman" w:hAnsi="Times New Roman"/>
                <w:noProof/>
                <w:color w:val="auto"/>
                <w:sz w:val="22"/>
                <w:szCs w:val="22"/>
                <w:highlight w:val="yellow"/>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2.1.</w:t>
            </w:r>
            <w:r>
              <w:rPr>
                <w:noProof/>
              </w:rPr>
              <w:tab/>
            </w:r>
            <w:r>
              <w:rPr>
                <w:rFonts w:ascii="Times New Roman" w:hAnsi="Times New Roman"/>
                <w:noProof/>
              </w:rPr>
              <w:t>Създаване на база данни със стратегии за предотвратяване на национално, регионално или местно равнище.</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 xml:space="preserve">Първата версия на базата данни с национални стратегии за предотвратяване е създадена и е публикувана онлайн: </w:t>
            </w:r>
            <w:hyperlink r:id="rId17">
              <w:r>
                <w:rPr>
                  <w:rStyle w:val="Hyperlink"/>
                  <w:rFonts w:ascii="Times New Roman" w:hAnsi="Times New Roman"/>
                  <w:noProof/>
                </w:rPr>
                <w:t>http://ec.europa.eu/dgs/home-affairs/what-we-do/networks/radicalisation_awareness_network/ran-and-member-states/repository/index_en.htm</w:t>
              </w:r>
            </w:hyperlink>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Съдържанието ще бъде актуализирано редовно.</w:t>
            </w: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2.2.</w:t>
            </w:r>
            <w:r>
              <w:rPr>
                <w:noProof/>
              </w:rPr>
              <w:tab/>
            </w:r>
            <w:r>
              <w:rPr>
                <w:rFonts w:ascii="Times New Roman" w:hAnsi="Times New Roman"/>
                <w:noProof/>
              </w:rPr>
              <w:t xml:space="preserve">Създаване на мрежи от специалисти </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Центърът за високи постижения на Мрежата за осведоменост по въпросите на радикализацията (RAN) бе създаден за подпомагане на RAN. RAN продължава да предлага на държавите членки съобразена с потребностите подкрепа, включително за създаване на национални мрежи от специалисти.</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2.3.</w:t>
            </w:r>
            <w:r>
              <w:rPr>
                <w:noProof/>
              </w:rPr>
              <w:tab/>
            </w:r>
            <w:r>
              <w:rPr>
                <w:rFonts w:ascii="Times New Roman" w:hAnsi="Times New Roman"/>
                <w:noProof/>
              </w:rPr>
              <w:t>Създаване на национални/регионални звена за контакт в държавите членки.</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През февруари 2017 г. стартира мрежата на формиращите националните политики за превенция.</w:t>
            </w:r>
          </w:p>
        </w:tc>
      </w:tr>
      <w:tr>
        <w:tc>
          <w:tcPr>
            <w:tcW w:w="4928" w:type="dxa"/>
            <w:gridSpan w:val="2"/>
            <w:tcBorders>
              <w:bottom w:val="single" w:sz="4" w:space="0" w:color="auto"/>
            </w:tcBorders>
            <w:shd w:val="clear" w:color="auto" w:fill="FFFFFF" w:themeFill="background1"/>
          </w:tcPr>
          <w:p>
            <w:pPr>
              <w:tabs>
                <w:tab w:val="left" w:pos="4275"/>
              </w:tabs>
              <w:ind w:left="480" w:hanging="480"/>
              <w:jc w:val="both"/>
              <w:rPr>
                <w:rFonts w:ascii="Times New Roman" w:hAnsi="Times New Roman" w:cs="Times New Roman"/>
                <w:noProof/>
              </w:rPr>
            </w:pPr>
            <w:r>
              <w:rPr>
                <w:rFonts w:ascii="Times New Roman" w:hAnsi="Times New Roman"/>
                <w:noProof/>
              </w:rPr>
              <w:t>3.1.</w:t>
            </w:r>
            <w:r>
              <w:rPr>
                <w:noProof/>
              </w:rPr>
              <w:tab/>
            </w:r>
            <w:r>
              <w:rPr>
                <w:rFonts w:ascii="Times New Roman" w:hAnsi="Times New Roman"/>
                <w:noProof/>
              </w:rPr>
              <w:t>Мобилизиране на научните изследвания в рамките на „Хоризонт 2020“, насочени към сложните първопричини за радикализацията, която води до насилие, за да се предоставят конкретни инструменти, позволяващи една по-добре информирана политическа намеса.</w:t>
            </w:r>
          </w:p>
          <w:p>
            <w:pPr>
              <w:tabs>
                <w:tab w:val="left" w:pos="4275"/>
              </w:tabs>
              <w:jc w:val="both"/>
              <w:rPr>
                <w:rFonts w:ascii="Times New Roman" w:hAnsi="Times New Roman" w:cs="Times New Roman"/>
                <w:noProof/>
              </w:rPr>
            </w:pPr>
          </w:p>
          <w:p>
            <w:pPr>
              <w:tabs>
                <w:tab w:val="left" w:pos="4275"/>
              </w:tabs>
              <w:jc w:val="both"/>
              <w:rPr>
                <w:rFonts w:ascii="Times New Roman" w:hAnsi="Times New Roman" w:cs="Times New Roman"/>
                <w:noProof/>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 xml:space="preserve">В ход </w:t>
            </w:r>
          </w:p>
          <w:p>
            <w:pPr>
              <w:rPr>
                <w:rFonts w:ascii="Times New Roman" w:hAnsi="Times New Roman" w:cs="Times New Roman"/>
                <w:noProof/>
              </w:rPr>
            </w:pPr>
          </w:p>
          <w:p>
            <w:pPr>
              <w:rPr>
                <w:rFonts w:ascii="Times New Roman" w:hAnsi="Times New Roman" w:cs="Times New Roman"/>
                <w:noProof/>
              </w:rPr>
            </w:pPr>
          </w:p>
        </w:tc>
        <w:tc>
          <w:tcPr>
            <w:tcW w:w="8348" w:type="dxa"/>
            <w:tcBorders>
              <w:bottom w:val="single" w:sz="4" w:space="0" w:color="auto"/>
            </w:tcBorders>
            <w:shd w:val="clear" w:color="auto" w:fill="FFFFFF" w:themeFill="background1"/>
          </w:tcPr>
          <w:p>
            <w:pPr>
              <w:jc w:val="both"/>
              <w:rPr>
                <w:rFonts w:ascii="Times New Roman" w:hAnsi="Times New Roman" w:cs="Times New Roman"/>
                <w:noProof/>
                <w:spacing w:val="-2"/>
              </w:rPr>
            </w:pPr>
            <w:r>
              <w:rPr>
                <w:rFonts w:ascii="Times New Roman" w:hAnsi="Times New Roman"/>
                <w:noProof/>
                <w:spacing w:val="-2"/>
              </w:rPr>
              <w:t>Работната програма „Сигурни общества“ на „Хоризонт 2020“ за 2016—2017 г. включва тема относно разработването на всеобхватен подход в ЕС спрямо радикализацията, която води до насилие. Неотдавна бяха избрани четири проекта на обща стойност 12 милиона евро: PERICLES, MINDb4ACT, PRACTICIES и TRIVALENT.</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Понастоящем Комисията поставя началото на размисъла по работната програма за периода 2018—2019/20 г., като научните изследвания в областта на борбата с радикализацията ще бъдат от ключово значение.</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Работната програма „Приобщаващи, новаторски и мислещи общества“ в рамките на програма „Хоризонт 2020“ за 2016—2017 г. включва две  научноизследователски теми от значение — социалният контекст на радикализацията и взаимодействието между световните тенденции на секуларизацията, от една страна, и религиозната радикализация, от друга.</w:t>
            </w:r>
          </w:p>
          <w:p>
            <w:pPr>
              <w:jc w:val="both"/>
              <w:rPr>
                <w:rFonts w:ascii="Times New Roman" w:hAnsi="Times New Roman" w:cs="Times New Roman"/>
                <w:noProof/>
              </w:rPr>
            </w:pPr>
          </w:p>
          <w:p>
            <w:pPr>
              <w:jc w:val="both"/>
              <w:rPr>
                <w:noProof/>
                <w:spacing w:val="-4"/>
              </w:rPr>
            </w:pPr>
            <w:r>
              <w:rPr>
                <w:rFonts w:ascii="Times New Roman" w:hAnsi="Times New Roman"/>
                <w:noProof/>
                <w:spacing w:val="-4"/>
              </w:rPr>
              <w:t>Други изследвания се провеждат в рамките на мрежата „Евридика“, която осигурява информация за образователните системи и политиките в областта на образованието в ЕС.</w:t>
            </w:r>
          </w:p>
          <w:p>
            <w:pPr>
              <w:jc w:val="both"/>
              <w:rPr>
                <w:rFonts w:ascii="Times New Roman" w:hAnsi="Times New Roman" w:cs="Times New Roman"/>
                <w:i/>
                <w:noProof/>
              </w:rPr>
            </w:pPr>
          </w:p>
        </w:tc>
      </w:tr>
      <w:tr>
        <w:tc>
          <w:tcPr>
            <w:tcW w:w="4928" w:type="dxa"/>
            <w:gridSpan w:val="2"/>
            <w:shd w:val="clear" w:color="auto" w:fill="FFFFFF" w:themeFill="background1"/>
          </w:tcPr>
          <w:p>
            <w:pPr>
              <w:pStyle w:val="Default"/>
              <w:ind w:left="480" w:hanging="480"/>
              <w:jc w:val="both"/>
              <w:rPr>
                <w:noProof/>
              </w:rPr>
            </w:pPr>
            <w:r>
              <w:rPr>
                <w:noProof/>
                <w:sz w:val="22"/>
              </w:rPr>
              <w:t>4.1.</w:t>
            </w:r>
            <w:r>
              <w:rPr>
                <w:noProof/>
              </w:rPr>
              <w:tab/>
            </w:r>
            <w:r>
              <w:rPr>
                <w:noProof/>
                <w:sz w:val="22"/>
              </w:rPr>
              <w:t>В рамките на Интернет форума на ЕС: разработване на Съвместна платформа за сигнализиранe за незаконно съдържание в интернет с цел по-бързо и по-ефективно сигнализиране.</w:t>
            </w:r>
            <w:r>
              <w:rPr>
                <w:noProof/>
                <w:sz w:val="22"/>
                <w:szCs w:val="22"/>
              </w:rPr>
              <w:br/>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Четири големи дружества (Facebook, Twitter, Google и Microsoft) разработиха прототип на „хеш-база данни“, който спомага за това премахнатото терористично съдържание от уебсайтове да бъде просто прехвърлено от един уебсайт на друг. Този метод функционира и понастоящем дружествата се опитват да привлекат към идеята други по-малки дружества.</w:t>
            </w: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4.2</w:t>
            </w:r>
            <w:r>
              <w:rPr>
                <w:noProof/>
              </w:rPr>
              <w:tab/>
            </w:r>
            <w:r>
              <w:rPr>
                <w:rFonts w:ascii="Times New Roman" w:hAnsi="Times New Roman"/>
                <w:noProof/>
              </w:rPr>
              <w:t>В рамките на интернет форума на ЕС: създаване на програма за овластяване на гражданското общество с цел значително увеличаване на обучението и помощта за партньорите от гражданското общество, за да се умножат ефикасните положителни алтернативни послания онлайн.</w:t>
            </w:r>
          </w:p>
          <w:p>
            <w:pPr>
              <w:ind w:left="480" w:hanging="480"/>
              <w:jc w:val="both"/>
              <w:rPr>
                <w:rFonts w:ascii="Times New Roman" w:hAnsi="Times New Roman" w:cs="Times New Roman"/>
                <w:noProof/>
              </w:rPr>
            </w:pPr>
            <w:r>
              <w:rPr>
                <w:noProof/>
              </w:rPr>
              <w:tab/>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Програмата за овластяване на гражданското общество (ПОГО) стартира на 15—16 март 2017 г., като нейната цел е да помага на участниците от гражданското общество да отхвърлят по-ефективно терористичните послания онлайн. Тя ще включва обучения, организирани от Центъра за високи постижения на Мрежата за осведоменост по въпросите на радикализацията, с подкрепата на Европейската мрежа за стратегическа комуникация и в тясно сътрудничество с партньори от сектора. Във втората фаза (2-3 четвърт на 2017 г.) ще бъде публикувана покана за представяне на предложения и впоследствие ще бъде извършена оценка на ефективността на програмата.</w:t>
            </w:r>
          </w:p>
          <w:p>
            <w:pPr>
              <w:jc w:val="both"/>
              <w:rPr>
                <w:rFonts w:ascii="Times New Roman" w:hAnsi="Times New Roman" w:cs="Times New Roman"/>
                <w:noProof/>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b/>
                <w:noProof/>
              </w:rPr>
            </w:pPr>
            <w:r>
              <w:rPr>
                <w:rFonts w:ascii="Times New Roman" w:hAnsi="Times New Roman"/>
                <w:noProof/>
              </w:rPr>
              <w:t>4.3</w:t>
            </w:r>
            <w:r>
              <w:rPr>
                <w:noProof/>
              </w:rPr>
              <w:tab/>
            </w:r>
            <w:r>
              <w:rPr>
                <w:rFonts w:ascii="Times New Roman" w:hAnsi="Times New Roman"/>
                <w:b/>
                <w:noProof/>
              </w:rPr>
              <w:t>Допълнително действие в рамките на ключово действие 4:</w:t>
            </w:r>
          </w:p>
          <w:p>
            <w:pPr>
              <w:ind w:left="480" w:hanging="480"/>
              <w:jc w:val="both"/>
              <w:rPr>
                <w:rFonts w:ascii="Times New Roman" w:hAnsi="Times New Roman" w:cs="Times New Roman"/>
                <w:b/>
                <w:noProof/>
              </w:rPr>
            </w:pPr>
          </w:p>
          <w:p>
            <w:pPr>
              <w:ind w:left="480" w:hanging="480"/>
              <w:jc w:val="both"/>
              <w:rPr>
                <w:rFonts w:ascii="Times New Roman" w:hAnsi="Times New Roman" w:cs="Times New Roman"/>
                <w:noProof/>
              </w:rPr>
            </w:pPr>
            <w:r>
              <w:rPr>
                <w:noProof/>
              </w:rPr>
              <w:tab/>
            </w:r>
            <w:r>
              <w:rPr>
                <w:rFonts w:ascii="Times New Roman" w:hAnsi="Times New Roman"/>
                <w:noProof/>
              </w:rPr>
              <w:t xml:space="preserve">Провеждане на целенасочени изследвания на използването на интернет от терористите. </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Рамковата програма 7 Project Voxpol представи и предаде първите резултати от изследванията си на интернет форума на ЕС, проведен на 8 декември 2016 г. Изследването беше фокусирано върху преглед на тероризма и насилническия екстремизъм през 2016 г., поведението онлайн на осъдените терористи и бъдещите тенденции.</w:t>
            </w: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5.1.</w:t>
            </w:r>
            <w:r>
              <w:rPr>
                <w:noProof/>
              </w:rPr>
              <w:tab/>
            </w:r>
            <w:r>
              <w:rPr>
                <w:rFonts w:ascii="Times New Roman" w:hAnsi="Times New Roman"/>
                <w:noProof/>
              </w:rPr>
              <w:t>Центърът за високи постижения на Мрежата за осведоменост по въпросите на радикализацията да предостави платформа за обмен на опит и добри практики в областта на повишаването на медийната грамотност и критичното мислене в интернет.</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 xml:space="preserve">През ноември 2016 г. работна група „Образование“ на Мрежата за осведоменост по въпросите на радикализацията организира широкомащабна среща, посветена на гражданството, медийната грамотност и критичното мислене. </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Чрез работната група относно популяризирането чрез образование на гражданските и общите ценности — свобода, толерантност и недискриминация, създадена в рамките на „Образование и обучение 2020“, през април 2016 г. беше организирано партньорско обучение в Нидерландия по въпросите на медийната грамотност, а през май 2016 г. бяха изготвени заключенията на Съвета, приети от Съвета по образование.</w:t>
            </w:r>
          </w:p>
          <w:p>
            <w:pPr>
              <w:jc w:val="both"/>
              <w:rPr>
                <w:noProof/>
              </w:rPr>
            </w:pPr>
          </w:p>
        </w:tc>
      </w:tr>
      <w:tr>
        <w:tc>
          <w:tcPr>
            <w:tcW w:w="4928" w:type="dxa"/>
            <w:gridSpan w:val="2"/>
            <w:shd w:val="clear" w:color="auto" w:fill="FFFFFF" w:themeFill="background1"/>
          </w:tcPr>
          <w:p>
            <w:pPr>
              <w:tabs>
                <w:tab w:val="left" w:pos="1290"/>
              </w:tabs>
              <w:ind w:left="480" w:hanging="480"/>
              <w:jc w:val="both"/>
              <w:rPr>
                <w:rFonts w:ascii="Times New Roman" w:hAnsi="Times New Roman" w:cs="Times New Roman"/>
                <w:noProof/>
              </w:rPr>
            </w:pPr>
            <w:r>
              <w:rPr>
                <w:rFonts w:ascii="Times New Roman" w:hAnsi="Times New Roman"/>
                <w:noProof/>
              </w:rPr>
              <w:t>5.2.</w:t>
            </w:r>
            <w:r>
              <w:rPr>
                <w:noProof/>
              </w:rPr>
              <w:tab/>
            </w:r>
            <w:r>
              <w:rPr>
                <w:rFonts w:ascii="Times New Roman" w:hAnsi="Times New Roman"/>
                <w:noProof/>
              </w:rPr>
              <w:t>Центърът за високи постижения на Мрежата за осведоменост по въпросите на радикализацията да изготви общоевропейска информационна кампания с цел укрепване на устойчивостта срещу радикализацията онлайн и предоставяне на алтернативни послания или алтернативни действия (кампания Exit Hate (Сбогом на омразата).</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 xml:space="preserve">В ход </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През септември 2016 г. стартира шестседмичната пилотна кампания „EXIT HATE“ — платформа за представяне на инициативи и положителни случки (включително за и от млади хора) от цяла Европа, чрез която се насърчават алтернативите на екстремистката пропаганда.</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6.1.</w:t>
            </w:r>
            <w:r>
              <w:rPr>
                <w:noProof/>
              </w:rPr>
              <w:tab/>
            </w:r>
            <w:r>
              <w:rPr>
                <w:rFonts w:ascii="Times New Roman" w:hAnsi="Times New Roman"/>
                <w:noProof/>
              </w:rPr>
              <w:t>Контролиране от Комисията и съответните ИТ компании на публичните ангажименти в кодекса на поведение за противодействие на незаконната реч на омразата онлайн, включително тяхното въздействие.</w:t>
            </w:r>
          </w:p>
          <w:p>
            <w:pPr>
              <w:ind w:left="480" w:hanging="480"/>
              <w:jc w:val="both"/>
              <w:rPr>
                <w:rFonts w:ascii="Times New Roman" w:hAnsi="Times New Roman" w:cs="Times New Roman"/>
                <w:noProof/>
              </w:rPr>
            </w:pPr>
            <w:r>
              <w:rPr>
                <w:rFonts w:ascii="Times New Roman" w:hAnsi="Times New Roman"/>
                <w:noProof/>
              </w:rPr>
              <w:t xml:space="preserve"> </w:t>
            </w:r>
            <w:r>
              <w:rPr>
                <w:rFonts w:ascii="Times New Roman" w:hAnsi="Times New Roman" w:cs="Times New Roman"/>
                <w:noProof/>
              </w:rPr>
              <w:br/>
            </w:r>
          </w:p>
          <w:p>
            <w:pPr>
              <w:ind w:left="480" w:hanging="480"/>
              <w:jc w:val="both"/>
              <w:rPr>
                <w:rFonts w:ascii="Times New Roman" w:hAnsi="Times New Roman" w:cs="Times New Roman"/>
                <w:noProof/>
              </w:rPr>
            </w:pP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 xml:space="preserve">Резултатите от втория мониторинг на прилагането на Кодекса на поведение бяха представени на 31 май 2017 г. и показаха значително подобрение на процента на отстранено съдържание и на скоростта на действие. Същевременно работата трябва да се фокусира повече върху повишаване на прозрачността и предоставяне на обратна информация на потребителите (вж. точка 6.2). </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На 23 май 2017 г. Съветът достигна до общ подход по предложението за преработена директива за аудиовизуална медийна услуга. Една от целите на предложените изменения на Директивата за аудиовизуална медийна услуга е да се гарантира, че от платформите за споделяне на видеоклипове ще бъде изисквано да вземат подходящи мерки за защита на гражданите от стимулиране към насилие или омраза (обозначаване с флаг и/или съобщаване).</w:t>
            </w:r>
          </w:p>
          <w:p>
            <w:pPr>
              <w:jc w:val="both"/>
              <w:rPr>
                <w:rFonts w:ascii="Times New Roman" w:hAnsi="Times New Roman" w:cs="Times New Roman"/>
                <w:noProof/>
                <w:highlight w:val="cyan"/>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6.2.</w:t>
            </w:r>
            <w:r>
              <w:rPr>
                <w:noProof/>
              </w:rPr>
              <w:tab/>
            </w:r>
            <w:r>
              <w:rPr>
                <w:rFonts w:ascii="Times New Roman" w:hAnsi="Times New Roman"/>
                <w:noProof/>
              </w:rPr>
              <w:t>Комисията и съответните ИТ компании да подобрят прозрачността при прилагането на процедурите за сигнализиране и отстраняване на съдържание.</w:t>
            </w:r>
          </w:p>
          <w:p>
            <w:pPr>
              <w:ind w:left="480" w:hanging="480"/>
              <w:jc w:val="both"/>
              <w:rPr>
                <w:rFonts w:ascii="Times New Roman" w:hAnsi="Times New Roman" w:cs="Times New Roman"/>
                <w:b/>
                <w:noProof/>
                <w:color w:val="000000"/>
              </w:rPr>
            </w:pP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По-нататъшната работа с ИТ дружествата ще бъде фокусирана върху процедурите, приложими спрямо конкретните потребители, засегнати от сигнализирането, както и спрямо обществеността като цяло и ще насърчава контрапропагандата и алтернативните послания. Междинният преглед на изпълнението на стратегията за цифров единен пазар, публикуван на 10 май 2017 г., потвърди необходимостта от продължаване на работата за установяване на минимални процедурни изисквания за уведомяването и предприемането на действия от онлайн посредниците.</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b/>
                <w:i/>
                <w:noProof/>
                <w:color w:val="000000"/>
              </w:rPr>
            </w:pPr>
            <w:r>
              <w:rPr>
                <w:rFonts w:ascii="Times New Roman" w:hAnsi="Times New Roman"/>
                <w:b/>
                <w:i/>
                <w:noProof/>
                <w:color w:val="000000"/>
              </w:rPr>
              <w:t>Допълнително действие 1 в областта на онлайн измерението:</w:t>
            </w:r>
          </w:p>
          <w:p>
            <w:pPr>
              <w:ind w:left="480" w:hanging="480"/>
              <w:jc w:val="both"/>
              <w:rPr>
                <w:rFonts w:ascii="Times New Roman" w:hAnsi="Times New Roman" w:cs="Times New Roman"/>
                <w:b/>
                <w:noProof/>
                <w:color w:val="000000"/>
              </w:rPr>
            </w:pPr>
          </w:p>
          <w:p>
            <w:pPr>
              <w:ind w:left="480" w:hanging="480"/>
              <w:jc w:val="both"/>
              <w:rPr>
                <w:rFonts w:ascii="Times New Roman" w:hAnsi="Times New Roman" w:cs="Times New Roman"/>
                <w:noProof/>
              </w:rPr>
            </w:pPr>
            <w:r>
              <w:rPr>
                <w:noProof/>
              </w:rPr>
              <w:tab/>
            </w:r>
            <w:r>
              <w:rPr>
                <w:rFonts w:ascii="Times New Roman" w:hAnsi="Times New Roman"/>
                <w:noProof/>
              </w:rPr>
              <w:t>Подпомагане на гражданското общество в наблюдението и намаляването на привлекателността и въздействието на речта на омразата чрез програмата за права, равенство и гражданство.</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През 2017 г. Комисията увеличи на 7 милиона евро финансирането за борбата с расизма и ксенофобията, като от тях 1,5 милиона евро са заделени специално за противодействие на речта на омразата онлайн, включително чрез разработването на послания в противодействие на радикализацията.</w:t>
            </w: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b/>
                <w:i/>
                <w:noProof/>
                <w:color w:val="000000"/>
              </w:rPr>
            </w:pPr>
            <w:r>
              <w:rPr>
                <w:rFonts w:ascii="Times New Roman" w:hAnsi="Times New Roman"/>
                <w:b/>
                <w:i/>
                <w:noProof/>
                <w:color w:val="000000"/>
              </w:rPr>
              <w:t>Допълнително действие 2 в областта на онлайн измерението:</w:t>
            </w:r>
          </w:p>
          <w:p>
            <w:pPr>
              <w:ind w:left="480" w:hanging="480"/>
              <w:jc w:val="both"/>
              <w:rPr>
                <w:rFonts w:ascii="Times New Roman" w:hAnsi="Times New Roman" w:cs="Times New Roman"/>
                <w:b/>
                <w:noProof/>
                <w:color w:val="000000"/>
              </w:rPr>
            </w:pPr>
          </w:p>
          <w:p>
            <w:pPr>
              <w:ind w:left="480" w:hanging="480"/>
              <w:jc w:val="both"/>
              <w:rPr>
                <w:rFonts w:ascii="Times New Roman" w:hAnsi="Times New Roman" w:cs="Times New Roman"/>
                <w:noProof/>
              </w:rPr>
            </w:pPr>
            <w:r>
              <w:rPr>
                <w:noProof/>
              </w:rPr>
              <w:tab/>
            </w:r>
            <w:r>
              <w:rPr>
                <w:rFonts w:ascii="Times New Roman" w:hAnsi="Times New Roman"/>
                <w:noProof/>
              </w:rPr>
              <w:t>Продължаване на финансирането на Консултативния екип за стратегически комуникации/Мрежата за стратегически комуникации, разработване на подходяща рамка за политики, осведомителни кампании или отделни инициативи.</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Европейската мрежа за стратегическа комуникация (ESCN), която е проект, ръководен от Белгия, се опира на проекта за Консултативен екип за стратегически комуникации относно Сирия (SSCAT), натоварен с организирането и улесняването на работата на мрежа от държави членки, с цел осъществяване на обмен на най-добри практики за използването на стратегически комуникации при борбата с тероризма и насилническия екстремизъм. Мрежата се съфинансира от безвъзмездните средства за дейности на инструмента за финансово подпомагане на полицейското сътрудничество (ISF-Police) (максимална сума в размер на 1 150 000 EUR).</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7</w:t>
            </w:r>
            <w:r>
              <w:rPr>
                <w:noProof/>
              </w:rPr>
              <w:tab/>
            </w:r>
            <w:r>
              <w:rPr>
                <w:rFonts w:ascii="Times New Roman" w:hAnsi="Times New Roman"/>
                <w:noProof/>
              </w:rPr>
              <w:t>Центърът за високи постижения на Мрежата за осведоменост по въпросите на радикализацията да обменя добри практики и да формулира политически препоръки във връзка с предотвратяването на радикализацията за практикуващи специалисти на първа линия (включително, когато е подходящо, съдии и прокурори), което обхваща секторите на затворите и пробацията.</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 xml:space="preserve">Работната група по въпросите, свързани със затворите и пробацията, в рамките на Мрежата за осведоменост по въпросите на радикализацията продължава да засилва обмена на най-добри практики сред практикуващите специалисти и ще докладва за дейността си в края на 2017 г. </w:t>
            </w:r>
          </w:p>
          <w:p>
            <w:pPr>
              <w:jc w:val="both"/>
              <w:rPr>
                <w:rFonts w:ascii="Times New Roman" w:hAnsi="Times New Roman" w:cs="Times New Roman"/>
                <w:noProof/>
              </w:rPr>
            </w:pPr>
          </w:p>
          <w:p>
            <w:pPr>
              <w:pStyle w:val="Para3"/>
              <w:numPr>
                <w:ilvl w:val="0"/>
                <w:numId w:val="0"/>
              </w:numPr>
              <w:tabs>
                <w:tab w:val="clear" w:pos="992"/>
                <w:tab w:val="left" w:pos="454"/>
              </w:tabs>
              <w:jc w:val="both"/>
              <w:rPr>
                <w:rFonts w:ascii="Times New Roman" w:hAnsi="Times New Roman"/>
                <w:sz w:val="22"/>
                <w:szCs w:val="22"/>
              </w:rPr>
            </w:pPr>
            <w:r>
              <w:rPr>
                <w:rFonts w:ascii="Times New Roman" w:hAnsi="Times New Roman"/>
                <w:sz w:val="22"/>
              </w:rPr>
              <w:t>Програма „Правосъдие“ предоставя безвъзмездни средства за оперативни разходи на Европейската организация на затворите и изправителните институции (EuroPris), обединяваща представители на администрацията на затворите, както и на Европейската организация за пробация (Confédération Européenne de Probation — CEP). Тези организации организират редовни срещи на практикуващи специалисти с цел обсъждане на въпросите, свързани с радикализацията.</w:t>
            </w:r>
          </w:p>
          <w:p>
            <w:pPr>
              <w:jc w:val="both"/>
              <w:rPr>
                <w:rFonts w:ascii="Times New Roman" w:hAnsi="Times New Roman" w:cs="Times New Roman"/>
                <w:noProof/>
              </w:rPr>
            </w:pPr>
            <w:r>
              <w:rPr>
                <w:rFonts w:ascii="Times New Roman" w:hAnsi="Times New Roman"/>
                <w:noProof/>
              </w:rPr>
              <w:t>Програма „Еразъм+“ оказва подкрепа за програми за обучение в затворите, които имат за цел предотвратяване и преодоляване на радикализацията. Проектът „Предотвратяване на радикализацията в затворите“ (R2PRIS) стартира през декември 2015 г. с цел да се помогне на персонала на първа линия (служители на затворите, преподавателски персонал и психолози, социални работници и др.) да идентифицира, докладва и тълкува признаците на радикализация и да реагира по подходящ начин. Проектът се изпълнява в пет държави (Португалия, Норвегия, Турция, Белгия и Румъния) и ще обхване 160 обучителни сесии до август 2018 г.</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8</w:t>
            </w:r>
            <w:r>
              <w:rPr>
                <w:noProof/>
              </w:rPr>
              <w:tab/>
            </w:r>
            <w:r>
              <w:rPr>
                <w:rFonts w:ascii="Times New Roman" w:hAnsi="Times New Roman"/>
                <w:noProof/>
              </w:rPr>
              <w:t>Предоставяне на финансова помощ, за да се помогне на държавите членки да разработят инструменти за оценка на риска.</w:t>
            </w:r>
          </w:p>
          <w:p>
            <w:pPr>
              <w:ind w:left="480" w:hanging="480"/>
              <w:jc w:val="both"/>
              <w:rPr>
                <w:rFonts w:ascii="Times New Roman" w:hAnsi="Times New Roman" w:cs="Times New Roman"/>
                <w:noProof/>
              </w:rPr>
            </w:pPr>
          </w:p>
          <w:p>
            <w:pPr>
              <w:pStyle w:val="Default"/>
              <w:jc w:val="both"/>
              <w:rPr>
                <w:noProof/>
              </w:rPr>
            </w:pP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p>
            <w:pPr>
              <w:rPr>
                <w:rFonts w:ascii="Times New Roman" w:hAnsi="Times New Roman" w:cs="Times New Roman"/>
                <w:noProof/>
              </w:rPr>
            </w:pPr>
          </w:p>
        </w:tc>
        <w:tc>
          <w:tcPr>
            <w:tcW w:w="8348" w:type="dxa"/>
            <w:shd w:val="clear" w:color="auto" w:fill="FFFFFF" w:themeFill="background1"/>
          </w:tcPr>
          <w:p>
            <w:pPr>
              <w:pStyle w:val="Para1"/>
              <w:numPr>
                <w:ilvl w:val="0"/>
                <w:numId w:val="0"/>
              </w:numPr>
              <w:jc w:val="both"/>
              <w:rPr>
                <w:rFonts w:ascii="Times New Roman" w:hAnsi="Times New Roman"/>
                <w:sz w:val="22"/>
                <w:szCs w:val="22"/>
              </w:rPr>
            </w:pPr>
            <w:bookmarkStart w:id="2" w:name="_Ref474158607"/>
            <w:r>
              <w:rPr>
                <w:rFonts w:ascii="Times New Roman" w:hAnsi="Times New Roman"/>
                <w:sz w:val="22"/>
              </w:rPr>
              <w:t xml:space="preserve">В съответствие със стратегическия акцент върху предотвратяването на радикализацията в затворите и интегрирането на превъзпитанието в действията на наказателното правосъдие, през </w:t>
            </w:r>
            <w:r>
              <w:rPr>
                <w:rFonts w:ascii="Times New Roman" w:hAnsi="Times New Roman"/>
                <w:b/>
                <w:sz w:val="22"/>
              </w:rPr>
              <w:t>2015 г.</w:t>
            </w:r>
            <w:r>
              <w:rPr>
                <w:rFonts w:ascii="Times New Roman" w:hAnsi="Times New Roman"/>
                <w:sz w:val="22"/>
              </w:rPr>
              <w:t xml:space="preserve"> Комисията публикува по линия на Програма „Правосъдие“ за периода 2014—2020 г. две покани за представяне на предложения:</w:t>
            </w:r>
            <w:bookmarkEnd w:id="2"/>
          </w:p>
          <w:p>
            <w:pPr>
              <w:pStyle w:val="Para4"/>
              <w:numPr>
                <w:ilvl w:val="0"/>
                <w:numId w:val="0"/>
              </w:numPr>
              <w:ind w:left="454" w:hanging="454"/>
              <w:jc w:val="both"/>
              <w:rPr>
                <w:rFonts w:ascii="Times New Roman" w:hAnsi="Times New Roman"/>
                <w:sz w:val="22"/>
                <w:szCs w:val="22"/>
              </w:rPr>
            </w:pPr>
            <w:r>
              <w:rPr>
                <w:rFonts w:ascii="Times New Roman" w:hAnsi="Times New Roman"/>
                <w:sz w:val="22"/>
              </w:rPr>
              <w:t>а)</w:t>
            </w:r>
            <w:r>
              <w:rPr>
                <w:rFonts w:ascii="Times New Roman" w:hAnsi="Times New Roman"/>
                <w:sz w:val="22"/>
              </w:rPr>
              <w:tab/>
              <w:t>JUST/2015/JCOO/AG/TERR: безвъзмездни средства за дейности в подкрепа на съдебното сътрудничество по наказателни въпроси, свързано с действията на наказателното правосъдие в отговор на тероризма и радикализацията, която води до насилие (бюджетът е 1 милион евро; избрани са три проекта).</w:t>
            </w:r>
          </w:p>
          <w:p>
            <w:pPr>
              <w:pStyle w:val="Para4"/>
              <w:numPr>
                <w:ilvl w:val="0"/>
                <w:numId w:val="0"/>
              </w:numPr>
              <w:ind w:left="454" w:hanging="454"/>
              <w:jc w:val="both"/>
              <w:rPr>
                <w:rFonts w:ascii="Times New Roman" w:hAnsi="Times New Roman"/>
                <w:sz w:val="22"/>
                <w:szCs w:val="22"/>
              </w:rPr>
            </w:pPr>
            <w:r>
              <w:rPr>
                <w:rFonts w:ascii="Times New Roman" w:hAnsi="Times New Roman"/>
                <w:sz w:val="22"/>
              </w:rPr>
              <w:t>б)</w:t>
            </w:r>
            <w:r>
              <w:rPr>
                <w:rFonts w:ascii="Times New Roman" w:hAnsi="Times New Roman"/>
                <w:sz w:val="22"/>
              </w:rPr>
              <w:tab/>
              <w:t xml:space="preserve">JUST/2015/JTRA/AG/EJTR: Безвъзмездни средства за дейности в подкрепа на европейското съдебно обучение (бюджетът е 1,5 милион евро </w:t>
            </w:r>
            <w:r>
              <w:rPr>
                <w:rFonts w:ascii="Times New Roman" w:hAnsi="Times New Roman"/>
                <w:b/>
                <w:sz w:val="22"/>
              </w:rPr>
              <w:t xml:space="preserve"> </w:t>
            </w:r>
            <w:r>
              <w:rPr>
                <w:rFonts w:ascii="Times New Roman" w:hAnsi="Times New Roman"/>
                <w:sz w:val="22"/>
              </w:rPr>
              <w:t xml:space="preserve"> и е на разположение за частта, отнасяща се до „съдебните аспекти на борбата срещу тероризма и организираната престъпност“ и „предотвратяването на радикализацията по време на лишаване от свобода“; избрани са пет проекта).</w:t>
            </w:r>
          </w:p>
          <w:p>
            <w:pPr>
              <w:autoSpaceDE w:val="0"/>
              <w:autoSpaceDN w:val="0"/>
              <w:jc w:val="both"/>
              <w:rPr>
                <w:rFonts w:ascii="Times New Roman" w:hAnsi="Times New Roman" w:cs="Times New Roman"/>
                <w:noProof/>
              </w:rPr>
            </w:pPr>
            <w:r>
              <w:rPr>
                <w:rFonts w:ascii="Times New Roman" w:hAnsi="Times New Roman"/>
                <w:noProof/>
              </w:rPr>
              <w:t>През 2016 г. имаше само една покана за съдебно сътрудничество (JUST-JCOO-TERR-AG-2016), с бюджет от 4 милиона евро, като тя също включваше обучение на съдии в областта на радикализацията (бяха избрани 10 проекта и други три бяха поставени в резервния списък).</w:t>
            </w:r>
          </w:p>
          <w:p>
            <w:pPr>
              <w:autoSpaceDE w:val="0"/>
              <w:autoSpaceDN w:val="0"/>
              <w:jc w:val="both"/>
              <w:rPr>
                <w:rFonts w:ascii="Times New Roman" w:hAnsi="Times New Roman" w:cs="Times New Roman"/>
                <w:noProof/>
              </w:rPr>
            </w:pPr>
          </w:p>
          <w:p>
            <w:pPr>
              <w:autoSpaceDE w:val="0"/>
              <w:autoSpaceDN w:val="0"/>
              <w:jc w:val="both"/>
              <w:rPr>
                <w:rFonts w:ascii="Times New Roman" w:hAnsi="Times New Roman" w:cs="Times New Roman"/>
                <w:noProof/>
              </w:rPr>
            </w:pPr>
            <w:r>
              <w:rPr>
                <w:rFonts w:ascii="Times New Roman" w:hAnsi="Times New Roman"/>
                <w:noProof/>
              </w:rPr>
              <w:t>В годишната работна програма в областта на правосъдието за 2017 г. (под тема „Съдебно сътрудничество по наказателни въпроси“) се отдава приоритет на ефикасния принос към Европейската програма за сигурност що се отнася до реакцията на органите на съдебната власт спрямо тероризма, и по-специално спрямо борбата с финансирането на тероризма и засилването на превенцията срещу радикализацията, особено в затворите.</w:t>
            </w: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9</w:t>
            </w:r>
            <w:r>
              <w:rPr>
                <w:noProof/>
              </w:rPr>
              <w:tab/>
            </w:r>
            <w:r>
              <w:rPr>
                <w:rFonts w:ascii="Times New Roman" w:hAnsi="Times New Roman"/>
                <w:noProof/>
              </w:rPr>
              <w:t>Подкрепа за разработването на програми за образование и обучение в затворите (включително професионално обучение), за да се улесни реинтеграцията на задържаните лица в обществото.</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„Еразъм+“ може да подпомага проекти за учене на възрастни, които могат да имат за цел повишаване на квалификацията и въвеждане на мерки за реинтеграция в затворите. През януари 2017 г. беше поставено началото на няколко проекта (избрани по линия на поканата в областта на социалното приобщаване, публикувана в рамките на „Еразъм+“) на обща стойност 1,3 милиона евро.</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Европейският социален фонд оказва подкрепа за широк кръг от мерки за социално приобщаване, свързани с дерадикализирането и повторната интеграция на пазара на труда след освобождаване от затвора.</w:t>
            </w:r>
          </w:p>
          <w:p>
            <w:pPr>
              <w:jc w:val="both"/>
              <w:rPr>
                <w:rFonts w:ascii="Times New Roman" w:hAnsi="Times New Roman" w:cs="Times New Roman"/>
                <w:noProof/>
              </w:rPr>
            </w:pPr>
          </w:p>
        </w:tc>
      </w:tr>
      <w:tr>
        <w:tc>
          <w:tcPr>
            <w:tcW w:w="4908" w:type="dxa"/>
            <w:shd w:val="clear" w:color="auto" w:fill="FFFFFF" w:themeFill="background1"/>
          </w:tcPr>
          <w:p>
            <w:pPr>
              <w:tabs>
                <w:tab w:val="left" w:pos="4830"/>
              </w:tabs>
              <w:ind w:left="480" w:hanging="480"/>
              <w:jc w:val="both"/>
              <w:rPr>
                <w:rFonts w:ascii="Times New Roman" w:hAnsi="Times New Roman" w:cs="Times New Roman"/>
                <w:noProof/>
              </w:rPr>
            </w:pPr>
            <w:r>
              <w:rPr>
                <w:rFonts w:ascii="Times New Roman" w:hAnsi="Times New Roman"/>
                <w:noProof/>
              </w:rPr>
              <w:t>10.</w:t>
            </w:r>
            <w:r>
              <w:rPr>
                <w:noProof/>
              </w:rPr>
              <w:tab/>
            </w:r>
            <w:r>
              <w:rPr>
                <w:rFonts w:ascii="Times New Roman" w:hAnsi="Times New Roman"/>
                <w:noProof/>
              </w:rPr>
              <w:t>Подкрепа за разработването от държавите членки на програми за превъзпитание на затворници</w:t>
            </w:r>
            <w:r>
              <w:rPr>
                <w:noProof/>
              </w:rPr>
              <w:t xml:space="preserve"> </w:t>
            </w:r>
            <w:r>
              <w:rPr>
                <w:rFonts w:ascii="Times New Roman" w:hAnsi="Times New Roman"/>
                <w:noProof/>
              </w:rPr>
              <w:t>и за обмена на добри практики и политики в областта на изпълнението на наказанията.</w:t>
            </w:r>
          </w:p>
          <w:p>
            <w:pPr>
              <w:tabs>
                <w:tab w:val="left" w:pos="4830"/>
              </w:tabs>
              <w:ind w:left="480" w:hanging="480"/>
              <w:jc w:val="both"/>
              <w:rPr>
                <w:rFonts w:ascii="Times New Roman" w:hAnsi="Times New Roman" w:cs="Times New Roman"/>
                <w:noProof/>
              </w:rPr>
            </w:pPr>
          </w:p>
        </w:tc>
        <w:tc>
          <w:tcPr>
            <w:tcW w:w="992" w:type="dxa"/>
            <w:gridSpan w:val="2"/>
            <w:shd w:val="clear" w:color="auto" w:fill="FFFFFF" w:themeFill="background1"/>
          </w:tcPr>
          <w:p>
            <w:pPr>
              <w:jc w:val="both"/>
              <w:rPr>
                <w:rFonts w:ascii="Times New Roman" w:hAnsi="Times New Roman" w:cs="Times New Roman"/>
                <w:noProof/>
              </w:rPr>
            </w:pPr>
            <w:r>
              <w:rPr>
                <w:rFonts w:ascii="Times New Roman" w:hAnsi="Times New Roman"/>
                <w:noProof/>
              </w:rPr>
              <w:t>В ход</w:t>
            </w:r>
          </w:p>
        </w:tc>
        <w:tc>
          <w:tcPr>
            <w:tcW w:w="8368" w:type="dxa"/>
            <w:gridSpan w:val="2"/>
            <w:shd w:val="clear" w:color="auto" w:fill="FFFFFF" w:themeFill="background1"/>
          </w:tcPr>
          <w:p>
            <w:pPr>
              <w:tabs>
                <w:tab w:val="left" w:pos="3845"/>
              </w:tabs>
              <w:jc w:val="both"/>
              <w:rPr>
                <w:rFonts w:ascii="Times New Roman" w:hAnsi="Times New Roman" w:cs="Times New Roman"/>
                <w:noProof/>
              </w:rPr>
            </w:pPr>
            <w:r>
              <w:rPr>
                <w:rFonts w:ascii="Times New Roman" w:hAnsi="Times New Roman"/>
                <w:noProof/>
              </w:rPr>
              <w:t>Комисията предоставя финансиране за разработването на програмите за превъзпитание на затворници</w:t>
            </w:r>
            <w:r>
              <w:rPr>
                <w:noProof/>
              </w:rPr>
              <w:t xml:space="preserve"> </w:t>
            </w:r>
            <w:r>
              <w:rPr>
                <w:rFonts w:ascii="Times New Roman" w:hAnsi="Times New Roman"/>
                <w:noProof/>
              </w:rPr>
              <w:t>и за обмен на най-добри практики, вж. ключово действие 8.</w:t>
            </w:r>
          </w:p>
          <w:p>
            <w:pPr>
              <w:tabs>
                <w:tab w:val="left" w:pos="3845"/>
              </w:tabs>
              <w:jc w:val="both"/>
              <w:rPr>
                <w:rFonts w:ascii="Times New Roman" w:hAnsi="Times New Roman" w:cs="Times New Roman"/>
                <w:noProof/>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11</w:t>
            </w:r>
            <w:r>
              <w:rPr>
                <w:noProof/>
              </w:rPr>
              <w:tab/>
            </w:r>
            <w:r>
              <w:rPr>
                <w:rFonts w:ascii="Times New Roman" w:hAnsi="Times New Roman"/>
                <w:noProof/>
              </w:rPr>
              <w:t>Насърчаване на обмена на информация от страна на специализирани прокурори в рамките на Евроюст.</w:t>
            </w:r>
          </w:p>
          <w:p>
            <w:pPr>
              <w:jc w:val="both"/>
              <w:rPr>
                <w:rFonts w:ascii="Times New Roman" w:hAnsi="Times New Roman" w:cs="Times New Roman"/>
                <w:noProof/>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Евроюст ще продължи да организира срещи на националните си кореспонденти по въпросите на тероризма, за да могат да продължат да обменят мнения в рамките на тактически заседания. Евроюст ще продължи да изготвя:</w:t>
            </w:r>
          </w:p>
          <w:p>
            <w:pPr>
              <w:ind w:left="454" w:hanging="454"/>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 xml:space="preserve">прегледа на съдебните решения в областта на тероризма (Terrorism Conviction Monitor — TCM) </w:t>
            </w:r>
          </w:p>
          <w:p>
            <w:pPr>
              <w:tabs>
                <w:tab w:val="left" w:pos="459"/>
              </w:tabs>
              <w:jc w:val="both"/>
              <w:rPr>
                <w:rFonts w:ascii="Times New Roman" w:hAnsi="Times New Roman" w:cs="Times New Roman"/>
                <w:noProof/>
              </w:rPr>
            </w:pPr>
            <w:r>
              <w:rPr>
                <w:rFonts w:ascii="Times New Roman" w:hAnsi="Times New Roman"/>
                <w:noProof/>
              </w:rPr>
              <w:t>•</w:t>
            </w:r>
            <w:r>
              <w:rPr>
                <w:noProof/>
              </w:rPr>
              <w:tab/>
            </w:r>
            <w:r>
              <w:rPr>
                <w:rFonts w:ascii="Times New Roman" w:hAnsi="Times New Roman"/>
                <w:noProof/>
              </w:rPr>
              <w:t>докладите за чуждестранните бойци</w:t>
            </w:r>
          </w:p>
          <w:p>
            <w:pPr>
              <w:jc w:val="both"/>
              <w:rPr>
                <w:rFonts w:ascii="Times New Roman" w:hAnsi="Times New Roman" w:cs="Times New Roman"/>
                <w:noProof/>
              </w:rPr>
            </w:pPr>
          </w:p>
        </w:tc>
      </w:tr>
      <w:tr>
        <w:tc>
          <w:tcPr>
            <w:tcW w:w="4928" w:type="dxa"/>
            <w:gridSpan w:val="2"/>
            <w:tcBorders>
              <w:bottom w:val="single" w:sz="4" w:space="0" w:color="auto"/>
            </w:tcBorders>
            <w:shd w:val="clear" w:color="auto" w:fill="auto"/>
          </w:tcPr>
          <w:p>
            <w:pPr>
              <w:ind w:left="480" w:hanging="480"/>
              <w:jc w:val="both"/>
              <w:rPr>
                <w:rFonts w:ascii="Times New Roman" w:hAnsi="Times New Roman" w:cs="Times New Roman"/>
                <w:b/>
                <w:i/>
                <w:noProof/>
                <w:color w:val="000000"/>
              </w:rPr>
            </w:pPr>
            <w:r>
              <w:rPr>
                <w:noProof/>
              </w:rPr>
              <w:tab/>
            </w:r>
            <w:r>
              <w:rPr>
                <w:rFonts w:ascii="Times New Roman" w:hAnsi="Times New Roman"/>
                <w:b/>
                <w:i/>
                <w:noProof/>
                <w:color w:val="000000"/>
              </w:rPr>
              <w:t>Допълнително действие в областта на затворите:</w:t>
            </w:r>
          </w:p>
          <w:p>
            <w:pPr>
              <w:ind w:left="480" w:hanging="480"/>
              <w:jc w:val="both"/>
              <w:rPr>
                <w:rFonts w:ascii="Times New Roman" w:hAnsi="Times New Roman" w:cs="Times New Roman"/>
                <w:b/>
                <w:i/>
                <w:noProof/>
                <w:color w:val="000000"/>
              </w:rPr>
            </w:pPr>
          </w:p>
          <w:p>
            <w:pPr>
              <w:ind w:left="480" w:hanging="480"/>
              <w:jc w:val="both"/>
              <w:rPr>
                <w:rFonts w:ascii="Times New Roman" w:hAnsi="Times New Roman" w:cs="Times New Roman"/>
                <w:noProof/>
              </w:rPr>
            </w:pPr>
            <w:r>
              <w:rPr>
                <w:noProof/>
              </w:rPr>
              <w:tab/>
            </w:r>
            <w:r>
              <w:rPr>
                <w:rFonts w:ascii="Times New Roman" w:hAnsi="Times New Roman"/>
                <w:noProof/>
              </w:rPr>
              <w:t>Подкрепа за обучението на служителите в затворите и пробационните служби, както и на съдиите и прокурорите.</w:t>
            </w:r>
          </w:p>
        </w:tc>
        <w:tc>
          <w:tcPr>
            <w:tcW w:w="992" w:type="dxa"/>
            <w:gridSpan w:val="2"/>
            <w:tcBorders>
              <w:bottom w:val="single" w:sz="4" w:space="0" w:color="auto"/>
            </w:tcBorders>
            <w:shd w:val="clear" w:color="auto" w:fill="auto"/>
          </w:tcPr>
          <w:p>
            <w:pPr>
              <w:tabs>
                <w:tab w:val="left" w:pos="2205"/>
              </w:tabs>
              <w:ind w:left="480" w:hanging="480"/>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auto"/>
          </w:tcPr>
          <w:p>
            <w:pPr>
              <w:jc w:val="both"/>
              <w:rPr>
                <w:rFonts w:ascii="Times New Roman" w:hAnsi="Times New Roman" w:cs="Times New Roman"/>
                <w:noProof/>
              </w:rPr>
            </w:pPr>
            <w:r>
              <w:rPr>
                <w:rFonts w:ascii="Times New Roman" w:hAnsi="Times New Roman"/>
                <w:noProof/>
              </w:rPr>
              <w:t>През май 2016 г. Комисията организира конференция за организациите, предоставящи образование или обучение, с цел борба срещу тероризма и радикализацията; тя си сътрудничи с Европейската мрежа на академиите за обучение на служителите на затворите (EPTA), с Europris и с Европейската организация за пробация, с цел изграждане на по-устойчиво трансгранично сътрудничество във връзка с обучението на служителите в затворите и пробационните служби по въпросите, отнасящи се до мерките за дерадикализиране.</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RAN, EuroPris и EPTA подготвят сборник презентации и дейности от обучения, предназначени за работещите в затворите.</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 xml:space="preserve">RAN и консорциумът IMPACT Europe предлагат обучение за заинтересованите страни в държавите членки по въпросите на оценяването на действията, насочени към предотвратяване и борба с радикализацията в контекста на местата за лишаване от свобода и пробацията. </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За да ускори създаването на всички проекти, върху които е поставен акцент в Заключенията на Съвета в областта на наказателното правосъдие, Комисията е предвидила предоставяне на финансови средства (над 6,5 милиона евро през 2015 и 2016 г.).</w:t>
            </w:r>
          </w:p>
          <w:p>
            <w:pPr>
              <w:tabs>
                <w:tab w:val="left" w:pos="2205"/>
              </w:tabs>
              <w:jc w:val="both"/>
              <w:rPr>
                <w:rFonts w:ascii="Times New Roman" w:hAnsi="Times New Roman" w:cs="Times New Roman"/>
                <w:noProof/>
              </w:rPr>
            </w:pPr>
          </w:p>
        </w:tc>
      </w:tr>
      <w:tr>
        <w:tc>
          <w:tcPr>
            <w:tcW w:w="4928" w:type="dxa"/>
            <w:gridSpan w:val="2"/>
            <w:shd w:val="clear" w:color="auto" w:fill="FFFFFF" w:themeFill="background1"/>
          </w:tcPr>
          <w:p>
            <w:pPr>
              <w:tabs>
                <w:tab w:val="left" w:pos="2205"/>
              </w:tabs>
              <w:ind w:left="480" w:hanging="480"/>
              <w:jc w:val="both"/>
              <w:rPr>
                <w:rFonts w:ascii="Times New Roman" w:hAnsi="Times New Roman" w:cs="Times New Roman"/>
                <w:noProof/>
              </w:rPr>
            </w:pPr>
            <w:r>
              <w:rPr>
                <w:rFonts w:ascii="Times New Roman" w:hAnsi="Times New Roman"/>
                <w:noProof/>
              </w:rPr>
              <w:t>12</w:t>
            </w:r>
            <w:r>
              <w:rPr>
                <w:noProof/>
              </w:rPr>
              <w:tab/>
            </w:r>
            <w:r>
              <w:rPr>
                <w:rFonts w:ascii="Times New Roman" w:hAnsi="Times New Roman"/>
                <w:noProof/>
              </w:rPr>
              <w:t>Предлагане на препоръка на Съвета за засилване на социалното приобщаване и популяризиране на основните европейски ценности чрез образование и неформално учене.</w:t>
            </w:r>
          </w:p>
        </w:tc>
        <w:tc>
          <w:tcPr>
            <w:tcW w:w="992" w:type="dxa"/>
            <w:gridSpan w:val="2"/>
            <w:shd w:val="clear" w:color="auto" w:fill="FFFFFF" w:themeFill="background1"/>
          </w:tcPr>
          <w:p>
            <w:pPr>
              <w:rPr>
                <w:rFonts w:ascii="Times New Roman" w:hAnsi="Times New Roman" w:cs="Times New Roman"/>
                <w:noProof/>
                <w:spacing w:val="-6"/>
              </w:rPr>
            </w:pPr>
            <w:r>
              <w:rPr>
                <w:rFonts w:ascii="Times New Roman" w:hAnsi="Times New Roman"/>
                <w:noProof/>
                <w:spacing w:val="-6"/>
              </w:rPr>
              <w:t>Краят на 2017 г.</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В момента тече подготвителна работа, по-специално в рамките на работната група относно популяризирането чрез образование на гражданските и общите ценности — свобода, толерантност и недискриминация, създадена в рамките на „Образование и обучение 2020“. На 19 май 2017 г. започна обществена консултация онлайн, която ще продължи 12 седмици.</w:t>
            </w:r>
          </w:p>
          <w:p>
            <w:pPr>
              <w:jc w:val="both"/>
              <w:rPr>
                <w:rFonts w:ascii="Times New Roman" w:hAnsi="Times New Roman" w:cs="Times New Roman"/>
                <w:noProof/>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13</w:t>
            </w:r>
            <w:r>
              <w:rPr>
                <w:noProof/>
              </w:rPr>
              <w:tab/>
            </w:r>
            <w:r>
              <w:rPr>
                <w:rFonts w:ascii="Times New Roman" w:hAnsi="Times New Roman"/>
                <w:noProof/>
              </w:rPr>
              <w:t>Предоставяне чрез „Еразъм+“ на повече от 400 милиона евро през 2016 г. на транснационални партньорства за разработване на новаторски политически подходи и практики на най-близко до гражданите равнище, даване на приоритет на социалното приобщаване, популяризиране на общите ценности и междукултурното разбирателство. Чрез „Еразъм+“ ще се разшири обхватът на действията на най-близко до гражданите равнище, като за целта през 2016 г. са предвидени 13 милиона евро.</w:t>
            </w:r>
          </w:p>
          <w:p>
            <w:pPr>
              <w:ind w:left="480" w:hanging="480"/>
              <w:jc w:val="both"/>
              <w:rPr>
                <w:rFonts w:ascii="Times New Roman" w:hAnsi="Times New Roman" w:cs="Times New Roman"/>
                <w:noProof/>
              </w:rPr>
            </w:pPr>
          </w:p>
          <w:p>
            <w:pPr>
              <w:pStyle w:val="Default"/>
              <w:jc w:val="both"/>
              <w:rPr>
                <w:noProof/>
                <w:sz w:val="22"/>
                <w:szCs w:val="22"/>
              </w:rPr>
            </w:pPr>
            <w:r>
              <w:rPr>
                <w:i/>
                <w:noProof/>
                <w:sz w:val="22"/>
              </w:rPr>
              <w:t xml:space="preserve"> </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Изпълнението на Парижката декларация е хоризонтален приоритет на програма „Еразъм+“. Публикувани бяха целенасочени покани за представяне на предложения, с цел подкрепа за приобщаването и основните ценности (ключово действие 2, като през 2016 г. за това са били предвидени над 200 милиона евро). Избраните през 2016 г. проекти са започнали или ще започнат през 2017 г.</w:t>
            </w:r>
          </w:p>
          <w:p>
            <w:pPr>
              <w:jc w:val="both"/>
              <w:rPr>
                <w:rFonts w:ascii="Times New Roman" w:eastAsia="Calibri" w:hAnsi="Times New Roman" w:cs="Times New Roman"/>
                <w:noProof/>
              </w:rPr>
            </w:pPr>
          </w:p>
          <w:p>
            <w:pPr>
              <w:jc w:val="both"/>
              <w:rPr>
                <w:rFonts w:ascii="Times New Roman" w:eastAsia="Calibri" w:hAnsi="Times New Roman" w:cs="Times New Roman"/>
                <w:noProof/>
              </w:rPr>
            </w:pPr>
            <w:r>
              <w:rPr>
                <w:rFonts w:ascii="Times New Roman" w:hAnsi="Times New Roman"/>
                <w:noProof/>
              </w:rPr>
              <w:t xml:space="preserve">Наред с това,  </w:t>
            </w:r>
          </w:p>
          <w:p>
            <w:pPr>
              <w:jc w:val="both"/>
              <w:rPr>
                <w:rFonts w:ascii="Times New Roman" w:eastAsia="Calibri" w:hAnsi="Times New Roman" w:cs="Times New Roman"/>
                <w:noProof/>
              </w:rPr>
            </w:pPr>
            <w:r>
              <w:rPr>
                <w:rFonts w:ascii="Times New Roman" w:hAnsi="Times New Roman"/>
                <w:noProof/>
              </w:rPr>
              <w:t>— покана на стойност 13 милиона евро за разпространение, възпроизвеждане и разширяване на съществуващите най-добри практики на най-близко до гражданите равнище (ключово действие 3) предизвика голям интерес сред заинтересованите лица и приключи през юли 2016 г. (с 35 избрани проекта);</w:t>
            </w:r>
          </w:p>
          <w:p>
            <w:pPr>
              <w:jc w:val="both"/>
              <w:rPr>
                <w:rFonts w:ascii="Times New Roman" w:eastAsia="Calibri" w:hAnsi="Times New Roman" w:cs="Times New Roman"/>
                <w:noProof/>
              </w:rPr>
            </w:pPr>
            <w:r>
              <w:rPr>
                <w:rFonts w:ascii="Times New Roman" w:hAnsi="Times New Roman"/>
                <w:noProof/>
              </w:rPr>
              <w:t>— два приоритета, фокусирани върху конкретни цели от Парижката декларация, в рамките на многосекторна покана за експериментални подходи в европейската политика, с 5 избрани проекта (4 в областта на образованието и обучението и 1 в областта на младежта).</w:t>
            </w:r>
          </w:p>
          <w:p>
            <w:pPr>
              <w:jc w:val="both"/>
              <w:rPr>
                <w:rFonts w:ascii="Times New Roman" w:eastAsia="Calibri" w:hAnsi="Times New Roman" w:cs="Times New Roman"/>
                <w:noProof/>
              </w:rPr>
            </w:pPr>
          </w:p>
          <w:p>
            <w:pPr>
              <w:jc w:val="both"/>
              <w:rPr>
                <w:rFonts w:ascii="Times New Roman" w:eastAsia="Calibri" w:hAnsi="Times New Roman" w:cs="Times New Roman"/>
                <w:noProof/>
              </w:rPr>
            </w:pPr>
            <w:r>
              <w:rPr>
                <w:rFonts w:ascii="Times New Roman" w:hAnsi="Times New Roman"/>
                <w:noProof/>
              </w:rPr>
              <w:t>През 2017 г. програма „Еразъм+“ продължава да подкрепя транснационалните партньорства, които са междусекторен приоритет (ключово действие 2). Освен това ще бъдат изразходвани 10 милиона евро за разпространение, възпроизвеждане и разширяване на съществуващите най-добри практики на най-близко до гражданите равнище (ключово действие 3) с цел популяризиране на приобщаващите и демократични училища (срокът на поканата е изтекъл през май 2017 г., подборът тече в момента).</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14</w:t>
            </w:r>
            <w:r>
              <w:rPr>
                <w:noProof/>
              </w:rPr>
              <w:tab/>
            </w:r>
            <w:r>
              <w:rPr>
                <w:rFonts w:ascii="Times New Roman" w:hAnsi="Times New Roman"/>
                <w:noProof/>
              </w:rPr>
              <w:t>Създаване на мрежа за улесняване на преките контакти с положителни примери за подражание в училищата, младежките и спортните клубове и затворите.</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Целта на действието е да се създаде резерв от ролеви модели на национално равнище, за да се предприемат дейности за насърчаване на социалното приобщаване, за предотвратяване на изключването и радикализацията, както и за насърчаване на активното гражданско участие и ангажираност с общи ценности. Инициативата се осъществява постепенно от националните агенции по „Еразъм +“ през периода 2017—2018 г.</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 xml:space="preserve">Платформата „RAN Young“ за овластяване на  младите хора да поемат активна роля в предотвратяването на радикализацията бе стартирана в рамките на Мрежата за осведоменост по въпросите на радикализацията (RAN). Конференция на високо равнище по въпросите на радикализацията на 9 ноември 2016 г. В резултат на това посланиците на „RAN Young“ ще изготвят препоръки и ще организират съвместно срещи, на които участниците се приканват да представят своите становища и препоръки относно ответните мерки на политиката и работата на практикуващите в тази област. „RAN Young“ взаимодейства с други организации и инициативи като инициативата на фондацията на Кофи Анан </w:t>
            </w:r>
            <w:r>
              <w:rPr>
                <w:rFonts w:ascii="Times New Roman" w:hAnsi="Times New Roman"/>
                <w:i/>
                <w:noProof/>
              </w:rPr>
              <w:t>Extremely Together</w:t>
            </w:r>
            <w:r>
              <w:rPr>
                <w:rFonts w:ascii="Times New Roman" w:hAnsi="Times New Roman"/>
                <w:noProof/>
              </w:rPr>
              <w:t xml:space="preserve"> (Изключително заедно), фондацията YouthCAN и OSCE Youth Ambassadors (посланици на младежта на ОССЕ).</w:t>
            </w:r>
          </w:p>
          <w:p>
            <w:pPr>
              <w:jc w:val="both"/>
              <w:rPr>
                <w:rFonts w:ascii="Times New Roman" w:hAnsi="Times New Roman" w:cs="Times New Roman"/>
                <w:noProof/>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15</w:t>
            </w:r>
            <w:r>
              <w:rPr>
                <w:noProof/>
              </w:rPr>
              <w:tab/>
            </w:r>
            <w:r>
              <w:rPr>
                <w:rFonts w:ascii="Times New Roman" w:hAnsi="Times New Roman"/>
                <w:noProof/>
              </w:rPr>
              <w:t>Насърчаване на предоставянето на кредити на студентите за доброволческа дейност и разработване на програми, съчетаващи научно съдържание и граждански ангажименти, чрез „Еразъм+“.</w:t>
            </w:r>
          </w:p>
          <w:p>
            <w:pPr>
              <w:ind w:left="480" w:hanging="480"/>
              <w:jc w:val="both"/>
              <w:rPr>
                <w:rFonts w:ascii="Times New Roman" w:hAnsi="Times New Roman" w:cs="Times New Roman"/>
                <w:noProof/>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Комисията, в тясно сътрудничество с националните агенции по „Еразъм +“  и институциите за висше образование, ще допринесе за повишаване на осведомеността относно това как да се използва Европейската система за трансфер и натрупване на кредити за неформално учене, включително чрез доброволческите дейности. В рамките на текущия преглед на приложението към диплома (приложението към дипломата за висше образование, използвано от 48-те държави от Болонския процес/европейското пространство за висше образование) Комисията ще насърчава признаването на доброволческата дейност или на други подобни дейности по неформално учене, които са част от определена професионална квалификация.</w:t>
            </w:r>
          </w:p>
          <w:p>
            <w:pPr>
              <w:jc w:val="both"/>
              <w:rPr>
                <w:rFonts w:ascii="Times New Roman" w:hAnsi="Times New Roman" w:cs="Times New Roman"/>
                <w:i/>
                <w:noProof/>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b/>
                <w:i/>
                <w:noProof/>
                <w:color w:val="000000"/>
              </w:rPr>
            </w:pPr>
            <w:r>
              <w:rPr>
                <w:rFonts w:ascii="Times New Roman" w:hAnsi="Times New Roman"/>
                <w:b/>
                <w:i/>
                <w:noProof/>
                <w:color w:val="000000"/>
              </w:rPr>
              <w:t>Допълнително действие 1 в областта на образованието:</w:t>
            </w:r>
          </w:p>
          <w:p>
            <w:pPr>
              <w:ind w:left="480" w:hanging="480"/>
              <w:jc w:val="both"/>
              <w:rPr>
                <w:rFonts w:ascii="Times New Roman" w:hAnsi="Times New Roman" w:cs="Times New Roman"/>
                <w:b/>
                <w:i/>
                <w:noProof/>
                <w:color w:val="000000"/>
              </w:rPr>
            </w:pPr>
          </w:p>
          <w:p>
            <w:pPr>
              <w:ind w:left="480" w:hanging="480"/>
              <w:jc w:val="both"/>
              <w:rPr>
                <w:rFonts w:ascii="Times New Roman" w:hAnsi="Times New Roman" w:cs="Times New Roman"/>
                <w:noProof/>
              </w:rPr>
            </w:pPr>
            <w:r>
              <w:rPr>
                <w:noProof/>
              </w:rPr>
              <w:tab/>
            </w:r>
            <w:r>
              <w:rPr>
                <w:rFonts w:ascii="Times New Roman" w:hAnsi="Times New Roman"/>
                <w:noProof/>
              </w:rPr>
              <w:t>Да се предоставят средства на преподавателите да се справят с многообразието в класната стая и да предават общите ценности на учениците, да откриват ранни признаци на радикализация и да се продължи подкрепата на обмена на най-добри практики чрез инициативата eTwinning и в рамките на  рамките на работната група на RAN по въпросите на образованието (RAN EDU).</w:t>
            </w:r>
          </w:p>
          <w:p>
            <w:pPr>
              <w:ind w:left="480" w:hanging="360"/>
              <w:jc w:val="both"/>
              <w:rPr>
                <w:rFonts w:ascii="Times New Roman" w:hAnsi="Times New Roman" w:cs="Times New Roman"/>
                <w:noProof/>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Финансирана по програмата „Еразъм +“, eTwinning е онлайн платформа, която през последните 12 години  свърза над 470 000 преподаватели и 180 000 училища в цяла Европа. Потенциалът на „eTwinning“ ще се използват пълноценно с по-голям акцент върху теми, свързани с гражданството, с цел овластяване на преподавателите, за да се превърнат в активни участници за по-приобщаващо и демократично образование. За тази цел годишната тема за 2017 г. е приобщаването.</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През 2017 г. работната група по въпросите на образованието на Мрежата за осведоменост по въпросите на радикализацията (RAN) ще се съсредоточи главно върху видовете обучение за учителите, относно ролята на висшето образование в борбата с радикализацията и в областта на медийната грамотност и критичното мислене. През 2017 г. Манифестът на RAN ще бъде актуализиран („Манифест за образованието 2.0“), като ще предложи практически насоки за училищата, изводи и препоръки по отношение на политиките.</w:t>
            </w: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b/>
                <w:i/>
                <w:noProof/>
                <w:color w:val="000000"/>
              </w:rPr>
            </w:pPr>
            <w:r>
              <w:rPr>
                <w:rFonts w:ascii="Times New Roman" w:hAnsi="Times New Roman"/>
                <w:b/>
                <w:i/>
                <w:noProof/>
                <w:color w:val="000000"/>
              </w:rPr>
              <w:t>Допълнително действие 2 в областта на образованието:</w:t>
            </w:r>
          </w:p>
          <w:p>
            <w:pPr>
              <w:ind w:left="480" w:hanging="480"/>
              <w:jc w:val="both"/>
              <w:rPr>
                <w:rFonts w:ascii="Times New Roman" w:hAnsi="Times New Roman" w:cs="Times New Roman"/>
                <w:i/>
                <w:noProof/>
              </w:rPr>
            </w:pPr>
          </w:p>
          <w:p>
            <w:pPr>
              <w:ind w:left="480" w:hanging="480"/>
              <w:jc w:val="both"/>
              <w:rPr>
                <w:rFonts w:ascii="Times New Roman" w:hAnsi="Times New Roman" w:cs="Times New Roman"/>
                <w:noProof/>
              </w:rPr>
            </w:pPr>
            <w:r>
              <w:rPr>
                <w:noProof/>
              </w:rPr>
              <w:tab/>
            </w:r>
            <w:r>
              <w:rPr>
                <w:rFonts w:ascii="Times New Roman" w:hAnsi="Times New Roman"/>
                <w:noProof/>
              </w:rPr>
              <w:t xml:space="preserve">Тясно сътрудничество със Съвета на Европа и ЮНЕСКО за подобряване на използването на съществуващите инструменти в подкрепа на учителите. </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В рамките на работната група относно гражданските и общите ценности, създадена в рамките на „Образование и обучение 2020“, Комисията си сътрудничи тясно със Съвета на Европа и ЮНЕСКО, за да се използват по-добре полезните взаимодействия и съществуващите инструменти (включително ръководство за учителя).</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Мрежата за осведоменост по въпросите на радикализацията предостави експертен опит за създаването на ръководство за учителя на ЮНЕСКО „Ръководство на учителя относно предотвратяването на водещата до насилие радикализация“, публикувано през 2016 г., което дава насоки, наред с другото, относно обсъждането на тези въпроси в класната стая и ключовите послания, които трябва да се отправят.</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16</w:t>
            </w:r>
            <w:r>
              <w:rPr>
                <w:noProof/>
              </w:rPr>
              <w:tab/>
            </w:r>
            <w:r>
              <w:rPr>
                <w:rFonts w:ascii="Times New Roman" w:hAnsi="Times New Roman"/>
                <w:noProof/>
              </w:rPr>
              <w:t>Продължаване на работата с Европейския парламент и Съвета за приемане на директивата за борба с дискриминацията.</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Комисията да продължи да предоставя техническа подкрепа на председателствата на Съвета за подобряване на текста на проекта на директива, като същевременно се работи за постигането на политическо споразумение в рамките на Съвета.</w:t>
            </w:r>
          </w:p>
          <w:p>
            <w:pPr>
              <w:jc w:val="both"/>
              <w:rPr>
                <w:rFonts w:ascii="Times New Roman" w:hAnsi="Times New Roman" w:cs="Times New Roman"/>
                <w:i/>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17</w:t>
            </w:r>
            <w:r>
              <w:rPr>
                <w:noProof/>
              </w:rPr>
              <w:tab/>
            </w:r>
            <w:r>
              <w:rPr>
                <w:rFonts w:ascii="Times New Roman" w:hAnsi="Times New Roman"/>
                <w:noProof/>
              </w:rPr>
              <w:t>Засилване на социалното приобщаване на групите в неравностойно положение чрез политически мерки, Европейския социален фонд (ЕСФ) и Програмата за заетост и социални иновации.</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В рамките на „Образование и обучение 2020“ специализирани работни групи (относно училищата и относно гражданското образование) се съсредоточават върху приобщаването на групите в неравностойно положение.</w:t>
            </w:r>
          </w:p>
          <w:p>
            <w:pPr>
              <w:jc w:val="both"/>
              <w:rPr>
                <w:rFonts w:ascii="Times New Roman" w:hAnsi="Times New Roman" w:cs="Times New Roman"/>
                <w:noProof/>
                <w:highlight w:val="yellow"/>
              </w:rPr>
            </w:pPr>
          </w:p>
          <w:p>
            <w:pPr>
              <w:jc w:val="both"/>
              <w:rPr>
                <w:rFonts w:ascii="Times New Roman" w:hAnsi="Times New Roman" w:cs="Times New Roman"/>
                <w:noProof/>
              </w:rPr>
            </w:pPr>
            <w:r>
              <w:rPr>
                <w:rFonts w:ascii="Times New Roman" w:hAnsi="Times New Roman"/>
                <w:noProof/>
              </w:rPr>
              <w:t>Европейският социален фонд, както и Програмата за заетост и социални иновации инвестират в социалното приобщаване на групите в неравностойно положение (мрежа за борба с бедността, изграждане на капацитет на неправителствените организации, занимаващи се с тези групи, конкретни проекти в държавите членки чрез ЕСФ, дейности за повишаване на информираността и др.).</w:t>
            </w:r>
          </w:p>
          <w:p>
            <w:pPr>
              <w:jc w:val="both"/>
              <w:rPr>
                <w:rFonts w:ascii="Times New Roman" w:hAnsi="Times New Roman" w:cs="Times New Roman"/>
                <w:i/>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18</w:t>
            </w:r>
            <w:r>
              <w:rPr>
                <w:noProof/>
              </w:rPr>
              <w:tab/>
            </w:r>
            <w:r>
              <w:rPr>
                <w:rFonts w:ascii="Times New Roman" w:hAnsi="Times New Roman"/>
                <w:noProof/>
              </w:rPr>
              <w:t>Засилване на подкрепата за  лицата, работещи в областта на младежта, и организации, най-вече чрез разработване на набор от инструменти.</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През февруари 2017 г. беше публикуван доклад, съдържащ набор от практически инструменти.  Наборът от инструменти предоставя насоки и съвети на лицата, работещи в областта на младежта, при работата с млади хора, изложени на риск от водеща до насилие радикализация. Политическите препоръки, отправени към органите, от местно до европейско равнище, поставят акцент върху сътрудничеството между различните сектори, за да може ефективно да се предотвратява водещата до насилие радикализация сред младите хора.</w:t>
            </w:r>
          </w:p>
          <w:p>
            <w:pPr>
              <w:jc w:val="both"/>
              <w:rPr>
                <w:rFonts w:ascii="Times New Roman" w:hAnsi="Times New Roman" w:cs="Times New Roman"/>
                <w:noProof/>
              </w:rPr>
            </w:pPr>
          </w:p>
          <w:p>
            <w:pPr>
              <w:jc w:val="both"/>
              <w:rPr>
                <w:noProof/>
              </w:rPr>
            </w:pPr>
            <w:r>
              <w:rPr>
                <w:rFonts w:ascii="Times New Roman" w:hAnsi="Times New Roman"/>
                <w:noProof/>
              </w:rPr>
              <w:t>Работната група по въпросите на семейството, младежта и общностите на Мрежата за осведоменост по въпросите на радикализацията (RAN) ще се базира на този набор от инструменти, за да разработи манифест на RAN относно привличането на младите хора и овластяването на лицата, работещи в областта на младежта, да работят за предотвратяване на радикализацията.</w:t>
            </w:r>
          </w:p>
          <w:p>
            <w:pPr>
              <w:jc w:val="both"/>
              <w:rPr>
                <w:rFonts w:ascii="Times New Roman" w:hAnsi="Times New Roman" w:cs="Times New Roman"/>
                <w:noProof/>
              </w:rPr>
            </w:pPr>
          </w:p>
        </w:tc>
      </w:tr>
      <w:tr>
        <w:tc>
          <w:tcPr>
            <w:tcW w:w="4928" w:type="dxa"/>
            <w:gridSpan w:val="2"/>
            <w:tcBorders>
              <w:bottom w:val="single" w:sz="4" w:space="0" w:color="auto"/>
            </w:tcBorders>
          </w:tcPr>
          <w:p>
            <w:pPr>
              <w:ind w:left="480" w:hanging="480"/>
              <w:jc w:val="both"/>
              <w:rPr>
                <w:rFonts w:ascii="Times New Roman" w:hAnsi="Times New Roman" w:cs="Times New Roman"/>
                <w:noProof/>
              </w:rPr>
            </w:pPr>
            <w:r>
              <w:rPr>
                <w:rFonts w:ascii="Times New Roman" w:hAnsi="Times New Roman"/>
                <w:noProof/>
              </w:rPr>
              <w:t>19</w:t>
            </w:r>
            <w:r>
              <w:rPr>
                <w:noProof/>
              </w:rPr>
              <w:tab/>
            </w:r>
            <w:r>
              <w:rPr>
                <w:rFonts w:ascii="Times New Roman" w:hAnsi="Times New Roman"/>
                <w:noProof/>
              </w:rPr>
              <w:t>Укрепване на Европейската доброволческа служба, като се увеличи бюджетът ѝ.</w:t>
            </w:r>
          </w:p>
          <w:p>
            <w:pPr>
              <w:ind w:left="480" w:hanging="480"/>
              <w:jc w:val="both"/>
              <w:rPr>
                <w:rFonts w:ascii="Times New Roman" w:hAnsi="Times New Roman" w:cs="Times New Roman"/>
                <w:noProof/>
              </w:rPr>
            </w:pPr>
          </w:p>
        </w:tc>
        <w:tc>
          <w:tcPr>
            <w:tcW w:w="992" w:type="dxa"/>
            <w:gridSpan w:val="2"/>
            <w:tcBorders>
              <w:bottom w:val="single" w:sz="4" w:space="0" w:color="auto"/>
            </w:tcBorders>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tcPr>
          <w:p>
            <w:pPr>
              <w:jc w:val="both"/>
              <w:rPr>
                <w:rFonts w:ascii="Times New Roman" w:hAnsi="Times New Roman" w:cs="Times New Roman"/>
                <w:noProof/>
              </w:rPr>
            </w:pPr>
            <w:r>
              <w:rPr>
                <w:rFonts w:ascii="Times New Roman" w:hAnsi="Times New Roman"/>
                <w:noProof/>
              </w:rPr>
              <w:t>През 2016 г. беше даден приоритет на проекти в подкрепа на изпълнението на Парижката декларация.</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През 2017 г. бюджетът на Европейската доброволческа служба (ЕДС) бе значително увеличен.</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 xml:space="preserve">От стартирането на Европейски корпус за солидарност през  декември 2016 г. близо 30 000 млади граждани от всички държави членки се регистрираха за участие. Очаква се, че до 2020 г. общо 100 000 млади граждани ще са участвали в доброволческите и професионалните направления на Корпуса. </w:t>
            </w:r>
          </w:p>
          <w:p>
            <w:pPr>
              <w:jc w:val="both"/>
              <w:rPr>
                <w:rFonts w:ascii="Times New Roman" w:hAnsi="Times New Roman" w:cs="Times New Roman"/>
                <w:noProof/>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20</w:t>
            </w:r>
            <w:r>
              <w:rPr>
                <w:noProof/>
              </w:rPr>
              <w:tab/>
            </w:r>
            <w:r>
              <w:rPr>
                <w:rFonts w:ascii="Times New Roman" w:hAnsi="Times New Roman"/>
                <w:noProof/>
              </w:rPr>
              <w:t>Предложение за изменение на Шенгенската информационна система, за да се подобри още повече добавената ѝ стойност за целите на правоприлагането и борбата с тероризма.</w:t>
            </w:r>
          </w:p>
          <w:p>
            <w:pPr>
              <w:pStyle w:val="Default"/>
              <w:jc w:val="both"/>
              <w:rPr>
                <w:noProof/>
                <w:sz w:val="22"/>
                <w:szCs w:val="22"/>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 xml:space="preserve">В ход </w:t>
            </w:r>
          </w:p>
        </w:tc>
        <w:tc>
          <w:tcPr>
            <w:tcW w:w="8348" w:type="dxa"/>
            <w:tcBorders>
              <w:bottom w:val="single" w:sz="4" w:space="0" w:color="auto"/>
            </w:tcBorders>
            <w:shd w:val="clear" w:color="auto" w:fill="FFFFFF" w:themeFill="background1"/>
          </w:tcPr>
          <w:p>
            <w:pPr>
              <w:jc w:val="both"/>
              <w:rPr>
                <w:rFonts w:ascii="Times New Roman" w:hAnsi="Times New Roman"/>
                <w:noProof/>
              </w:rPr>
            </w:pPr>
            <w:r>
              <w:rPr>
                <w:rFonts w:ascii="Times New Roman" w:hAnsi="Times New Roman"/>
                <w:noProof/>
              </w:rPr>
              <w:t>Законодателните предложения бяха приети от Комисията на 21 декември 2016 г.</w:t>
            </w:r>
          </w:p>
          <w:p>
            <w:pPr>
              <w:jc w:val="both"/>
              <w:rPr>
                <w:rFonts w:ascii="Times New Roman" w:hAnsi="Times New Roman"/>
                <w:noProof/>
              </w:rPr>
            </w:pPr>
            <w:r>
              <w:rPr>
                <w:rFonts w:ascii="Times New Roman" w:hAnsi="Times New Roman"/>
                <w:noProof/>
              </w:rPr>
              <w:t>Законодателните преговори са в ход.</w:t>
            </w:r>
          </w:p>
          <w:p>
            <w:pPr>
              <w:jc w:val="both"/>
              <w:rPr>
                <w:rFonts w:ascii="Times New Roman" w:hAnsi="Times New Roman" w:cs="Times New Roman"/>
                <w:noProof/>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21</w:t>
            </w:r>
            <w:r>
              <w:rPr>
                <w:noProof/>
              </w:rPr>
              <w:tab/>
            </w:r>
            <w:r>
              <w:rPr>
                <w:rFonts w:ascii="Times New Roman" w:hAnsi="Times New Roman"/>
                <w:noProof/>
              </w:rPr>
              <w:t>Държавите членки следва да обменят проактивно с другите държави членки и с Европол, когато е необходимо, цялата необходима информация за освободените осъдени лица, заподозрени в радикализация, или за известни радикални лица с цел да се осигури внимателно наблюдение на лицата, които представляват висок риск.</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rPr>
            </w:pPr>
            <w:r>
              <w:rPr>
                <w:rFonts w:ascii="Times New Roman" w:hAnsi="Times New Roman"/>
                <w:noProof/>
              </w:rPr>
              <w:t>В рамките на работата на Мрежата за осведоменост по въпросите на радикализацията по насоките и наборите от инструменти, предназначена за създателите на политиката при създаването на многоведомствени структури, въпросът за подобряване на обмена на информация относно радикализираните лица е един от приоритетите. Резултатите от тази дейност бяха представени и обсъдени по време на последната конференция на високо равнище на Мрежата за осведоменост по въпросите на радикализацията през ноември 2016 г.</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Европейският център за борба с тероризма към Европол има за цел да се превърне в основен информационен център в борбата срещу тероризма в ЕС, включително по отношение на звено „Пътници“, както и анализ на рисковете от радикализация. Информационната система на Европол е подходяща да служи като централно хранилище на свързаните с правоприлагането данни, включително на консолидирания списък на всички известни или предполагаеми чуждестранни бойци терористи.</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Директивата относно борбата с тероризма, приета на 7 март 2017 г., засилва задължението на държавите членки да прехвърлят проактивно цялата съответна информация по отношение на свързаните с тероризма престъпления на другите държави членки. С нея се въвежда и задължение за държавата членка, получаваща информацията, да предприеме подходящи последващи действия.</w:t>
            </w:r>
          </w:p>
          <w:p>
            <w:pPr>
              <w:pStyle w:val="Default"/>
              <w:jc w:val="both"/>
              <w:rPr>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22</w:t>
            </w:r>
            <w:r>
              <w:rPr>
                <w:noProof/>
              </w:rPr>
              <w:tab/>
            </w:r>
            <w:r>
              <w:rPr>
                <w:rFonts w:ascii="Times New Roman" w:hAnsi="Times New Roman"/>
                <w:noProof/>
              </w:rPr>
              <w:t>Подкрепа на международните организации в работата им за противодействие на насилническия екстремизъм.</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ЕС работи активно с Организацията на обединените нации, Съвета на Европа и Организацията за сигурност и сътрудничество в Европа в усилията им за противодействие на насилническия екстремизъм.</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Комисията управлява съвместно със Съвета на Европа свързана с това програма в областта на правата на човека и гражданското образование.</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Центърът за високи постижения на Мрежата за осведоменост по въпросите на радикализацията установи работни отношения с международни организации с цел създаване на полезни взаимодействия в противодействието срещу насилническия екстремизъм, включително Europris, Организацията за сигурност и сътрудничество в Европа и Съвета на Европа (включително по-специално дейността на конгреса на градовете).</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23</w:t>
            </w:r>
            <w:r>
              <w:rPr>
                <w:noProof/>
              </w:rPr>
              <w:tab/>
            </w:r>
            <w:r>
              <w:rPr>
                <w:rFonts w:ascii="Times New Roman" w:hAnsi="Times New Roman"/>
                <w:noProof/>
              </w:rPr>
              <w:t>Допълнителни инициативи за насочване на външните финансови инструменти на ЕС към предотвратяване на радикализацията, която води до насилие.</w:t>
            </w:r>
          </w:p>
          <w:p>
            <w:pPr>
              <w:jc w:val="both"/>
              <w:rPr>
                <w:rFonts w:ascii="Times New Roman" w:hAnsi="Times New Roman" w:cs="Times New Roman"/>
                <w:i/>
                <w:noProof/>
              </w:rPr>
            </w:pP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pStyle w:val="Default"/>
              <w:jc w:val="both"/>
              <w:rPr>
                <w:noProof/>
                <w:color w:val="auto"/>
                <w:sz w:val="22"/>
                <w:szCs w:val="22"/>
              </w:rPr>
            </w:pPr>
            <w:r>
              <w:rPr>
                <w:noProof/>
                <w:color w:val="auto"/>
                <w:sz w:val="22"/>
              </w:rPr>
              <w:t>На международно равнище ЕС насърчава засиления акцент върху предотвратяването и противодействието на насилническия екстремизъм (ППНЕ) в политическите диалози и програмите за помощ. ЕС оказа подкрепа за плана за действие на генералния секретар на ООН за предотвратяване на насилствения екстремизъм и за разработването на национални и регионални планове за действие в областта на ППНЕ. ЕС е интегрира в политиките си ППНЕ. ЕС засили капацитета на Работната група StratCommTask Force South, включително насърчаване на положителни послания на арабски език. По отношение на финансовите инструменти:</w:t>
            </w:r>
          </w:p>
          <w:p>
            <w:pPr>
              <w:pStyle w:val="Default"/>
              <w:jc w:val="both"/>
              <w:rPr>
                <w:noProof/>
                <w:sz w:val="22"/>
                <w:szCs w:val="22"/>
              </w:rPr>
            </w:pPr>
            <w:r>
              <w:rPr>
                <w:noProof/>
                <w:sz w:val="22"/>
              </w:rPr>
              <w:t xml:space="preserve">- Извънредният доверителен фонд на ЕС за Африка предоставя уникална възможност за активна работа с трети държави, изложени на риск, и за преодоляване на първопричините за радикализацията. Продължават да се полагат усилия за почерпване от придобития опит в рамките на ЕС (напр. чрез RAN) във външен план. </w:t>
            </w:r>
          </w:p>
          <w:p>
            <w:pPr>
              <w:pStyle w:val="Default"/>
              <w:ind w:left="4"/>
              <w:jc w:val="both"/>
              <w:rPr>
                <w:noProof/>
              </w:rPr>
            </w:pPr>
            <w:r>
              <w:rPr>
                <w:noProof/>
                <w:sz w:val="22"/>
              </w:rPr>
              <w:t xml:space="preserve">- През 2016 г., Мрежата за осведоменост по въпросите на радикализацията подкрепи експертни мисии относно радикализацията в Турция и Тунис. Последващите действия с тези две държави ще продължат през 2017 г. Усилия на страните от Западните Балкани да разработят политики и рамкови условия за многоведомствено сътрудничество се финансират чрез проекта „на първа линия“, както и чрез помощ от Мрежата за осведоменост по въпросите на радикализацията. </w:t>
            </w:r>
          </w:p>
          <w:p>
            <w:pPr>
              <w:ind w:left="4"/>
              <w:jc w:val="both"/>
              <w:rPr>
                <w:rFonts w:ascii="Times New Roman" w:hAnsi="Times New Roman"/>
                <w:noProof/>
              </w:rPr>
            </w:pPr>
            <w:r>
              <w:rPr>
                <w:rFonts w:ascii="Times New Roman" w:hAnsi="Times New Roman"/>
                <w:noProof/>
              </w:rPr>
              <w:t>- Инструмент за предприсъединителна помощ (ИПП): През 2016 г. беше одобрен регионален проект по ИПП  в подкрепа на предотвратяването и противодействието на насилствения екстремизъм на Западните Балкани, за да се сподели подходът на Мрежата за осведоменост по въпросите на радикализацията, да се засили устойчивостта чрез привличането на общностите и обществото като цяло; да се повиши осведомеността относно рисковете, свързани с радикализацията в училищата и сред младежите, да се предостави обучение за противодействие на насилническия екстремизъм на религиозни лидери и да се създадат уеб платформи по отношение на предотвратяването и противодействието на насилствения екстремизъм и борбата срещу тероризма.</w:t>
            </w:r>
          </w:p>
          <w:p>
            <w:pPr>
              <w:pStyle w:val="Default"/>
              <w:autoSpaceDE/>
              <w:jc w:val="both"/>
              <w:rPr>
                <w:rStyle w:val="AucunA"/>
                <w:bCs/>
                <w:noProof/>
                <w:sz w:val="22"/>
                <w:szCs w:val="22"/>
              </w:rPr>
            </w:pPr>
            <w:r>
              <w:rPr>
                <w:rStyle w:val="AucunA"/>
                <w:noProof/>
                <w:sz w:val="22"/>
              </w:rPr>
              <w:t>- Чрез националните програми по ИПП ЕС ще подкрепи Косово в засилването на мерки за дерадикализиране в изправителните институции и пробационните служби; ЕС ще подкрепи и бившата югославска република Македония в изпълнението на националната ѝ стратегия за борба срещу тероризма; в Албания на правоприлагащите органи и разузнавателните служби ще бъде предоставена помощ в борбата с тероризма чрез проекта за полицейска подкрепа на ЕС „PAMECA“</w:t>
            </w:r>
            <w:r>
              <w:rPr>
                <w:rStyle w:val="FootnoteReference"/>
                <w:noProof/>
                <w:sz w:val="22"/>
              </w:rPr>
              <w:footnoteReference w:customMarkFollows="1" w:id="1"/>
              <w:t>[1]</w:t>
            </w:r>
            <w:r>
              <w:rPr>
                <w:rStyle w:val="AucunA"/>
                <w:noProof/>
                <w:sz w:val="22"/>
              </w:rPr>
              <w:t>.</w:t>
            </w:r>
          </w:p>
          <w:p>
            <w:pPr>
              <w:pStyle w:val="Default"/>
              <w:autoSpaceDE/>
              <w:jc w:val="both"/>
              <w:rPr>
                <w:rStyle w:val="AucunA"/>
                <w:noProof/>
                <w:sz w:val="22"/>
                <w:szCs w:val="22"/>
              </w:rPr>
            </w:pPr>
            <w:r>
              <w:rPr>
                <w:rStyle w:val="AucunA"/>
                <w:noProof/>
                <w:sz w:val="22"/>
              </w:rPr>
              <w:t>- Делегацията на ЕС в Албания предостави две безвъзмездни помощи, всяка от по 300 000 евро, за овластяване на организациите на гражданското общество и обществените органи за сигурност при противодействието на екстремизма и радикализацията.</w:t>
            </w:r>
          </w:p>
          <w:p>
            <w:pPr>
              <w:pStyle w:val="Default"/>
              <w:autoSpaceDE/>
              <w:jc w:val="both"/>
              <w:rPr>
                <w:noProof/>
                <w:sz w:val="22"/>
                <w:szCs w:val="22"/>
              </w:rPr>
            </w:pPr>
            <w:r>
              <w:rPr>
                <w:noProof/>
                <w:sz w:val="22"/>
              </w:rPr>
              <w:t>- В Босна и Херцеговина е изготвен проект, финансиран от ЕС, относно риска от радикализация в затвора Zenica, в сътрудничество с ислямската общност, като чрез проекта се планира ангажирането на младежи в предотвратяване на радикализацията.</w:t>
            </w:r>
          </w:p>
          <w:p>
            <w:pPr>
              <w:pStyle w:val="CorpsA"/>
              <w:jc w:val="both"/>
              <w:rPr>
                <w:rStyle w:val="AucunA"/>
                <w:rFonts w:ascii="Times New Roman" w:hAnsi="Times New Roman" w:cstheme="minorBidi"/>
                <w:noProof/>
                <w:color w:val="auto"/>
              </w:rPr>
            </w:pPr>
            <w:r>
              <w:rPr>
                <w:rStyle w:val="AucunA"/>
                <w:rFonts w:ascii="Times New Roman" w:hAnsi="Times New Roman"/>
                <w:noProof/>
              </w:rPr>
              <w:t>- ЕС интегрира също въпросите на борбата с тероризма/противодействието на насилствения екстремизъм в проекти с гражданското общество и с участниците извън областта на сигурността. Чрез регионалния механизъм на ИПП в областта на гражданското общество (TACSO) се стартират програми, посветени на противодействието на насилствения екстремизъм, на национално равнище (например в Албания) или на регионално равнище.</w:t>
            </w:r>
          </w:p>
          <w:p>
            <w:pPr>
              <w:ind w:left="4"/>
              <w:jc w:val="both"/>
              <w:rPr>
                <w:rFonts w:ascii="Times New Roman" w:hAnsi="Times New Roman" w:cs="Times New Roman"/>
                <w:noProof/>
              </w:rPr>
            </w:pPr>
            <w:r>
              <w:rPr>
                <w:rFonts w:ascii="Times New Roman" w:hAnsi="Times New Roman"/>
                <w:noProof/>
              </w:rPr>
              <w:t>- Европейски инструмент за съседство: пилотен проект UNICRI (5 милиона евро) за предотвратяване на насилствения екстремизъм в регионите на Сахел и Магреб.</w:t>
            </w:r>
          </w:p>
          <w:p>
            <w:pPr>
              <w:ind w:left="4"/>
              <w:jc w:val="both"/>
              <w:rPr>
                <w:rFonts w:ascii="Times New Roman" w:hAnsi="Times New Roman" w:cs="Times New Roman"/>
                <w:noProof/>
              </w:rPr>
            </w:pPr>
            <w:r>
              <w:rPr>
                <w:rFonts w:ascii="Times New Roman" w:hAnsi="Times New Roman"/>
                <w:noProof/>
              </w:rPr>
              <w:t>- Комисията финансира голям брой програми, например в региона на Близкия изток и Северна Африка или в други региони на Африка (страните от Магреб, Сахел, Нигерия, Нигер, Чад).</w:t>
            </w:r>
          </w:p>
          <w:p>
            <w:pPr>
              <w:ind w:left="4"/>
              <w:jc w:val="both"/>
              <w:rPr>
                <w:rFonts w:ascii="Times New Roman" w:hAnsi="Times New Roman" w:cs="Times New Roman"/>
                <w:noProof/>
              </w:rPr>
            </w:pPr>
          </w:p>
          <w:p>
            <w:pPr>
              <w:ind w:left="4"/>
              <w:jc w:val="both"/>
              <w:rPr>
                <w:rFonts w:ascii="Times New Roman" w:hAnsi="Times New Roman" w:cs="Times New Roman"/>
                <w:noProof/>
              </w:rPr>
            </w:pPr>
            <w:r>
              <w:rPr>
                <w:rFonts w:ascii="Times New Roman" w:hAnsi="Times New Roman"/>
                <w:noProof/>
              </w:rPr>
              <w:t>Европейският инструмент за демокрация и права на човека (ЕИДПЧ) подкрепя също съответните програми, като например:</w:t>
            </w:r>
          </w:p>
          <w:p>
            <w:pPr>
              <w:jc w:val="both"/>
              <w:rPr>
                <w:rFonts w:ascii="Times New Roman" w:hAnsi="Times New Roman" w:cs="Times New Roman"/>
                <w:bCs/>
                <w:noProof/>
              </w:rPr>
            </w:pPr>
            <w:r>
              <w:rPr>
                <w:rFonts w:ascii="Times New Roman" w:hAnsi="Times New Roman"/>
                <w:noProof/>
              </w:rPr>
              <w:t>- Ангажиране на младите хора за правата на човека и социалното сближаване (600 000 евро — ще бъде стартиран и ще заработи до 2019 г.). Партньор по изпълнението: Поколения за мир.</w:t>
            </w:r>
          </w:p>
          <w:p>
            <w:pPr>
              <w:jc w:val="both"/>
              <w:rPr>
                <w:rFonts w:ascii="Times New Roman" w:hAnsi="Times New Roman" w:cs="Times New Roman"/>
                <w:bCs/>
                <w:noProof/>
              </w:rPr>
            </w:pPr>
            <w:r>
              <w:rPr>
                <w:rFonts w:ascii="Times New Roman" w:hAnsi="Times New Roman"/>
                <w:noProof/>
              </w:rPr>
              <w:t>- Отвъд радикализацията: Младежта в Ливан взема думата! (600 000 евро, проектът ще бъде стартиран и ще заработи до 2019 г.). Партньор по изпълнението: Deutsche Welle.</w:t>
            </w:r>
          </w:p>
          <w:p>
            <w:pPr>
              <w:jc w:val="both"/>
              <w:rPr>
                <w:rFonts w:ascii="Times New Roman" w:hAnsi="Times New Roman" w:cs="Times New Roman"/>
                <w:bCs/>
                <w:noProof/>
                <w:color w:val="000000"/>
              </w:rPr>
            </w:pPr>
            <w:r>
              <w:rPr>
                <w:rFonts w:ascii="Times New Roman" w:hAnsi="Times New Roman"/>
                <w:i/>
                <w:noProof/>
                <w:color w:val="000000"/>
              </w:rPr>
              <w:t>- La jeunesse sahraouie, acteur central de la résolution pacifique du conflit - Algérie, Tindouf; гражданско общество</w:t>
            </w:r>
            <w:r>
              <w:rPr>
                <w:rFonts w:ascii="Times New Roman" w:hAnsi="Times New Roman"/>
                <w:noProof/>
                <w:color w:val="000000"/>
              </w:rPr>
              <w:t xml:space="preserve">“ - насочен към бежанските лагери сахрави в Тиндуф (96 000 евро; 2016—2018 г.). Изпълняван от Oxfam-Solidariteit. </w:t>
            </w:r>
          </w:p>
          <w:p>
            <w:pPr>
              <w:jc w:val="both"/>
              <w:rPr>
                <w:rFonts w:ascii="Times New Roman" w:hAnsi="Times New Roman" w:cs="Times New Roman"/>
                <w:i/>
                <w:noProof/>
              </w:rPr>
            </w:pPr>
            <w:r>
              <w:rPr>
                <w:rFonts w:ascii="Times New Roman" w:hAnsi="Times New Roman"/>
                <w:noProof/>
                <w:color w:val="000000"/>
              </w:rPr>
              <w:t xml:space="preserve">- Voix du Sud, Voix du Nord pour un meilleur vivre ensemble en Algérie pour garantir la démocratie en Algérie </w:t>
            </w:r>
            <w:r>
              <w:rPr>
                <w:rFonts w:ascii="Times New Roman" w:hAnsi="Times New Roman"/>
                <w:noProof/>
              </w:rPr>
              <w:t>(0,5 милиона евро; проектът ще бъде стартиран и ще заработи до 2018 г.).</w:t>
            </w: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24</w:t>
            </w:r>
            <w:r>
              <w:rPr>
                <w:noProof/>
              </w:rPr>
              <w:tab/>
            </w:r>
            <w:r>
              <w:rPr>
                <w:rFonts w:ascii="Times New Roman" w:hAnsi="Times New Roman"/>
                <w:noProof/>
              </w:rPr>
              <w:t>Продължаване на подкрепата за инициативите на Глобалния форум за борба с тероризма (ГФБТ) за предотвратяване и противодействие на насилническия екстремизъм.</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ЕС продължи да предоставя подкрепа за предотвратяване и противодействие на насилствения екстремизъм на равнището на общностите чрез инициативи, вдъхновени от  Глобалния форум за борба с тероризма (ГФБТ), включително „Хедая“ — Международния център за високи постижения за борба срещу насилническия екстремизъм, и Глобалния фонд за обществена ангажираност и устойчивост (GCERF). По-конкретно, механизмът за безвъзмездна помощ „Хедая“ сега предоставя подкрепа за инициативите на най-близкото до гражданите равнище в Централна Азия, Западните Балкани и Грузия с финансиране от ЕС. Освен това ЕС подкрепя дейностите на GCERF в Бангладеш, Кения, Косово, Мали и Нигерия, както и новаторска инициатива на частния сектор за мобилизиране на съфинансиране от частния сектор за дейностите на GCERF.</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ЕС е съпредседател на работната група на ГФБТ за Африканския рог (с Турция) и е член на работната група на ГФБТ по въпросите на противодействието на насилствения екстремизъм. Въпросите на предотвратяването и противодействието на насилствения екстремизъм (включително младежта и жените) са основен елемент от работата на работната група за Африканския рог. ЕС организира през лятото на 2017 г. два семинара за ключовите заинтересовани страни в региона, с цел насърчаване на „жизнения цикъл на радикализацията“ на Глобалния форум за борба с тероризма  — набор от документи, съдържащи най-добри практики.</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25</w:t>
            </w:r>
            <w:r>
              <w:rPr>
                <w:noProof/>
              </w:rPr>
              <w:tab/>
            </w:r>
            <w:r>
              <w:rPr>
                <w:rFonts w:ascii="Times New Roman" w:hAnsi="Times New Roman"/>
                <w:noProof/>
              </w:rPr>
              <w:t>Включване на избрани съседни държави на ЕС в мрежите eTwinning Plus.</w:t>
            </w: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Инструментът eTwinning Plus (който вече обхваща Тунис, Азербайджан, Грузия, Украйна, Армения и Молдова) ще бъдат разширен, за да обхване други държави от евро-средиземноморското партньорство. Вече започнаха обсъждания с Алжир.</w:t>
            </w:r>
          </w:p>
          <w:p>
            <w:pPr>
              <w:jc w:val="both"/>
              <w:rPr>
                <w:rFonts w:ascii="Times New Roman" w:hAnsi="Times New Roman" w:cs="Times New Roman"/>
                <w:noProof/>
              </w:rPr>
            </w:pPr>
          </w:p>
        </w:tc>
      </w:tr>
      <w:tr>
        <w:tc>
          <w:tcPr>
            <w:tcW w:w="4928" w:type="dxa"/>
            <w:gridSpan w:val="2"/>
            <w:shd w:val="clear" w:color="auto" w:fill="FFFFFF" w:themeFill="background1"/>
          </w:tcPr>
          <w:p>
            <w:pPr>
              <w:ind w:left="480" w:hanging="480"/>
              <w:jc w:val="both"/>
              <w:rPr>
                <w:rFonts w:ascii="Times New Roman" w:hAnsi="Times New Roman" w:cs="Times New Roman"/>
                <w:noProof/>
              </w:rPr>
            </w:pPr>
            <w:r>
              <w:rPr>
                <w:rFonts w:ascii="Times New Roman" w:hAnsi="Times New Roman"/>
                <w:noProof/>
              </w:rPr>
              <w:t>26</w:t>
            </w:r>
            <w:r>
              <w:rPr>
                <w:noProof/>
              </w:rPr>
              <w:tab/>
            </w:r>
            <w:r>
              <w:rPr>
                <w:rFonts w:ascii="Times New Roman" w:hAnsi="Times New Roman"/>
                <w:noProof/>
              </w:rPr>
              <w:t>Стартиране на проект за осъществимостта на виртуален обмен по програма „Еразъм+“, за да се насърчават онлайн връзките между младите хора, като целта е до 2019 г. да бъдат обхванати 200 000 младежи.</w:t>
            </w:r>
          </w:p>
          <w:p>
            <w:pPr>
              <w:ind w:left="480" w:hanging="480"/>
              <w:jc w:val="both"/>
              <w:rPr>
                <w:rFonts w:ascii="Times New Roman" w:hAnsi="Times New Roman" w:cs="Times New Roman"/>
                <w:noProof/>
              </w:rPr>
            </w:pPr>
          </w:p>
        </w:tc>
        <w:tc>
          <w:tcPr>
            <w:tcW w:w="992" w:type="dxa"/>
            <w:gridSpan w:val="2"/>
            <w:shd w:val="clear" w:color="auto" w:fill="FFFFFF" w:themeFill="background1"/>
          </w:tcPr>
          <w:p>
            <w:pPr>
              <w:rPr>
                <w:rFonts w:ascii="Times New Roman" w:hAnsi="Times New Roman" w:cs="Times New Roman"/>
                <w:noProof/>
              </w:rPr>
            </w:pPr>
            <w:r>
              <w:rPr>
                <w:rFonts w:ascii="Times New Roman" w:hAnsi="Times New Roman"/>
                <w:noProof/>
              </w:rPr>
              <w:t>В ход</w:t>
            </w:r>
          </w:p>
        </w:tc>
        <w:tc>
          <w:tcPr>
            <w:tcW w:w="8348" w:type="dxa"/>
            <w:shd w:val="clear" w:color="auto" w:fill="FFFFFF" w:themeFill="background1"/>
          </w:tcPr>
          <w:p>
            <w:pPr>
              <w:jc w:val="both"/>
              <w:rPr>
                <w:rFonts w:ascii="Times New Roman" w:hAnsi="Times New Roman" w:cs="Times New Roman"/>
                <w:noProof/>
              </w:rPr>
            </w:pPr>
            <w:r>
              <w:rPr>
                <w:rFonts w:ascii="Times New Roman" w:hAnsi="Times New Roman"/>
                <w:noProof/>
              </w:rPr>
              <w:t>Проучването за осъществимост бе финализирано. Проектът предоставя възможности за това как да се стартира, а след това и напълно да се въведе инициативата, като обхваща ключови аспекти, като набирането на участници, назначаването и обучението на фасилитаторите, какво съдържание се изисква, за да се гарантира увеличаването на осведомеността на участниците относно културните различия, необходимите ИТ платформи и начина, по който ще бъдат признати участниците за участието им. Целта е да се започне пилотният проект с 1000—2000 младежи през 2018 г. и да се въведе по-широко до края на 2019 г.</w:t>
            </w:r>
          </w:p>
          <w:p>
            <w:pPr>
              <w:jc w:val="both"/>
              <w:rPr>
                <w:rFonts w:ascii="Times New Roman" w:hAnsi="Times New Roman" w:cs="Times New Roman"/>
                <w:noProof/>
              </w:rPr>
            </w:pPr>
          </w:p>
        </w:tc>
      </w:tr>
    </w:tbl>
    <w:p>
      <w:pPr>
        <w:tabs>
          <w:tab w:val="left" w:pos="12941"/>
        </w:tabs>
        <w:rPr>
          <w:rFonts w:ascii="Times New Roman" w:hAnsi="Times New Roman" w:cs="Times New Roman"/>
          <w:noProof/>
        </w:rPr>
      </w:pPr>
    </w:p>
    <w:sectPr>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718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20"/>
          <w:szCs w:val="20"/>
        </w:rPr>
      </w:pPr>
      <w:r>
        <w:rPr>
          <w:rStyle w:val="FootnoteReference"/>
        </w:rPr>
        <w:t>[1]</w:t>
      </w:r>
      <w:r>
        <w:t xml:space="preserve"> За повече информация вж.</w:t>
      </w:r>
      <w:hyperlink r:id="rId1">
        <w:r>
          <w:rPr>
            <w:rStyle w:val="Hyperlink"/>
          </w:rPr>
          <w:t>http://pameca.org.al/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B49"/>
    <w:multiLevelType w:val="hybridMultilevel"/>
    <w:tmpl w:val="7F901CE6"/>
    <w:lvl w:ilvl="0" w:tplc="33F22F54">
      <w:start w:val="5"/>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FA7254"/>
    <w:multiLevelType w:val="hybridMultilevel"/>
    <w:tmpl w:val="B23EA2A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2037B"/>
    <w:multiLevelType w:val="hybridMultilevel"/>
    <w:tmpl w:val="822C5A3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32545"/>
    <w:multiLevelType w:val="hybridMultilevel"/>
    <w:tmpl w:val="021091F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A079B"/>
    <w:multiLevelType w:val="hybridMultilevel"/>
    <w:tmpl w:val="E11C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E0772"/>
    <w:multiLevelType w:val="hybridMultilevel"/>
    <w:tmpl w:val="BF50E9F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0406F"/>
    <w:multiLevelType w:val="multilevel"/>
    <w:tmpl w:val="B87AA29C"/>
    <w:lvl w:ilvl="0">
      <w:start w:val="1"/>
      <w:numFmt w:val="decimal"/>
      <w:pStyle w:val="Para1"/>
      <w:lvlText w:val="%1."/>
      <w:lvlJc w:val="left"/>
      <w:pPr>
        <w:tabs>
          <w:tab w:val="num" w:pos="360"/>
        </w:tabs>
      </w:pPr>
      <w:rPr>
        <w:rFonts w:cs="Times New Roman"/>
      </w:rPr>
    </w:lvl>
    <w:lvl w:ilvl="1">
      <w:start w:val="1"/>
      <w:numFmt w:val="decimal"/>
      <w:pStyle w:val="Para2"/>
      <w:lvlText w:val="%1.%2."/>
      <w:lvlJc w:val="left"/>
      <w:pPr>
        <w:tabs>
          <w:tab w:val="num" w:pos="360"/>
        </w:tabs>
      </w:pPr>
      <w:rPr>
        <w:rFonts w:cs="Times New Roman"/>
      </w:rPr>
    </w:lvl>
    <w:lvl w:ilvl="2">
      <w:start w:val="1"/>
      <w:numFmt w:val="decimal"/>
      <w:pStyle w:val="Para3"/>
      <w:lvlText w:val="%1.%2.%3."/>
      <w:lvlJc w:val="left"/>
      <w:pPr>
        <w:tabs>
          <w:tab w:val="num" w:pos="720"/>
        </w:tabs>
      </w:pPr>
      <w:rPr>
        <w:rFonts w:cs="Times New Roman"/>
      </w:rPr>
    </w:lvl>
    <w:lvl w:ilvl="3">
      <w:start w:val="1"/>
      <w:numFmt w:val="lowerLetter"/>
      <w:pStyle w:val="Para4"/>
      <w:lvlText w:val="%4)"/>
      <w:lvlJc w:val="left"/>
      <w:pPr>
        <w:tabs>
          <w:tab w:val="num" w:pos="454"/>
        </w:tabs>
        <w:ind w:left="454" w:hanging="454"/>
      </w:pPr>
      <w:rPr>
        <w:rFonts w:cs="Times New Roman"/>
      </w:rPr>
    </w:lvl>
    <w:lvl w:ilvl="4">
      <w:start w:val="1"/>
      <w:numFmt w:val="lowerRoman"/>
      <w:pStyle w:val="Para5"/>
      <w:lvlText w:val="%5)"/>
      <w:lvlJc w:val="left"/>
      <w:pPr>
        <w:tabs>
          <w:tab w:val="num" w:pos="1174"/>
        </w:tabs>
        <w:ind w:left="851" w:hanging="397"/>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7">
    <w:nsid w:val="33272489"/>
    <w:multiLevelType w:val="hybridMultilevel"/>
    <w:tmpl w:val="CE7047F8"/>
    <w:lvl w:ilvl="0" w:tplc="A310184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618C3"/>
    <w:multiLevelType w:val="hybridMultilevel"/>
    <w:tmpl w:val="43C0B0D2"/>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4455B9"/>
    <w:multiLevelType w:val="hybridMultilevel"/>
    <w:tmpl w:val="C492B90C"/>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CF5D3A"/>
    <w:multiLevelType w:val="hybridMultilevel"/>
    <w:tmpl w:val="0D26E50C"/>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983090"/>
    <w:multiLevelType w:val="hybridMultilevel"/>
    <w:tmpl w:val="6C8E0B68"/>
    <w:lvl w:ilvl="0" w:tplc="FC90C370">
      <w:start w:val="1"/>
      <w:numFmt w:val="bullet"/>
      <w:lvlText w:val=""/>
      <w:lvlJc w:val="left"/>
      <w:pPr>
        <w:ind w:left="38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78043B"/>
    <w:multiLevelType w:val="hybridMultilevel"/>
    <w:tmpl w:val="39EED84A"/>
    <w:lvl w:ilvl="0" w:tplc="0809000F">
      <w:start w:val="1"/>
      <w:numFmt w:val="decimal"/>
      <w:lvlText w:val="%1."/>
      <w:lvlJc w:val="left"/>
      <w:pPr>
        <w:ind w:left="720" w:hanging="360"/>
      </w:pPr>
      <w:rPr>
        <w:rFonts w:cs="Times New Roman"/>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648471CB"/>
    <w:multiLevelType w:val="hybridMultilevel"/>
    <w:tmpl w:val="6FF45D4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785971"/>
    <w:multiLevelType w:val="hybridMultilevel"/>
    <w:tmpl w:val="157EDC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495343"/>
    <w:multiLevelType w:val="hybridMultilevel"/>
    <w:tmpl w:val="0FEE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1E0665"/>
    <w:multiLevelType w:val="hybridMultilevel"/>
    <w:tmpl w:val="E660A146"/>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1B4C33"/>
    <w:multiLevelType w:val="hybridMultilevel"/>
    <w:tmpl w:val="2F16AD1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026C62"/>
    <w:multiLevelType w:val="hybridMultilevel"/>
    <w:tmpl w:val="512C6D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1"/>
  </w:num>
  <w:num w:numId="5">
    <w:abstractNumId w:val="11"/>
  </w:num>
  <w:num w:numId="6">
    <w:abstractNumId w:val="16"/>
  </w:num>
  <w:num w:numId="7">
    <w:abstractNumId w:val="12"/>
  </w:num>
  <w:num w:numId="8">
    <w:abstractNumId w:val="10"/>
  </w:num>
  <w:num w:numId="9">
    <w:abstractNumId w:val="17"/>
  </w:num>
  <w:num w:numId="10">
    <w:abstractNumId w:val="0"/>
  </w:num>
  <w:num w:numId="11">
    <w:abstractNumId w:val="8"/>
  </w:num>
  <w:num w:numId="12">
    <w:abstractNumId w:val="15"/>
  </w:num>
  <w:num w:numId="13">
    <w:abstractNumId w:val="3"/>
  </w:num>
  <w:num w:numId="14">
    <w:abstractNumId w:val="14"/>
  </w:num>
  <w:num w:numId="15">
    <w:abstractNumId w:val="19"/>
  </w:num>
  <w:num w:numId="16">
    <w:abstractNumId w:val="2"/>
  </w:num>
  <w:num w:numId="17">
    <w:abstractNumId w:val="9"/>
  </w:num>
  <w:num w:numId="18">
    <w:abstractNumId w:val="18"/>
  </w:num>
  <w:num w:numId="19">
    <w:abstractNumId w:val="5"/>
  </w:num>
  <w:num w:numId="20">
    <w:abstractNumId w:val="1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C3C90CFB1548427B86D793CA31DD9081"/>
    <w:docVar w:name="LW_CROSSREFERENCE" w:val="&lt;UNUSED&gt;"/>
    <w:docVar w:name="LW_DocType" w:val="NORMAL"/>
    <w:docVar w:name="LW_EMISSION" w:val="29.6.2017"/>
    <w:docVar w:name="LW_EMISSION_ISODATE" w:val="2017-06-29"/>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4?\u1089?\u1084?\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
    <w:docVar w:name="LW_PART_NBR" w:val="1"/>
    <w:docVar w:name="LW_PART_NBR_TOTAL" w:val="1"/>
    <w:docVar w:name="LW_REF.INST.NEW" w:val="COM"/>
    <w:docVar w:name="LW_REF.INST.NEW_ADOPTED" w:val="final"/>
    <w:docVar w:name="LW_REF.INST.NEW_TEXT" w:val="(2017) 354"/>
    <w:docVar w:name="LW_REF.INTERNE" w:val="&lt;UNUSED&gt;"/>
    <w:docVar w:name="LW_SUPERTITRE" w:val="&lt;UNUSED&gt;"/>
    <w:docVar w:name="LW_TITRE.OBJ.CP" w:val="\u1040?\u1082?\u1090?\u1091?\u1072?\u1083?\u1085?\u1086? \u1089?\u1098?\u1089?\u1090?\u1086?\u1103?\u1085?\u1080?\u1077? \u1085?\u1072? \u1080?\u1079?\u1087?\u1098?\u1083?\u1085?\u1077?\u1085?\u1080?\u1077?\u1090?\u1086? \u1085?\u1072? \u1076?\u1077?\u1081?\u1089?\u1090?\u1074?\u1080?\u1103?\u1090?\u1072?, \u1086?\u1087?\u1088?\u1077?\u1076?\u1077?\u1083?\u1077?\u1085?\u1080? \u1074? \u1057?\u1098?\u1086?\u1073?\u1097?\u1077?\u1085?\u1080?\u1077?\u1090?\u1086? \u1085?\u1072? \u1050?\u1086?\u1084?\u1080?\u1089?\u1080?\u1103?\u1090?\u1072? _x000b_\u8222?\u1055?\u1086?\u1076?\u1087?\u1086?\u1084?\u1072?\u1075?\u1072?\u1085?\u1077? \u1085?\u1072? \u1087?\u1088?\u1077?\u1076?\u1086?\u1090?\u1074?\u1088?\u1072?\u1090?\u1103?\u1074?\u1072?\u1085?\u1077?\u1090?\u1086? \u1085?\u1072? \u1088?\u1072?\u1076?\u1080?\u1082?\u1072?\u1083?\u1080?\u1079?\u1072?\u1094?\u1080?\u1103?\u1090?\u1072?, \u1074?\u1086?\u1076?\u1077?\u1097?\u1072? \u1076?\u1086? \u1085?\u1072?\u1089?\u1080?\u1083?\u1085?\u1080?\u1095?\u1077?\u1089?\u1082?\u1080? \u1077?\u1082?\u1089?\u1090?\u1088?\u1077?\u1084?\u1080?\u1079?\u1098?\u1084?\u8220?"/>
    <w:docVar w:name="LW_TYPE.DOC.CP" w:val="\u1055?\u1056?\u1048?\u1051?\u1054?\u1046?\u1045?\u1053?\u1048?\u1045?_x000b_"/>
    <w:docVar w:name="LW_TYPEACTEPRINCIPAL.CP" w:val="\u1057?\u1098?\u1086?\u1073?\u1097?\u1077?\u1085?\u1080?\u1077? \u1085?\u1072? \u1050?\u1086?\u1084?\u1080?\u1089?\u1080?\u1103?\u1090?\u1072? \u1076?\u1086? \u1045?\u1074?\u1088?\u1086?\u1087?\u1077?\u1081?\u1089?\u1082?\u1080?\u1103? \u1087?\u1072?\u1088?\u1083?\u1072?\u1084?\u1077?\u1085?\u1090?, \u1045?\u1074?\u1088?\u1086?\u1087?\u1077?\u1081?\u1089?\u1082?\u1080?\u1103? \u1089?\u1098?\u1074?\u1077?\u1090? \u1080?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Titles">
    <w:name w:val="Italics Titles"/>
    <w:basedOn w:val="Normal"/>
    <w:qFormat/>
    <w:pPr>
      <w:spacing w:after="160" w:line="259" w:lineRule="auto"/>
    </w:pPr>
    <w:rPr>
      <w:b/>
      <w:i/>
      <w:color w:val="1E1D64"/>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bg-BG"/>
    </w:rPr>
  </w:style>
  <w:style w:type="paragraph" w:customStyle="1" w:styleId="CorpsA">
    <w:name w:val="Corps A"/>
    <w:basedOn w:val="Normal"/>
    <w:rPr>
      <w:rFonts w:ascii="Calibri" w:hAnsi="Calibri" w:cs="Times New Roman"/>
      <w:color w:val="000000"/>
    </w:rPr>
  </w:style>
  <w:style w:type="paragraph" w:customStyle="1" w:styleId="Char2">
    <w:name w:val="Char2"/>
    <w:basedOn w:val="Normal"/>
    <w:link w:val="FootnoteReference"/>
    <w:uiPriority w:val="99"/>
    <w:pPr>
      <w:spacing w:after="160" w:line="240" w:lineRule="exact"/>
    </w:pPr>
    <w:rPr>
      <w:vertAlign w:val="superscript"/>
    </w:rPr>
  </w:style>
  <w:style w:type="character" w:customStyle="1" w:styleId="AucunA">
    <w:name w:val="Aucun A"/>
    <w:basedOn w:val="DefaultParagraphFont"/>
  </w:style>
  <w:style w:type="paragraph" w:customStyle="1" w:styleId="Para1">
    <w:name w:val="Para_1"/>
    <w:basedOn w:val="Normal"/>
    <w:pPr>
      <w:numPr>
        <w:numId w:val="21"/>
      </w:numPr>
      <w:tabs>
        <w:tab w:val="left" w:pos="454"/>
      </w:tabs>
      <w:spacing w:after="240" w:line="240" w:lineRule="auto"/>
    </w:pPr>
    <w:rPr>
      <w:rFonts w:ascii="Garamond" w:eastAsia="Times New Roman" w:hAnsi="Garamond" w:cs="Times New Roman"/>
      <w:noProof/>
      <w:sz w:val="24"/>
      <w:szCs w:val="20"/>
    </w:rPr>
  </w:style>
  <w:style w:type="paragraph" w:customStyle="1" w:styleId="Para2">
    <w:name w:val="Para_2"/>
    <w:basedOn w:val="Normal"/>
    <w:pPr>
      <w:numPr>
        <w:ilvl w:val="1"/>
        <w:numId w:val="21"/>
      </w:numPr>
      <w:spacing w:after="240" w:line="240" w:lineRule="auto"/>
    </w:pPr>
    <w:rPr>
      <w:rFonts w:ascii="Garamond" w:eastAsia="Times New Roman" w:hAnsi="Garamond" w:cs="Times New Roman"/>
      <w:noProof/>
      <w:sz w:val="24"/>
      <w:szCs w:val="20"/>
    </w:rPr>
  </w:style>
  <w:style w:type="paragraph" w:customStyle="1" w:styleId="Para3">
    <w:name w:val="Para_3"/>
    <w:basedOn w:val="Normal"/>
    <w:pPr>
      <w:numPr>
        <w:ilvl w:val="2"/>
        <w:numId w:val="21"/>
      </w:numPr>
      <w:tabs>
        <w:tab w:val="left" w:pos="992"/>
      </w:tabs>
      <w:spacing w:after="240" w:line="240" w:lineRule="auto"/>
    </w:pPr>
    <w:rPr>
      <w:rFonts w:ascii="Garamond" w:eastAsia="Times New Roman" w:hAnsi="Garamond" w:cs="Times New Roman"/>
      <w:noProof/>
      <w:sz w:val="24"/>
      <w:szCs w:val="20"/>
    </w:rPr>
  </w:style>
  <w:style w:type="paragraph" w:customStyle="1" w:styleId="Para4">
    <w:name w:val="Para_4"/>
    <w:basedOn w:val="Normal"/>
    <w:pPr>
      <w:numPr>
        <w:ilvl w:val="3"/>
        <w:numId w:val="21"/>
      </w:numPr>
      <w:spacing w:after="240" w:line="240" w:lineRule="auto"/>
    </w:pPr>
    <w:rPr>
      <w:rFonts w:ascii="Garamond" w:eastAsia="Times New Roman" w:hAnsi="Garamond" w:cs="Times New Roman"/>
      <w:noProof/>
      <w:sz w:val="24"/>
      <w:szCs w:val="20"/>
    </w:rPr>
  </w:style>
  <w:style w:type="paragraph" w:customStyle="1" w:styleId="Para5">
    <w:name w:val="Para_5"/>
    <w:basedOn w:val="Normal"/>
    <w:pPr>
      <w:numPr>
        <w:ilvl w:val="4"/>
        <w:numId w:val="21"/>
      </w:numPr>
      <w:tabs>
        <w:tab w:val="left" w:pos="1021"/>
      </w:tabs>
      <w:spacing w:after="240" w:line="240" w:lineRule="auto"/>
    </w:pPr>
    <w:rPr>
      <w:rFonts w:ascii="Garamond" w:eastAsia="Times New Roman" w:hAnsi="Garamond" w:cs="Times New Roman"/>
      <w:noProof/>
      <w:sz w:val="24"/>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Titles">
    <w:name w:val="Italics Titles"/>
    <w:basedOn w:val="Normal"/>
    <w:qFormat/>
    <w:pPr>
      <w:spacing w:after="160" w:line="259" w:lineRule="auto"/>
    </w:pPr>
    <w:rPr>
      <w:b/>
      <w:i/>
      <w:color w:val="1E1D64"/>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bg-BG"/>
    </w:rPr>
  </w:style>
  <w:style w:type="paragraph" w:customStyle="1" w:styleId="CorpsA">
    <w:name w:val="Corps A"/>
    <w:basedOn w:val="Normal"/>
    <w:rPr>
      <w:rFonts w:ascii="Calibri" w:hAnsi="Calibri" w:cs="Times New Roman"/>
      <w:color w:val="000000"/>
    </w:rPr>
  </w:style>
  <w:style w:type="paragraph" w:customStyle="1" w:styleId="Char2">
    <w:name w:val="Char2"/>
    <w:basedOn w:val="Normal"/>
    <w:link w:val="FootnoteReference"/>
    <w:uiPriority w:val="99"/>
    <w:pPr>
      <w:spacing w:after="160" w:line="240" w:lineRule="exact"/>
    </w:pPr>
    <w:rPr>
      <w:vertAlign w:val="superscript"/>
    </w:rPr>
  </w:style>
  <w:style w:type="character" w:customStyle="1" w:styleId="AucunA">
    <w:name w:val="Aucun A"/>
    <w:basedOn w:val="DefaultParagraphFont"/>
  </w:style>
  <w:style w:type="paragraph" w:customStyle="1" w:styleId="Para1">
    <w:name w:val="Para_1"/>
    <w:basedOn w:val="Normal"/>
    <w:pPr>
      <w:numPr>
        <w:numId w:val="21"/>
      </w:numPr>
      <w:tabs>
        <w:tab w:val="left" w:pos="454"/>
      </w:tabs>
      <w:spacing w:after="240" w:line="240" w:lineRule="auto"/>
    </w:pPr>
    <w:rPr>
      <w:rFonts w:ascii="Garamond" w:eastAsia="Times New Roman" w:hAnsi="Garamond" w:cs="Times New Roman"/>
      <w:noProof/>
      <w:sz w:val="24"/>
      <w:szCs w:val="20"/>
    </w:rPr>
  </w:style>
  <w:style w:type="paragraph" w:customStyle="1" w:styleId="Para2">
    <w:name w:val="Para_2"/>
    <w:basedOn w:val="Normal"/>
    <w:pPr>
      <w:numPr>
        <w:ilvl w:val="1"/>
        <w:numId w:val="21"/>
      </w:numPr>
      <w:spacing w:after="240" w:line="240" w:lineRule="auto"/>
    </w:pPr>
    <w:rPr>
      <w:rFonts w:ascii="Garamond" w:eastAsia="Times New Roman" w:hAnsi="Garamond" w:cs="Times New Roman"/>
      <w:noProof/>
      <w:sz w:val="24"/>
      <w:szCs w:val="20"/>
    </w:rPr>
  </w:style>
  <w:style w:type="paragraph" w:customStyle="1" w:styleId="Para3">
    <w:name w:val="Para_3"/>
    <w:basedOn w:val="Normal"/>
    <w:pPr>
      <w:numPr>
        <w:ilvl w:val="2"/>
        <w:numId w:val="21"/>
      </w:numPr>
      <w:tabs>
        <w:tab w:val="left" w:pos="992"/>
      </w:tabs>
      <w:spacing w:after="240" w:line="240" w:lineRule="auto"/>
    </w:pPr>
    <w:rPr>
      <w:rFonts w:ascii="Garamond" w:eastAsia="Times New Roman" w:hAnsi="Garamond" w:cs="Times New Roman"/>
      <w:noProof/>
      <w:sz w:val="24"/>
      <w:szCs w:val="20"/>
    </w:rPr>
  </w:style>
  <w:style w:type="paragraph" w:customStyle="1" w:styleId="Para4">
    <w:name w:val="Para_4"/>
    <w:basedOn w:val="Normal"/>
    <w:pPr>
      <w:numPr>
        <w:ilvl w:val="3"/>
        <w:numId w:val="21"/>
      </w:numPr>
      <w:spacing w:after="240" w:line="240" w:lineRule="auto"/>
    </w:pPr>
    <w:rPr>
      <w:rFonts w:ascii="Garamond" w:eastAsia="Times New Roman" w:hAnsi="Garamond" w:cs="Times New Roman"/>
      <w:noProof/>
      <w:sz w:val="24"/>
      <w:szCs w:val="20"/>
    </w:rPr>
  </w:style>
  <w:style w:type="paragraph" w:customStyle="1" w:styleId="Para5">
    <w:name w:val="Para_5"/>
    <w:basedOn w:val="Normal"/>
    <w:pPr>
      <w:numPr>
        <w:ilvl w:val="4"/>
        <w:numId w:val="21"/>
      </w:numPr>
      <w:tabs>
        <w:tab w:val="left" w:pos="1021"/>
      </w:tabs>
      <w:spacing w:after="240" w:line="240" w:lineRule="auto"/>
    </w:pPr>
    <w:rPr>
      <w:rFonts w:ascii="Garamond" w:eastAsia="Times New Roman" w:hAnsi="Garamond" w:cs="Times New Roman"/>
      <w:noProof/>
      <w:sz w:val="24"/>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800">
      <w:bodyDiv w:val="1"/>
      <w:marLeft w:val="0"/>
      <w:marRight w:val="0"/>
      <w:marTop w:val="0"/>
      <w:marBottom w:val="0"/>
      <w:divBdr>
        <w:top w:val="none" w:sz="0" w:space="0" w:color="auto"/>
        <w:left w:val="none" w:sz="0" w:space="0" w:color="auto"/>
        <w:bottom w:val="none" w:sz="0" w:space="0" w:color="auto"/>
        <w:right w:val="none" w:sz="0" w:space="0" w:color="auto"/>
      </w:divBdr>
    </w:div>
    <w:div w:id="291909095">
      <w:bodyDiv w:val="1"/>
      <w:marLeft w:val="0"/>
      <w:marRight w:val="0"/>
      <w:marTop w:val="0"/>
      <w:marBottom w:val="0"/>
      <w:divBdr>
        <w:top w:val="none" w:sz="0" w:space="0" w:color="auto"/>
        <w:left w:val="none" w:sz="0" w:space="0" w:color="auto"/>
        <w:bottom w:val="none" w:sz="0" w:space="0" w:color="auto"/>
        <w:right w:val="none" w:sz="0" w:space="0" w:color="auto"/>
      </w:divBdr>
    </w:div>
    <w:div w:id="363949782">
      <w:bodyDiv w:val="1"/>
      <w:marLeft w:val="0"/>
      <w:marRight w:val="0"/>
      <w:marTop w:val="0"/>
      <w:marBottom w:val="0"/>
      <w:divBdr>
        <w:top w:val="none" w:sz="0" w:space="0" w:color="auto"/>
        <w:left w:val="none" w:sz="0" w:space="0" w:color="auto"/>
        <w:bottom w:val="none" w:sz="0" w:space="0" w:color="auto"/>
        <w:right w:val="none" w:sz="0" w:space="0" w:color="auto"/>
      </w:divBdr>
    </w:div>
    <w:div w:id="364984598">
      <w:bodyDiv w:val="1"/>
      <w:marLeft w:val="0"/>
      <w:marRight w:val="0"/>
      <w:marTop w:val="0"/>
      <w:marBottom w:val="0"/>
      <w:divBdr>
        <w:top w:val="none" w:sz="0" w:space="0" w:color="auto"/>
        <w:left w:val="none" w:sz="0" w:space="0" w:color="auto"/>
        <w:bottom w:val="none" w:sz="0" w:space="0" w:color="auto"/>
        <w:right w:val="none" w:sz="0" w:space="0" w:color="auto"/>
      </w:divBdr>
    </w:div>
    <w:div w:id="573707390">
      <w:bodyDiv w:val="1"/>
      <w:marLeft w:val="0"/>
      <w:marRight w:val="0"/>
      <w:marTop w:val="0"/>
      <w:marBottom w:val="0"/>
      <w:divBdr>
        <w:top w:val="none" w:sz="0" w:space="0" w:color="auto"/>
        <w:left w:val="none" w:sz="0" w:space="0" w:color="auto"/>
        <w:bottom w:val="none" w:sz="0" w:space="0" w:color="auto"/>
        <w:right w:val="none" w:sz="0" w:space="0" w:color="auto"/>
      </w:divBdr>
    </w:div>
    <w:div w:id="584456515">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860702516">
      <w:bodyDiv w:val="1"/>
      <w:marLeft w:val="0"/>
      <w:marRight w:val="0"/>
      <w:marTop w:val="0"/>
      <w:marBottom w:val="0"/>
      <w:divBdr>
        <w:top w:val="none" w:sz="0" w:space="0" w:color="auto"/>
        <w:left w:val="none" w:sz="0" w:space="0" w:color="auto"/>
        <w:bottom w:val="none" w:sz="0" w:space="0" w:color="auto"/>
        <w:right w:val="none" w:sz="0" w:space="0" w:color="auto"/>
      </w:divBdr>
    </w:div>
    <w:div w:id="901017247">
      <w:bodyDiv w:val="1"/>
      <w:marLeft w:val="0"/>
      <w:marRight w:val="0"/>
      <w:marTop w:val="0"/>
      <w:marBottom w:val="0"/>
      <w:divBdr>
        <w:top w:val="none" w:sz="0" w:space="0" w:color="auto"/>
        <w:left w:val="none" w:sz="0" w:space="0" w:color="auto"/>
        <w:bottom w:val="none" w:sz="0" w:space="0" w:color="auto"/>
        <w:right w:val="none" w:sz="0" w:space="0" w:color="auto"/>
      </w:divBdr>
    </w:div>
    <w:div w:id="976449302">
      <w:bodyDiv w:val="1"/>
      <w:marLeft w:val="0"/>
      <w:marRight w:val="0"/>
      <w:marTop w:val="0"/>
      <w:marBottom w:val="0"/>
      <w:divBdr>
        <w:top w:val="none" w:sz="0" w:space="0" w:color="auto"/>
        <w:left w:val="none" w:sz="0" w:space="0" w:color="auto"/>
        <w:bottom w:val="none" w:sz="0" w:space="0" w:color="auto"/>
        <w:right w:val="none" w:sz="0" w:space="0" w:color="auto"/>
      </w:divBdr>
    </w:div>
    <w:div w:id="1108889487">
      <w:bodyDiv w:val="1"/>
      <w:marLeft w:val="0"/>
      <w:marRight w:val="0"/>
      <w:marTop w:val="0"/>
      <w:marBottom w:val="0"/>
      <w:divBdr>
        <w:top w:val="none" w:sz="0" w:space="0" w:color="auto"/>
        <w:left w:val="none" w:sz="0" w:space="0" w:color="auto"/>
        <w:bottom w:val="none" w:sz="0" w:space="0" w:color="auto"/>
        <w:right w:val="none" w:sz="0" w:space="0" w:color="auto"/>
      </w:divBdr>
    </w:div>
    <w:div w:id="1170411718">
      <w:bodyDiv w:val="1"/>
      <w:marLeft w:val="0"/>
      <w:marRight w:val="0"/>
      <w:marTop w:val="0"/>
      <w:marBottom w:val="0"/>
      <w:divBdr>
        <w:top w:val="none" w:sz="0" w:space="0" w:color="auto"/>
        <w:left w:val="none" w:sz="0" w:space="0" w:color="auto"/>
        <w:bottom w:val="none" w:sz="0" w:space="0" w:color="auto"/>
        <w:right w:val="none" w:sz="0" w:space="0" w:color="auto"/>
      </w:divBdr>
    </w:div>
    <w:div w:id="1804539905">
      <w:bodyDiv w:val="1"/>
      <w:marLeft w:val="0"/>
      <w:marRight w:val="0"/>
      <w:marTop w:val="0"/>
      <w:marBottom w:val="0"/>
      <w:divBdr>
        <w:top w:val="none" w:sz="0" w:space="0" w:color="auto"/>
        <w:left w:val="none" w:sz="0" w:space="0" w:color="auto"/>
        <w:bottom w:val="none" w:sz="0" w:space="0" w:color="auto"/>
        <w:right w:val="none" w:sz="0" w:space="0" w:color="auto"/>
      </w:divBdr>
    </w:div>
    <w:div w:id="1838959395">
      <w:bodyDiv w:val="1"/>
      <w:marLeft w:val="0"/>
      <w:marRight w:val="0"/>
      <w:marTop w:val="0"/>
      <w:marBottom w:val="0"/>
      <w:divBdr>
        <w:top w:val="none" w:sz="0" w:space="0" w:color="auto"/>
        <w:left w:val="none" w:sz="0" w:space="0" w:color="auto"/>
        <w:bottom w:val="none" w:sz="0" w:space="0" w:color="auto"/>
        <w:right w:val="none" w:sz="0" w:space="0" w:color="auto"/>
      </w:divBdr>
    </w:div>
    <w:div w:id="2019843438">
      <w:bodyDiv w:val="1"/>
      <w:marLeft w:val="0"/>
      <w:marRight w:val="0"/>
      <w:marTop w:val="0"/>
      <w:marBottom w:val="0"/>
      <w:divBdr>
        <w:top w:val="none" w:sz="0" w:space="0" w:color="auto"/>
        <w:left w:val="none" w:sz="0" w:space="0" w:color="auto"/>
        <w:bottom w:val="none" w:sz="0" w:space="0" w:color="auto"/>
        <w:right w:val="none" w:sz="0" w:space="0" w:color="auto"/>
      </w:divBdr>
      <w:divsChild>
        <w:div w:id="919560639">
          <w:marLeft w:val="0"/>
          <w:marRight w:val="0"/>
          <w:marTop w:val="0"/>
          <w:marBottom w:val="0"/>
          <w:divBdr>
            <w:top w:val="none" w:sz="0" w:space="0" w:color="auto"/>
            <w:left w:val="none" w:sz="0" w:space="0" w:color="auto"/>
            <w:bottom w:val="none" w:sz="0" w:space="0" w:color="auto"/>
            <w:right w:val="none" w:sz="0" w:space="0" w:color="auto"/>
          </w:divBdr>
          <w:divsChild>
            <w:div w:id="1564634658">
              <w:marLeft w:val="0"/>
              <w:marRight w:val="0"/>
              <w:marTop w:val="0"/>
              <w:marBottom w:val="0"/>
              <w:divBdr>
                <w:top w:val="none" w:sz="0" w:space="0" w:color="auto"/>
                <w:left w:val="none" w:sz="0" w:space="0" w:color="auto"/>
                <w:bottom w:val="none" w:sz="0" w:space="0" w:color="auto"/>
                <w:right w:val="none" w:sz="0" w:space="0" w:color="auto"/>
              </w:divBdr>
              <w:divsChild>
                <w:div w:id="517504785">
                  <w:marLeft w:val="0"/>
                  <w:marRight w:val="-4875"/>
                  <w:marTop w:val="0"/>
                  <w:marBottom w:val="0"/>
                  <w:divBdr>
                    <w:top w:val="none" w:sz="0" w:space="0" w:color="auto"/>
                    <w:left w:val="none" w:sz="0" w:space="0" w:color="auto"/>
                    <w:bottom w:val="none" w:sz="0" w:space="0" w:color="auto"/>
                    <w:right w:val="none" w:sz="0" w:space="0" w:color="auto"/>
                  </w:divBdr>
                  <w:divsChild>
                    <w:div w:id="2051686585">
                      <w:marLeft w:val="0"/>
                      <w:marRight w:val="0"/>
                      <w:marTop w:val="0"/>
                      <w:marBottom w:val="0"/>
                      <w:divBdr>
                        <w:top w:val="none" w:sz="0" w:space="0" w:color="auto"/>
                        <w:left w:val="none" w:sz="0" w:space="0" w:color="auto"/>
                        <w:bottom w:val="none" w:sz="0" w:space="0" w:color="auto"/>
                        <w:right w:val="none" w:sz="0" w:space="0" w:color="auto"/>
                      </w:divBdr>
                      <w:divsChild>
                        <w:div w:id="1086657040">
                          <w:marLeft w:val="0"/>
                          <w:marRight w:val="0"/>
                          <w:marTop w:val="0"/>
                          <w:marBottom w:val="0"/>
                          <w:divBdr>
                            <w:top w:val="none" w:sz="0" w:space="0" w:color="auto"/>
                            <w:left w:val="none" w:sz="0" w:space="0" w:color="auto"/>
                            <w:bottom w:val="none" w:sz="0" w:space="0" w:color="auto"/>
                            <w:right w:val="none" w:sz="0" w:space="0" w:color="auto"/>
                          </w:divBdr>
                          <w:divsChild>
                            <w:div w:id="15238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dgs/home-affairs/what-we-do/networks/radicalisation_awareness_network/ran-and-member-states/repository/index_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home-affairs/what-we-do/networks/radicalisation_awareness_network/ran-papers_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pameca.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F3AF-F510-4F0D-B8EB-FA016F44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5270</Words>
  <Characters>32095</Characters>
  <Application>Microsoft Office Word</Application>
  <DocSecurity>0</DocSecurity>
  <Lines>782</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2017-06-26T17:15:00Z</dcterms:created>
  <dcterms:modified xsi:type="dcterms:W3CDTF">2017-07-27T06:32:00Z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