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076ADBEA191547BBB023477C284866C4" style="width:450.7pt;height:48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pBdr>
          <w:top w:val="single" w:sz="4" w:space="1" w:color="auto"/>
          <w:left w:val="single" w:sz="4" w:space="4" w:color="auto"/>
          <w:bottom w:val="single" w:sz="4" w:space="1" w:color="auto"/>
          <w:right w:val="single" w:sz="4" w:space="4" w:color="auto"/>
        </w:pBdr>
        <w:shd w:val="clear" w:color="auto" w:fill="8DB3E2" w:themeFill="text2" w:themeFillTint="66"/>
        <w:jc w:val="center"/>
        <w:rPr>
          <w:rFonts w:ascii="Times New Roman" w:eastAsia="Times New Roman" w:hAnsi="Times New Roman" w:cs="Times New Roman"/>
          <w:b/>
          <w:noProof/>
        </w:rPr>
      </w:pPr>
      <w:bookmarkStart w:id="1" w:name="_GoBack"/>
      <w:bookmarkEnd w:id="1"/>
      <w:r>
        <w:rPr>
          <w:rFonts w:ascii="Times New Roman" w:hAnsi="Times New Roman"/>
          <w:b/>
          <w:noProof/>
        </w:rPr>
        <w:lastRenderedPageBreak/>
        <w:t>АКТУАЛНО СЪСТОЯНИЕ НА ИЗПЪЛНЕНИЕТО НА ПЛАНА ЗА ДЕЙСТВИЕ С ЦЕЛ ЗАСИЛВАНЕ НА БОРБАТА С ФИНАНСИРАНЕТО НА ТЕРОРИЗМА (COM(2016) 50 final от 2.2.2016 г.)</w:t>
      </w:r>
    </w:p>
    <w:p>
      <w:pPr>
        <w:pBdr>
          <w:top w:val="single" w:sz="4" w:space="1" w:color="auto"/>
          <w:left w:val="single" w:sz="4" w:space="4" w:color="auto"/>
          <w:bottom w:val="single" w:sz="4" w:space="1" w:color="auto"/>
          <w:right w:val="single" w:sz="4" w:space="4" w:color="auto"/>
        </w:pBdr>
        <w:shd w:val="clear" w:color="auto" w:fill="8DB3E2" w:themeFill="text2" w:themeFillTint="66"/>
        <w:rPr>
          <w:rFonts w:ascii="Times New Roman" w:eastAsia="Times New Roman" w:hAnsi="Times New Roman" w:cs="Times New Roman"/>
          <w:b/>
          <w:noProof/>
        </w:rPr>
      </w:pPr>
    </w:p>
    <w:tbl>
      <w:tblPr>
        <w:tblStyle w:val="TableGrid"/>
        <w:tblW w:w="0" w:type="auto"/>
        <w:tblLayout w:type="fixed"/>
        <w:tblLook w:val="04A0" w:firstRow="1" w:lastRow="0" w:firstColumn="1" w:lastColumn="0" w:noHBand="0" w:noVBand="1"/>
      </w:tblPr>
      <w:tblGrid>
        <w:gridCol w:w="5211"/>
        <w:gridCol w:w="1701"/>
        <w:gridCol w:w="7306"/>
      </w:tblGrid>
      <w:tr>
        <w:tc>
          <w:tcPr>
            <w:tcW w:w="521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pPr>
              <w:rPr>
                <w:rFonts w:ascii="Times New Roman" w:hAnsi="Times New Roman" w:cs="Times New Roman"/>
                <w:b/>
                <w:noProof/>
                <w:sz w:val="20"/>
                <w:szCs w:val="20"/>
              </w:rPr>
            </w:pPr>
            <w:r>
              <w:rPr>
                <w:rFonts w:ascii="Times New Roman" w:hAnsi="Times New Roman" w:cs="Times New Roman"/>
                <w:b/>
                <w:noProof/>
                <w:sz w:val="20"/>
                <w:szCs w:val="20"/>
              </w:rPr>
              <w:t>Цели и действия</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pPr>
              <w:jc w:val="center"/>
              <w:rPr>
                <w:rFonts w:ascii="Times New Roman" w:hAnsi="Times New Roman" w:cs="Times New Roman"/>
                <w:b/>
                <w:noProof/>
                <w:sz w:val="20"/>
                <w:szCs w:val="20"/>
              </w:rPr>
            </w:pPr>
            <w:r>
              <w:rPr>
                <w:rFonts w:ascii="Times New Roman" w:hAnsi="Times New Roman" w:cs="Times New Roman"/>
                <w:b/>
                <w:noProof/>
                <w:sz w:val="20"/>
                <w:szCs w:val="20"/>
              </w:rPr>
              <w:t>Срокове</w:t>
            </w:r>
          </w:p>
        </w:tc>
        <w:tc>
          <w:tcPr>
            <w:tcW w:w="7306"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pPr>
              <w:rPr>
                <w:rFonts w:ascii="Times New Roman" w:hAnsi="Times New Roman" w:cs="Times New Roman"/>
                <w:b/>
                <w:noProof/>
                <w:sz w:val="20"/>
                <w:szCs w:val="20"/>
              </w:rPr>
            </w:pPr>
            <w:r>
              <w:rPr>
                <w:rFonts w:ascii="Times New Roman" w:hAnsi="Times New Roman" w:cs="Times New Roman"/>
                <w:b/>
                <w:noProof/>
                <w:sz w:val="20"/>
                <w:szCs w:val="20"/>
              </w:rPr>
              <w:t>Описание/Актуално състояние</w:t>
            </w:r>
          </w:p>
        </w:tc>
      </w:tr>
      <w:tr>
        <w:tc>
          <w:tcPr>
            <w:tcW w:w="142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jc w:val="center"/>
              <w:rPr>
                <w:rFonts w:ascii="Times New Roman" w:hAnsi="Times New Roman" w:cs="Times New Roman"/>
                <w:noProof/>
              </w:rPr>
            </w:pPr>
            <w:r>
              <w:rPr>
                <w:rFonts w:ascii="Times New Roman" w:hAnsi="Times New Roman" w:cs="Times New Roman"/>
                <w:b/>
                <w:noProof/>
              </w:rPr>
              <w:t>Предотвратяване на движението на средства и идентифициране на финансирането на тероризма</w:t>
            </w:r>
          </w:p>
        </w:tc>
      </w:tr>
      <w:tr>
        <w:tc>
          <w:tcPr>
            <w:tcW w:w="142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jc w:val="center"/>
              <w:rPr>
                <w:rFonts w:ascii="Times New Roman" w:hAnsi="Times New Roman" w:cs="Times New Roman"/>
                <w:i/>
                <w:noProof/>
              </w:rPr>
            </w:pPr>
            <w:r>
              <w:rPr>
                <w:rFonts w:ascii="Times New Roman" w:hAnsi="Times New Roman" w:cs="Times New Roman"/>
                <w:i/>
                <w:noProof/>
              </w:rPr>
              <w:t>Борба срещу злоупотребите с финансовата система за целите на финансирането на тероризма</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t>Изтегляне на срока за ефективно транспониране и за влизане в действие на четвъртата директива срещу изпирането на пари.</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четвъртото тримесечие на 2016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1.1.2017 г. в предложението за изменения на четвъртата директива срещу изпирането на пари.</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 xml:space="preserve">Заменено от текущите преговори (тристранни) за изменение на четвъртата директива срещу изпирането на пари — вж. по-долу. </w:t>
            </w:r>
          </w:p>
        </w:tc>
      </w:tr>
      <w:tr>
        <w:tc>
          <w:tcPr>
            <w:tcW w:w="5211"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 xml:space="preserve">Приемане на списък с високорисковите трети държави със стратегически пропуски в борбата с изпирането на пари/финансирането на тероризма. </w:t>
            </w: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второто тримесечие на 2016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Делегиран акт със списък на ЕС, в който се вземат предвид препоръките на списъците на Специалната група за финансови действия, приети на 14.7.2016 г., влезе в сила през септември 2016 г.</w:t>
            </w:r>
          </w:p>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Допълнителните изменения на делегирания акт са отхвърлени от Европейския парламент.</w:t>
            </w:r>
          </w:p>
          <w:p>
            <w:pPr>
              <w:pStyle w:val="ListParagraph"/>
              <w:numPr>
                <w:ilvl w:val="0"/>
                <w:numId w:val="21"/>
              </w:numPr>
              <w:jc w:val="both"/>
              <w:rPr>
                <w:rFonts w:ascii="Times New Roman" w:hAnsi="Times New Roman" w:cs="Times New Roman"/>
                <w:noProof/>
              </w:rPr>
            </w:pPr>
            <w:r>
              <w:rPr>
                <w:rFonts w:ascii="Times New Roman" w:hAnsi="Times New Roman" w:cs="Times New Roman"/>
                <w:noProof/>
              </w:rPr>
              <w:t>Комисията възнамерява да засили своя активен ангажимент за диалог и координация в рамките на Специалната група за финансови действия, за да повлияе на процеса на включване в списъка на високорискови трети държави нагоре по веригата.</w:t>
            </w:r>
          </w:p>
          <w:p>
            <w:pPr>
              <w:pStyle w:val="ListParagraph"/>
              <w:numPr>
                <w:ilvl w:val="0"/>
                <w:numId w:val="21"/>
              </w:numPr>
              <w:jc w:val="both"/>
              <w:rPr>
                <w:rFonts w:ascii="Times New Roman" w:hAnsi="Times New Roman" w:cs="Times New Roman"/>
                <w:noProof/>
              </w:rPr>
            </w:pPr>
            <w:r>
              <w:rPr>
                <w:rFonts w:ascii="Times New Roman" w:hAnsi="Times New Roman" w:cs="Times New Roman"/>
                <w:noProof/>
              </w:rPr>
              <w:t xml:space="preserve">Комисията също така ще разработи нова методология за оценка на ЕС, която не се основава само на външни източници на информация. Изготвя се пътна карта, в която се посочват основните стъпки към такава нова методология, с поетапни подробни планове за следващите 18 месеца и перспективи за следващия период. </w:t>
            </w:r>
          </w:p>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ЕС следва също така да работи проактивно с държавите с „нисък капацитет“, за да им помогне да подобрят положението си по отношение на предотвратяването на изпирането на пари/финансирането на тероризма.</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t xml:space="preserve">Публикуване на доклад относно наднационалната оценка на рисковете от изпиране на пари и финансиране на тероризма и препоръки към държавите членки относно подходящи мерки за </w:t>
            </w:r>
            <w:r>
              <w:rPr>
                <w:rFonts w:ascii="Times New Roman" w:hAnsi="Times New Roman" w:cs="Times New Roman"/>
                <w:noProof/>
              </w:rPr>
              <w:lastRenderedPageBreak/>
              <w:t>справяне с тези рискове.</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lastRenderedPageBreak/>
              <w:t>Второ тримесечие на 2017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В процес на изпълнение.</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Предвидено за приемане в края на юни 2017 г.</w:t>
            </w:r>
          </w:p>
        </w:tc>
      </w:tr>
      <w:tr>
        <w:tc>
          <w:tcPr>
            <w:tcW w:w="5211"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lastRenderedPageBreak/>
              <w:br w:type="page"/>
              <w:t>Предложение за изменения на следните пунктове от четвъртата директива срещу изпирането на пари:</w:t>
            </w:r>
          </w:p>
          <w:p>
            <w:pPr>
              <w:pStyle w:val="ListParagraph"/>
              <w:numPr>
                <w:ilvl w:val="0"/>
                <w:numId w:val="22"/>
              </w:numPr>
              <w:rPr>
                <w:rFonts w:ascii="Times New Roman" w:hAnsi="Times New Roman" w:cs="Times New Roman"/>
                <w:noProof/>
              </w:rPr>
            </w:pPr>
            <w:r>
              <w:rPr>
                <w:rFonts w:ascii="Times New Roman" w:hAnsi="Times New Roman" w:cs="Times New Roman"/>
                <w:noProof/>
              </w:rPr>
              <w:t>Мерки/контрамерки за разширена комплексна проверка по отношение на високорискови трети държави;</w:t>
            </w:r>
          </w:p>
          <w:p>
            <w:pPr>
              <w:pStyle w:val="ListParagraph"/>
              <w:numPr>
                <w:ilvl w:val="0"/>
                <w:numId w:val="22"/>
              </w:numPr>
              <w:rPr>
                <w:rFonts w:ascii="Times New Roman" w:hAnsi="Times New Roman" w:cs="Times New Roman"/>
                <w:noProof/>
              </w:rPr>
            </w:pPr>
            <w:r>
              <w:rPr>
                <w:rFonts w:ascii="Times New Roman" w:hAnsi="Times New Roman" w:cs="Times New Roman"/>
                <w:noProof/>
              </w:rPr>
              <w:t>Платформи за обмен на виртуални валути;</w:t>
            </w:r>
          </w:p>
          <w:p>
            <w:pPr>
              <w:pStyle w:val="ListParagraph"/>
              <w:numPr>
                <w:ilvl w:val="0"/>
                <w:numId w:val="22"/>
              </w:numPr>
              <w:rPr>
                <w:rFonts w:ascii="Times New Roman" w:hAnsi="Times New Roman" w:cs="Times New Roman"/>
                <w:noProof/>
              </w:rPr>
            </w:pPr>
            <w:r>
              <w:rPr>
                <w:rFonts w:ascii="Times New Roman" w:hAnsi="Times New Roman" w:cs="Times New Roman"/>
                <w:noProof/>
              </w:rPr>
              <w:t>Предплатени инструменти;</w:t>
            </w:r>
          </w:p>
          <w:p>
            <w:pPr>
              <w:pStyle w:val="ListParagraph"/>
              <w:numPr>
                <w:ilvl w:val="0"/>
                <w:numId w:val="22"/>
              </w:numPr>
              <w:rPr>
                <w:rFonts w:ascii="Times New Roman" w:hAnsi="Times New Roman" w:cs="Times New Roman"/>
                <w:noProof/>
              </w:rPr>
            </w:pPr>
            <w:r>
              <w:rPr>
                <w:rFonts w:ascii="Times New Roman" w:hAnsi="Times New Roman" w:cs="Times New Roman"/>
                <w:noProof/>
              </w:rPr>
              <w:t>Централизирани регистри на банковите и платежните сметки или електронни системи за извличане на данни;</w:t>
            </w:r>
          </w:p>
          <w:p>
            <w:pPr>
              <w:pStyle w:val="ListParagraph"/>
              <w:numPr>
                <w:ilvl w:val="0"/>
                <w:numId w:val="22"/>
              </w:numPr>
              <w:rPr>
                <w:rFonts w:ascii="Times New Roman" w:hAnsi="Times New Roman" w:cs="Times New Roman"/>
                <w:noProof/>
              </w:rPr>
            </w:pPr>
            <w:r>
              <w:rPr>
                <w:rFonts w:ascii="Times New Roman" w:hAnsi="Times New Roman" w:cs="Times New Roman"/>
                <w:noProof/>
              </w:rPr>
              <w:t>Достъпа на звената за финансово разузнаване до информация и обмен на информация.</w:t>
            </w: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второто тримесечие на 2016 г. — Изпълнено</w:t>
            </w:r>
          </w:p>
        </w:tc>
        <w:tc>
          <w:tcPr>
            <w:tcW w:w="7306" w:type="dxa"/>
            <w:tcBorders>
              <w:top w:val="single" w:sz="4" w:space="0" w:color="auto"/>
              <w:left w:val="single" w:sz="4" w:space="0" w:color="auto"/>
              <w:bottom w:val="single" w:sz="4" w:space="0" w:color="auto"/>
              <w:right w:val="single" w:sz="4" w:space="0" w:color="auto"/>
            </w:tcBorders>
          </w:tcPr>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 xml:space="preserve">Предложението е прието от Комисията на 5.7.2016 г. </w:t>
            </w:r>
          </w:p>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Понастоящем в напреднал етап на тристранни преговори.</w:t>
            </w:r>
          </w:p>
          <w:p>
            <w:pPr>
              <w:pStyle w:val="ListParagraph"/>
              <w:ind w:left="360"/>
              <w:rPr>
                <w:rFonts w:ascii="Times New Roman" w:hAnsi="Times New Roman" w:cs="Times New Roman"/>
                <w:noProof/>
              </w:rPr>
            </w:pP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br w:type="page"/>
              <w:t>Подобряване на ефикасността на транспонирането от ЕС на мерките на ООН за замразяване на средства, включително чрез по-добра информация между ЕС и ООН.</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второто тримесечие на 2016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В процес на изпълнение: Службите на Комисията намалиха времето, необходимо да транспонират в законодателството на ЕС новите списъци на ООН, свързани с Ислямска държава/Ал Кайда, от 5 на 3 дни средно — отчасти в резултат на засиленото споделяне на информация от Комитета на ООН по санкциите относно Ислямска държава/Ал Кайда.</w:t>
            </w:r>
          </w:p>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Службите на Комисията проучват въпроса какво може да се направи, за да се сведе времето за транспониране до 2 дни.</w:t>
            </w:r>
          </w:p>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На Генералния секретариат на Съвета беше възложено да създаде база данни за мониторинг на забраните за влизане в ШИС въз основа на санкциите на ООН. Тя ще бъде на разположение до 2017—2018 г.</w:t>
            </w:r>
          </w:p>
        </w:tc>
      </w:tr>
      <w:tr>
        <w:tc>
          <w:tcPr>
            <w:tcW w:w="5211"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Засилване на капацитета на държавите членки, Комисията, Европейската служба за външна дейност (ЕСВД) и на икономическите оператори да обменят информация относно предизвикателствата пред прилагането на ограничителни мерки, включително за обмен на информация относно новите списъци на ООН, чрез базата данни за финансови санкции.</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noProof/>
              </w:rPr>
            </w:pPr>
            <w:r>
              <w:rPr>
                <w:rFonts w:ascii="Times New Roman" w:hAnsi="Times New Roman" w:cs="Times New Roman"/>
                <w:noProof/>
              </w:rPr>
              <w:t>Най-късно до второто тримесечие на 2016 г.</w:t>
            </w:r>
          </w:p>
          <w:p>
            <w:pPr>
              <w:jc w:val="center"/>
              <w:rPr>
                <w:rFonts w:ascii="Times New Roman" w:hAnsi="Times New Roman" w:cs="Times New Roman"/>
                <w:noProof/>
              </w:rPr>
            </w:pP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В процес на изпълнение: Комисията разработва ново приложение на базата данни за финансови санкции, което да ѝ даде възможност за предаване на информация относно новите списъци на ООН преди транспонирането в законодателството на ЕС (предстои да бъде създадена и да заработи до септември);</w:t>
            </w:r>
          </w:p>
          <w:p>
            <w:pPr>
              <w:pStyle w:val="ListParagraph"/>
              <w:numPr>
                <w:ilvl w:val="0"/>
                <w:numId w:val="21"/>
              </w:numPr>
              <w:ind w:left="360"/>
              <w:jc w:val="both"/>
              <w:rPr>
                <w:rFonts w:ascii="Times New Roman" w:hAnsi="Times New Roman" w:cs="Times New Roman"/>
                <w:noProof/>
              </w:rPr>
            </w:pPr>
            <w:r>
              <w:rPr>
                <w:rFonts w:ascii="Times New Roman" w:hAnsi="Times New Roman" w:cs="Times New Roman"/>
                <w:noProof/>
              </w:rPr>
              <w:t>Службите на Комисията проучват дали базата данни за финансови санкции може също да се използва за предаване на информация за националните списъци на държавите членки.</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t>Проучване на възможността за самостоятелен законодателен инструмент, който да даде възможност за по-широк достъп до регистрите на банковите и платежните сметки за целите на други разследвания и от други органи, необхванати от четвъртата директива срещу изпирането на пари.</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второто тримесечие на 2016 г.</w:t>
            </w:r>
          </w:p>
        </w:tc>
        <w:tc>
          <w:tcPr>
            <w:tcW w:w="7306" w:type="dxa"/>
            <w:tcBorders>
              <w:top w:val="single" w:sz="4" w:space="0" w:color="auto"/>
              <w:left w:val="single" w:sz="4" w:space="0" w:color="auto"/>
              <w:bottom w:val="single" w:sz="4" w:space="0" w:color="auto"/>
              <w:right w:val="single" w:sz="4" w:space="0" w:color="auto"/>
            </w:tcBorders>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В процес на изпълнение.</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 xml:space="preserve">Консултации бяха проведени с i) органите, управляващи съществуващите банкови регистри, ii) органите, които могат да имат достъп до банкови регистри за цели, различни от изпиране на пари (правоприлагащи органи, служби за възстановяване на активи, данъчни органи, органи за борба с корупцията), както и банковия сектор. </w:t>
            </w:r>
          </w:p>
          <w:p>
            <w:pPr>
              <w:pStyle w:val="ListParagraph"/>
              <w:ind w:left="360"/>
              <w:rPr>
                <w:rFonts w:ascii="Times New Roman" w:hAnsi="Times New Roman" w:cs="Times New Roman"/>
                <w:noProof/>
              </w:rPr>
            </w:pPr>
          </w:p>
        </w:tc>
      </w:tr>
      <w:tr>
        <w:tc>
          <w:tcPr>
            <w:tcW w:w="5211"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Засилване на сътрудничеството между звената за финансово разузнаване чрез подходящи мерки.</w:t>
            </w: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второто тримесечие на 2017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В процес на изпълнение.</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Предвидено за края на юни 2017 г.</w:t>
            </w:r>
          </w:p>
        </w:tc>
      </w:tr>
      <w:tr>
        <w:tc>
          <w:tcPr>
            <w:tcW w:w="142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jc w:val="center"/>
              <w:rPr>
                <w:rFonts w:ascii="Times New Roman" w:hAnsi="Times New Roman" w:cs="Times New Roman"/>
                <w:b/>
                <w:noProof/>
              </w:rPr>
            </w:pPr>
            <w:r>
              <w:rPr>
                <w:rFonts w:ascii="Times New Roman" w:hAnsi="Times New Roman" w:cs="Times New Roman"/>
                <w:noProof/>
              </w:rPr>
              <w:br w:type="page"/>
            </w:r>
            <w:r>
              <w:rPr>
                <w:rFonts w:ascii="Times New Roman" w:hAnsi="Times New Roman" w:cs="Times New Roman"/>
                <w:b/>
                <w:noProof/>
              </w:rPr>
              <w:t>Други инициативи за допълване на съществуващата правна рамка</w:t>
            </w:r>
          </w:p>
        </w:tc>
      </w:tr>
      <w:tr>
        <w:tc>
          <w:tcPr>
            <w:tcW w:w="142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jc w:val="center"/>
              <w:rPr>
                <w:rFonts w:ascii="Times New Roman" w:hAnsi="Times New Roman" w:cs="Times New Roman"/>
                <w:i/>
                <w:noProof/>
              </w:rPr>
            </w:pPr>
            <w:r>
              <w:rPr>
                <w:rFonts w:ascii="Times New Roman" w:hAnsi="Times New Roman" w:cs="Times New Roman"/>
                <w:i/>
                <w:noProof/>
              </w:rPr>
              <w:t>Хармонизиране на престъпленията и санкциите във връзка с изпирането на пари</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t>Законодателно предложение за хармонизиране на престъпленията и санкциите, свързани с изпирането на пари.</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четвъртото тримесечие на 2016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Комисията публикува предложение на 21 декември 2016 г.</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Съветът постигна общ подход на 8 юни 2017 г.</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Европейският парламент определи докладчик; докладът трябва да бъде публикуван до септември 2017 г.</w:t>
            </w:r>
          </w:p>
        </w:tc>
      </w:tr>
      <w:tr>
        <w:tc>
          <w:tcPr>
            <w:tcW w:w="142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jc w:val="center"/>
              <w:rPr>
                <w:rFonts w:ascii="Times New Roman" w:hAnsi="Times New Roman" w:cs="Times New Roman"/>
                <w:i/>
                <w:noProof/>
              </w:rPr>
            </w:pPr>
            <w:r>
              <w:rPr>
                <w:rFonts w:ascii="Times New Roman" w:hAnsi="Times New Roman" w:cs="Times New Roman"/>
                <w:noProof/>
              </w:rPr>
              <w:br w:type="page"/>
            </w:r>
            <w:r>
              <w:rPr>
                <w:rFonts w:ascii="Times New Roman" w:hAnsi="Times New Roman" w:cs="Times New Roman"/>
                <w:i/>
                <w:noProof/>
              </w:rPr>
              <w:t>Справяне с незаконното движение на парични средства в брой</w:t>
            </w:r>
          </w:p>
        </w:tc>
      </w:tr>
      <w:tr>
        <w:tc>
          <w:tcPr>
            <w:tcW w:w="5211"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t>Комисията ще работи с Европейската централна банка (ЕЦБ), Европол и други заинтересовани страни относно използването на банкноти с висок номинал, по-специално банкнотата от 500 евро, което представлява проблем, докладван от правоприлагащите органи.</w:t>
            </w: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Изпълнено</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Изпълнено. Не са необходими по-нататъшни мерки.</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 xml:space="preserve">Управителният съвет на ЕЦБ прие решение на 4.5.2016 г. за поетапно премахване на банкнотата от 500 евро. </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t>Законодателно предложение срещу незаконното движение на парични средства в брой.</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четвъртото тримесечие на 2016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rPr>
                <w:rFonts w:ascii="Times New Roman" w:hAnsi="Times New Roman" w:cs="Times New Roman"/>
                <w:noProof/>
              </w:rPr>
            </w:pPr>
            <w:r>
              <w:rPr>
                <w:rFonts w:ascii="Times New Roman" w:hAnsi="Times New Roman" w:cs="Times New Roman"/>
                <w:noProof/>
              </w:rPr>
              <w:t>Предложение на Комисията, публикувано на 21.12.2016 г.</w:t>
            </w:r>
          </w:p>
          <w:p>
            <w:pPr>
              <w:pStyle w:val="ListParagraph"/>
              <w:numPr>
                <w:ilvl w:val="0"/>
                <w:numId w:val="21"/>
              </w:numPr>
              <w:rPr>
                <w:rFonts w:ascii="Times New Roman" w:hAnsi="Times New Roman" w:cs="Times New Roman"/>
                <w:noProof/>
              </w:rPr>
            </w:pPr>
            <w:r>
              <w:rPr>
                <w:rFonts w:ascii="Times New Roman" w:hAnsi="Times New Roman" w:cs="Times New Roman"/>
                <w:noProof/>
              </w:rPr>
              <w:t>В Съвета (работна група „Митнически съюз“): в ход е второ четене въз основа на компромисен текст на председателството.</w:t>
            </w:r>
          </w:p>
          <w:p>
            <w:pPr>
              <w:pStyle w:val="ListParagraph"/>
              <w:numPr>
                <w:ilvl w:val="0"/>
                <w:numId w:val="21"/>
              </w:numPr>
              <w:rPr>
                <w:rFonts w:ascii="Times New Roman" w:hAnsi="Times New Roman" w:cs="Times New Roman"/>
                <w:noProof/>
              </w:rPr>
            </w:pPr>
            <w:r>
              <w:rPr>
                <w:rFonts w:ascii="Times New Roman" w:hAnsi="Times New Roman" w:cs="Times New Roman"/>
                <w:noProof/>
              </w:rPr>
              <w:t>В Европейския парламент - назначаването в компетентната комисия се очаква в средата на юни.</w:t>
            </w:r>
          </w:p>
        </w:tc>
      </w:tr>
      <w:tr>
        <w:tc>
          <w:tcPr>
            <w:tcW w:w="5211"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br w:type="page"/>
              <w:t>Да проучи и уместността на възможното определяне на горни граници за плащанията в брой.</w:t>
            </w: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Актуално състояние, представено на заседанието на ECOFIN от юни 2016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rPr>
                <w:rFonts w:ascii="Times New Roman" w:hAnsi="Times New Roman" w:cs="Times New Roman"/>
                <w:noProof/>
              </w:rPr>
            </w:pPr>
            <w:r>
              <w:rPr>
                <w:rFonts w:ascii="Times New Roman" w:hAnsi="Times New Roman" w:cs="Times New Roman"/>
                <w:noProof/>
              </w:rPr>
              <w:t>Беше проведена открита обществена консултация между 1 март и 31 май.</w:t>
            </w:r>
          </w:p>
          <w:p>
            <w:pPr>
              <w:pStyle w:val="ListParagraph"/>
              <w:numPr>
                <w:ilvl w:val="0"/>
                <w:numId w:val="21"/>
              </w:numPr>
              <w:rPr>
                <w:rFonts w:ascii="Times New Roman" w:hAnsi="Times New Roman" w:cs="Times New Roman"/>
                <w:noProof/>
              </w:rPr>
            </w:pPr>
            <w:r>
              <w:rPr>
                <w:rFonts w:ascii="Times New Roman" w:hAnsi="Times New Roman" w:cs="Times New Roman"/>
                <w:noProof/>
              </w:rPr>
              <w:t>Резултатите в момента се анализират.</w:t>
            </w:r>
          </w:p>
        </w:tc>
      </w:tr>
      <w:tr>
        <w:tc>
          <w:tcPr>
            <w:tcW w:w="142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jc w:val="center"/>
              <w:rPr>
                <w:rFonts w:ascii="Times New Roman" w:hAnsi="Times New Roman" w:cs="Times New Roman"/>
                <w:i/>
                <w:noProof/>
              </w:rPr>
            </w:pPr>
            <w:r>
              <w:rPr>
                <w:rFonts w:ascii="Times New Roman" w:hAnsi="Times New Roman" w:cs="Times New Roman"/>
                <w:noProof/>
              </w:rPr>
              <w:br w:type="page"/>
            </w:r>
            <w:r>
              <w:rPr>
                <w:rFonts w:ascii="Times New Roman" w:hAnsi="Times New Roman" w:cs="Times New Roman"/>
                <w:i/>
                <w:noProof/>
              </w:rPr>
              <w:t>Завършване на рамката на ЕС за проследяване и замразяване на активи на терористи</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t>Режим на ЕС за замразяване на активи на терористи съгласно член 75 от Договора за функционирането на ЕС.</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Приключване на оценката най-късно до четвъртото тримесечие на 2016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Представена е оценката на Комисията в третия доклад за напредъка по създаването на ефективен и истински Съюз на сигурност (COM(2016)831 от 21.12.2016 г.): без предприемане на допълнителни действия на този етап.</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t>Укрепване на взаимното признаване на решенията за замразяване и конфискация на активи от престъпна дейност.</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noProof/>
              </w:rPr>
            </w:pPr>
            <w:r>
              <w:rPr>
                <w:rFonts w:ascii="Times New Roman" w:hAnsi="Times New Roman" w:cs="Times New Roman"/>
                <w:noProof/>
              </w:rPr>
              <w:t>Най-късно до четвъртото тримесечие на 2016 г.</w:t>
            </w:r>
          </w:p>
          <w:p>
            <w:pPr>
              <w:jc w:val="center"/>
              <w:rPr>
                <w:rFonts w:ascii="Times New Roman" w:hAnsi="Times New Roman" w:cs="Times New Roman"/>
                <w:noProof/>
              </w:rPr>
            </w:pP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Предложение на Комисията, публикувано на 21.12.2016 г.</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Текущи преговори в Съвета с оглед на постигането на общ подход.</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Европейският парламент определи докладчик.</w:t>
            </w:r>
          </w:p>
        </w:tc>
      </w:tr>
      <w:tr>
        <w:tc>
          <w:tcPr>
            <w:tcW w:w="5211" w:type="dxa"/>
            <w:tcBorders>
              <w:top w:val="single" w:sz="4" w:space="0" w:color="auto"/>
              <w:left w:val="single" w:sz="4" w:space="0" w:color="auto"/>
              <w:bottom w:val="single" w:sz="4" w:space="0" w:color="auto"/>
              <w:right w:val="single" w:sz="4" w:space="0" w:color="auto"/>
            </w:tcBorders>
            <w:hideMark/>
          </w:tcPr>
          <w:p>
            <w:pPr>
              <w:rPr>
                <w:rFonts w:ascii="Times New Roman" w:hAnsi="Times New Roman" w:cs="Times New Roman"/>
                <w:noProof/>
              </w:rPr>
            </w:pPr>
            <w:r>
              <w:rPr>
                <w:rFonts w:ascii="Times New Roman" w:hAnsi="Times New Roman" w:cs="Times New Roman"/>
                <w:noProof/>
              </w:rPr>
              <w:br w:type="page"/>
              <w:t>Евентуална европейска система, която да допълни съществуващото споразумение между ЕС и САЩ за Програма за проследяване на финансирането на тероризма, като проследява трансакции, изключени по посоченото споразумение.</w:t>
            </w:r>
          </w:p>
        </w:tc>
        <w:tc>
          <w:tcPr>
            <w:tcW w:w="1701" w:type="dxa"/>
            <w:tcBorders>
              <w:top w:val="single" w:sz="4" w:space="0" w:color="auto"/>
              <w:left w:val="single" w:sz="4" w:space="0" w:color="auto"/>
              <w:bottom w:val="single" w:sz="4" w:space="0" w:color="auto"/>
              <w:right w:val="single" w:sz="4" w:space="0" w:color="auto"/>
            </w:tcBorders>
          </w:tcPr>
          <w:p>
            <w:pPr>
              <w:jc w:val="center"/>
              <w:rPr>
                <w:rFonts w:ascii="Times New Roman" w:hAnsi="Times New Roman" w:cs="Times New Roman"/>
                <w:noProof/>
              </w:rPr>
            </w:pPr>
            <w:r>
              <w:rPr>
                <w:rFonts w:ascii="Times New Roman" w:hAnsi="Times New Roman" w:cs="Times New Roman"/>
                <w:noProof/>
              </w:rPr>
              <w:t>Приключване на оценката най-късно до четвъртото тримесечие на 2016 г.</w:t>
            </w:r>
          </w:p>
          <w:p>
            <w:pPr>
              <w:jc w:val="center"/>
              <w:rPr>
                <w:rFonts w:ascii="Times New Roman" w:hAnsi="Times New Roman" w:cs="Times New Roman"/>
                <w:noProof/>
              </w:rPr>
            </w:pPr>
          </w:p>
        </w:tc>
        <w:tc>
          <w:tcPr>
            <w:tcW w:w="7306" w:type="dxa"/>
            <w:tcBorders>
              <w:top w:val="single" w:sz="4" w:space="0" w:color="auto"/>
              <w:left w:val="single" w:sz="4" w:space="0" w:color="auto"/>
              <w:bottom w:val="single" w:sz="4" w:space="0" w:color="auto"/>
              <w:right w:val="single" w:sz="4" w:space="0" w:color="auto"/>
            </w:tcBorders>
          </w:tcPr>
          <w:p>
            <w:pPr>
              <w:pStyle w:val="ListParagraph"/>
              <w:numPr>
                <w:ilvl w:val="0"/>
                <w:numId w:val="21"/>
              </w:numPr>
              <w:rPr>
                <w:rFonts w:ascii="Times New Roman" w:hAnsi="Times New Roman" w:cs="Times New Roman"/>
                <w:noProof/>
              </w:rPr>
            </w:pPr>
            <w:r>
              <w:rPr>
                <w:rFonts w:ascii="Times New Roman" w:hAnsi="Times New Roman" w:cs="Times New Roman"/>
                <w:noProof/>
              </w:rPr>
              <w:t>Представена е оценка в третия доклад за напредъка по създаването на ефективен и истински Съюз на сигурност (COM(2016)831 от 21.12.2016 г.)0</w:t>
            </w:r>
          </w:p>
          <w:p>
            <w:pPr>
              <w:pStyle w:val="ListParagraph"/>
              <w:numPr>
                <w:ilvl w:val="0"/>
                <w:numId w:val="21"/>
              </w:numPr>
              <w:rPr>
                <w:rFonts w:ascii="Times New Roman" w:hAnsi="Times New Roman" w:cs="Times New Roman"/>
                <w:noProof/>
              </w:rPr>
            </w:pPr>
            <w:r>
              <w:rPr>
                <w:rFonts w:ascii="Times New Roman" w:hAnsi="Times New Roman" w:cs="Times New Roman"/>
                <w:noProof/>
              </w:rPr>
              <w:t>В процес на изпълнение.</w:t>
            </w:r>
          </w:p>
          <w:p>
            <w:pPr>
              <w:rPr>
                <w:rFonts w:ascii="Times New Roman" w:hAnsi="Times New Roman" w:cs="Times New Roman"/>
                <w:noProof/>
              </w:rPr>
            </w:pPr>
          </w:p>
          <w:p>
            <w:pPr>
              <w:rPr>
                <w:rFonts w:ascii="Times New Roman" w:hAnsi="Times New Roman" w:cs="Times New Roman"/>
                <w:noProof/>
              </w:rPr>
            </w:pPr>
          </w:p>
        </w:tc>
      </w:tr>
      <w:tr>
        <w:tc>
          <w:tcPr>
            <w:tcW w:w="142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jc w:val="center"/>
              <w:rPr>
                <w:rFonts w:ascii="Times New Roman" w:hAnsi="Times New Roman" w:cs="Times New Roman"/>
                <w:b/>
                <w:noProof/>
              </w:rPr>
            </w:pPr>
            <w:r>
              <w:rPr>
                <w:rFonts w:ascii="Times New Roman" w:hAnsi="Times New Roman" w:cs="Times New Roman"/>
                <w:b/>
                <w:noProof/>
              </w:rPr>
              <w:t>Целево определяне на източниците на финансиране</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t>Законодателно предложение за укрепване на правомощията на митническите органи и на сътрудничеството между тях и за борба срещу финансирането на тероризма, свързано с търговията със стоки.</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Придвижено за първото тримесечие на 2017 г. (COM(2016) 230 final)</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В процес на изпълнение.</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br w:type="page"/>
              <w:t>Законодателно предложение за борба срещу незаконния трафик на паметници на културата.</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второто тримесечие на 2017 г.</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rPr>
                <w:rFonts w:ascii="Times New Roman" w:hAnsi="Times New Roman" w:cs="Times New Roman"/>
                <w:noProof/>
              </w:rPr>
            </w:pPr>
            <w:r>
              <w:rPr>
                <w:rFonts w:ascii="Times New Roman" w:hAnsi="Times New Roman" w:cs="Times New Roman"/>
                <w:noProof/>
              </w:rPr>
              <w:t>Подготовката е в ход.</w:t>
            </w:r>
          </w:p>
          <w:p>
            <w:pPr>
              <w:pStyle w:val="ListParagraph"/>
              <w:numPr>
                <w:ilvl w:val="0"/>
                <w:numId w:val="21"/>
              </w:numPr>
              <w:rPr>
                <w:rFonts w:ascii="Times New Roman" w:hAnsi="Times New Roman" w:cs="Times New Roman"/>
                <w:noProof/>
              </w:rPr>
            </w:pPr>
            <w:r>
              <w:rPr>
                <w:rFonts w:ascii="Times New Roman" w:hAnsi="Times New Roman" w:cs="Times New Roman"/>
                <w:noProof/>
              </w:rPr>
              <w:t xml:space="preserve">Приемането е предвидено за лятото на 2017 г. </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t>План за действие на ЕС относно нелегалния трафик на екземпляри от дивата флора и фауна.</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първото тримесечие на 2016 г.</w:t>
            </w:r>
          </w:p>
        </w:tc>
        <w:tc>
          <w:tcPr>
            <w:tcW w:w="7306" w:type="dxa"/>
            <w:tcBorders>
              <w:top w:val="single" w:sz="4" w:space="0" w:color="auto"/>
              <w:left w:val="single" w:sz="4" w:space="0" w:color="auto"/>
              <w:bottom w:val="single" w:sz="4" w:space="0" w:color="auto"/>
              <w:right w:val="single" w:sz="4" w:space="0" w:color="auto"/>
            </w:tcBorders>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 xml:space="preserve">План за действие, приет на 26.2.2016 г. </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 xml:space="preserve">Заключения на Съвета, приети на 20.6.2016 г. </w:t>
            </w:r>
          </w:p>
          <w:p>
            <w:pPr>
              <w:pStyle w:val="ListParagraph"/>
              <w:numPr>
                <w:ilvl w:val="0"/>
                <w:numId w:val="21"/>
              </w:numPr>
              <w:ind w:left="360"/>
              <w:rPr>
                <w:rFonts w:ascii="Times New Roman" w:hAnsi="Times New Roman" w:cs="Times New Roman"/>
                <w:noProof/>
              </w:rPr>
            </w:pPr>
            <w:r>
              <w:rPr>
                <w:rFonts w:ascii="Times New Roman" w:hAnsi="Times New Roman" w:cs="Times New Roman"/>
                <w:noProof/>
              </w:rPr>
              <w:t>Текуща работа по изпълнението.</w:t>
            </w:r>
          </w:p>
          <w:p>
            <w:pPr>
              <w:rPr>
                <w:rFonts w:ascii="Times New Roman" w:hAnsi="Times New Roman" w:cs="Times New Roman"/>
                <w:noProof/>
              </w:rPr>
            </w:pPr>
          </w:p>
        </w:tc>
      </w:tr>
      <w:tr>
        <w:tc>
          <w:tcPr>
            <w:tcW w:w="1421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pPr>
              <w:jc w:val="center"/>
              <w:rPr>
                <w:rFonts w:ascii="Times New Roman" w:hAnsi="Times New Roman" w:cs="Times New Roman"/>
                <w:noProof/>
              </w:rPr>
            </w:pPr>
            <w:r>
              <w:rPr>
                <w:rFonts w:ascii="Times New Roman" w:hAnsi="Times New Roman" w:cs="Times New Roman"/>
                <w:b/>
                <w:noProof/>
              </w:rPr>
              <w:t>Избрани аспекти, свързани с външното измерение</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br w:type="page"/>
              <w:t>Засилване на подкрепата за трети държави за постигане на съответствие с правните изисквания на резолюциите на Съвета за сигурност на ООН и с препоръките на Специалната група за финансови действия.</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В ход.</w:t>
            </w:r>
          </w:p>
        </w:tc>
        <w:tc>
          <w:tcPr>
            <w:tcW w:w="7306" w:type="dxa"/>
            <w:tcBorders>
              <w:top w:val="single" w:sz="4" w:space="0" w:color="auto"/>
              <w:left w:val="single" w:sz="4" w:space="0" w:color="auto"/>
              <w:bottom w:val="single" w:sz="4" w:space="0" w:color="auto"/>
              <w:right w:val="single" w:sz="4" w:space="0" w:color="auto"/>
            </w:tcBorders>
            <w:hideMark/>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В процес на изпълнение.</w:t>
            </w:r>
          </w:p>
        </w:tc>
      </w:tr>
      <w:tr>
        <w:tc>
          <w:tcPr>
            <w:tcW w:w="5211" w:type="dxa"/>
            <w:tcBorders>
              <w:top w:val="single" w:sz="4" w:space="0" w:color="auto"/>
              <w:left w:val="single" w:sz="4" w:space="0" w:color="auto"/>
              <w:bottom w:val="single" w:sz="4" w:space="0" w:color="auto"/>
              <w:right w:val="single" w:sz="4" w:space="0" w:color="auto"/>
            </w:tcBorders>
          </w:tcPr>
          <w:p>
            <w:pPr>
              <w:rPr>
                <w:rFonts w:ascii="Times New Roman" w:hAnsi="Times New Roman" w:cs="Times New Roman"/>
                <w:noProof/>
              </w:rPr>
            </w:pPr>
            <w:r>
              <w:rPr>
                <w:rFonts w:ascii="Times New Roman" w:hAnsi="Times New Roman" w:cs="Times New Roman"/>
                <w:noProof/>
              </w:rPr>
              <w:br w:type="page"/>
              <w:t>Подкрепа на държавите в региона на Близкия изток, Северна Африка и Югоизточна Азия да следят, да възпрепятстват и да осуетяват финансирането на тероризма.</w:t>
            </w:r>
          </w:p>
          <w:p>
            <w:pPr>
              <w:rPr>
                <w:rFonts w:ascii="Times New Roman" w:hAnsi="Times New Roman" w:cs="Times New Roman"/>
                <w:noProof/>
              </w:rPr>
            </w:pPr>
          </w:p>
        </w:tc>
        <w:tc>
          <w:tcPr>
            <w:tcW w:w="1701" w:type="dxa"/>
            <w:tcBorders>
              <w:top w:val="single" w:sz="4" w:space="0" w:color="auto"/>
              <w:left w:val="single" w:sz="4" w:space="0" w:color="auto"/>
              <w:bottom w:val="single" w:sz="4" w:space="0" w:color="auto"/>
              <w:right w:val="single" w:sz="4" w:space="0" w:color="auto"/>
            </w:tcBorders>
            <w:hideMark/>
          </w:tcPr>
          <w:p>
            <w:pPr>
              <w:jc w:val="center"/>
              <w:rPr>
                <w:rFonts w:ascii="Times New Roman" w:hAnsi="Times New Roman" w:cs="Times New Roman"/>
                <w:noProof/>
              </w:rPr>
            </w:pPr>
            <w:r>
              <w:rPr>
                <w:rFonts w:ascii="Times New Roman" w:hAnsi="Times New Roman" w:cs="Times New Roman"/>
                <w:noProof/>
              </w:rPr>
              <w:t>Най-късно до четвъртото тримесечие на 2016 г.</w:t>
            </w:r>
          </w:p>
        </w:tc>
        <w:tc>
          <w:tcPr>
            <w:tcW w:w="7306" w:type="dxa"/>
            <w:tcBorders>
              <w:top w:val="single" w:sz="4" w:space="0" w:color="auto"/>
              <w:left w:val="single" w:sz="4" w:space="0" w:color="auto"/>
              <w:bottom w:val="single" w:sz="4" w:space="0" w:color="auto"/>
              <w:right w:val="single" w:sz="4" w:space="0" w:color="auto"/>
            </w:tcBorders>
          </w:tcPr>
          <w:p>
            <w:pPr>
              <w:pStyle w:val="ListParagraph"/>
              <w:numPr>
                <w:ilvl w:val="0"/>
                <w:numId w:val="21"/>
              </w:numPr>
              <w:ind w:left="360"/>
              <w:rPr>
                <w:rFonts w:ascii="Times New Roman" w:hAnsi="Times New Roman" w:cs="Times New Roman"/>
                <w:noProof/>
              </w:rPr>
            </w:pPr>
            <w:r>
              <w:rPr>
                <w:rFonts w:ascii="Times New Roman" w:hAnsi="Times New Roman" w:cs="Times New Roman"/>
                <w:noProof/>
              </w:rPr>
              <w:t>В процес на изпълнение.</w:t>
            </w:r>
          </w:p>
          <w:p>
            <w:pPr>
              <w:pStyle w:val="ListParagraph"/>
              <w:ind w:left="360"/>
              <w:rPr>
                <w:rFonts w:ascii="Times New Roman" w:hAnsi="Times New Roman" w:cs="Times New Roman"/>
                <w:noProof/>
              </w:rPr>
            </w:pPr>
          </w:p>
        </w:tc>
      </w:tr>
    </w:tbl>
    <w:p>
      <w:pPr>
        <w:rPr>
          <w:rFonts w:ascii="Times New Roman" w:eastAsia="Times New Roman" w:hAnsi="Times New Roman" w:cs="Times New Roman"/>
          <w:b/>
          <w:noProof/>
          <w:u w:val="single"/>
        </w:rPr>
      </w:pPr>
    </w:p>
    <w:p>
      <w:pPr>
        <w:rPr>
          <w:rFonts w:ascii="Times New Roman" w:eastAsia="Times New Roman" w:hAnsi="Times New Roman" w:cs="Times New Roman"/>
          <w:b/>
          <w:noProof/>
          <w:u w:val="single"/>
        </w:rPr>
      </w:pPr>
    </w:p>
    <w:p>
      <w:pPr>
        <w:rPr>
          <w:rFonts w:ascii="Times New Roman" w:eastAsia="Times New Roman" w:hAnsi="Times New Roman" w:cs="Times New Roman"/>
          <w:b/>
          <w:noProof/>
          <w:u w:val="single"/>
        </w:rPr>
      </w:pPr>
    </w:p>
    <w:sectPr>
      <w:headerReference w:type="even" r:id="rId16"/>
      <w:headerReference w:type="default" r:id="rId17"/>
      <w:footerReference w:type="even" r:id="rId18"/>
      <w:footerReference w:type="default" r:id="rId19"/>
      <w:headerReference w:type="first" r:id="rId20"/>
      <w:footerReference w:type="first" r:id="rId21"/>
      <w:pgSz w:w="16838" w:h="11906" w:orient="landscape"/>
      <w:pgMar w:top="1418" w:right="1418" w:bottom="1418" w:left="1418"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51567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6B49"/>
    <w:multiLevelType w:val="hybridMultilevel"/>
    <w:tmpl w:val="7F901CE6"/>
    <w:lvl w:ilvl="0" w:tplc="33F22F54">
      <w:start w:val="5"/>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DFA7254"/>
    <w:multiLevelType w:val="hybridMultilevel"/>
    <w:tmpl w:val="B23EA2A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D2037B"/>
    <w:multiLevelType w:val="hybridMultilevel"/>
    <w:tmpl w:val="822C5A3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B32545"/>
    <w:multiLevelType w:val="hybridMultilevel"/>
    <w:tmpl w:val="021091F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1A079B"/>
    <w:multiLevelType w:val="hybridMultilevel"/>
    <w:tmpl w:val="E11C7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83E0772"/>
    <w:multiLevelType w:val="hybridMultilevel"/>
    <w:tmpl w:val="BF50E9F8"/>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3618C3"/>
    <w:multiLevelType w:val="hybridMultilevel"/>
    <w:tmpl w:val="43C0B0D2"/>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F4455B9"/>
    <w:multiLevelType w:val="hybridMultilevel"/>
    <w:tmpl w:val="C492B90C"/>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CF5D3A"/>
    <w:multiLevelType w:val="hybridMultilevel"/>
    <w:tmpl w:val="0D26E50C"/>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B83ED4"/>
    <w:multiLevelType w:val="hybridMultilevel"/>
    <w:tmpl w:val="E102919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E983090"/>
    <w:multiLevelType w:val="hybridMultilevel"/>
    <w:tmpl w:val="6C8E0B68"/>
    <w:lvl w:ilvl="0" w:tplc="FC90C370">
      <w:start w:val="1"/>
      <w:numFmt w:val="bullet"/>
      <w:lvlText w:val=""/>
      <w:lvlJc w:val="left"/>
      <w:pPr>
        <w:ind w:left="389"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178043B"/>
    <w:multiLevelType w:val="hybridMultilevel"/>
    <w:tmpl w:val="39EED84A"/>
    <w:lvl w:ilvl="0" w:tplc="0809000F">
      <w:start w:val="1"/>
      <w:numFmt w:val="decimal"/>
      <w:lvlText w:val="%1."/>
      <w:lvlJc w:val="left"/>
      <w:pPr>
        <w:ind w:left="720" w:hanging="360"/>
      </w:pPr>
      <w:rPr>
        <w:rFonts w:cs="Times New Roman"/>
        <w:color w:val="000000"/>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nsid w:val="648471CB"/>
    <w:multiLevelType w:val="hybridMultilevel"/>
    <w:tmpl w:val="6FF45D4A"/>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785971"/>
    <w:multiLevelType w:val="hybridMultilevel"/>
    <w:tmpl w:val="157EDC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D495343"/>
    <w:multiLevelType w:val="hybridMultilevel"/>
    <w:tmpl w:val="0FEE6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41E0665"/>
    <w:multiLevelType w:val="hybridMultilevel"/>
    <w:tmpl w:val="E660A146"/>
    <w:lvl w:ilvl="0" w:tplc="33F22F54">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1B4C33"/>
    <w:multiLevelType w:val="hybridMultilevel"/>
    <w:tmpl w:val="2F16AD1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7026C62"/>
    <w:multiLevelType w:val="hybridMultilevel"/>
    <w:tmpl w:val="512C6D76"/>
    <w:lvl w:ilvl="0" w:tplc="77DA84EC">
      <w:start w:val="1"/>
      <w:numFmt w:val="bullet"/>
      <w:lvlText w:val="-"/>
      <w:lvlJc w:val="left"/>
      <w:pPr>
        <w:ind w:left="720" w:hanging="360"/>
      </w:pPr>
      <w:rPr>
        <w:rFonts w:ascii="Tunga" w:hAnsi="Tunga" w:cs="Tung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1"/>
  </w:num>
  <w:num w:numId="5">
    <w:abstractNumId w:val="9"/>
  </w:num>
  <w:num w:numId="6">
    <w:abstractNumId w:val="14"/>
  </w:num>
  <w:num w:numId="7">
    <w:abstractNumId w:val="10"/>
  </w:num>
  <w:num w:numId="8">
    <w:abstractNumId w:val="8"/>
  </w:num>
  <w:num w:numId="9">
    <w:abstractNumId w:val="15"/>
  </w:num>
  <w:num w:numId="10">
    <w:abstractNumId w:val="0"/>
  </w:num>
  <w:num w:numId="11">
    <w:abstractNumId w:val="6"/>
  </w:num>
  <w:num w:numId="12">
    <w:abstractNumId w:val="13"/>
  </w:num>
  <w:num w:numId="13">
    <w:abstractNumId w:val="3"/>
  </w:num>
  <w:num w:numId="14">
    <w:abstractNumId w:val="12"/>
  </w:num>
  <w:num w:numId="15">
    <w:abstractNumId w:val="17"/>
  </w:num>
  <w:num w:numId="16">
    <w:abstractNumId w:val="2"/>
  </w:num>
  <w:num w:numId="17">
    <w:abstractNumId w:val="7"/>
  </w:num>
  <w:num w:numId="18">
    <w:abstractNumId w:val="16"/>
  </w:num>
  <w:num w:numId="19">
    <w:abstractNumId w:val="5"/>
  </w:num>
  <w:num w:numId="20">
    <w:abstractNumId w:val="10"/>
  </w:num>
  <w:num w:numId="21">
    <w:abstractNumId w:val="1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hideSpellingErrors/>
  <w:hideGrammaticalErrors/>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u1082?\u1098?\u1084? "/>
    <w:docVar w:name="LW_ANNEX_NBR_FIRST" w:val="2"/>
    <w:docVar w:name="LW_ANNEX_NBR_LAST" w:val="2"/>
    <w:docVar w:name="LW_CONFIDENCE" w:val=" "/>
    <w:docVar w:name="LW_CONST_RESTREINT_UE" w:val="RESTREINT UE"/>
    <w:docVar w:name="LW_CORRIGENDUM" w:val="&lt;UNUSED&gt;"/>
    <w:docVar w:name="LW_COVERPAGE_GUID" w:val="076ADBEA191547BBB023477C284866C4"/>
    <w:docVar w:name="LW_CROSSREFERENCE" w:val="&lt;UNUSED&gt;"/>
    <w:docVar w:name="LW_DocType" w:val="NORMAL"/>
    <w:docVar w:name="LW_EMISSION" w:val="29.6.2017"/>
    <w:docVar w:name="LW_EMISSION_ISODATE" w:val="2017-06-29"/>
    <w:docVar w:name="LW_EMISSION_LOCATION" w:val="BRX"/>
    <w:docVar w:name="LW_EMISSION_PREFIX" w:val="Брюксел, "/>
    <w:docVar w:name="LW_EMISSION_SUFFIX" w:val=" \u1075?."/>
    <w:docVar w:name="LW_ID_DOCTYPE_NONLW" w:val="CP-039"/>
    <w:docVar w:name="LW_LANGUE" w:val="BG"/>
    <w:docVar w:name="LW_MARKING" w:val="&lt;UNUSED&gt;"/>
    <w:docVar w:name="LW_NOM.INST" w:val="\u1045?\u1042?\u1056?\u1054?\u1055?\u1045?\u1049?\u1057?\u1050?\u1040? \u1050?\u1054?\u1052?\u1048?\u1057?\u1048?\u1071?"/>
    <w:docVar w:name="LW_NOM.INST_JOINTDOC" w:val="&lt;EMPTY&gt;"/>
    <w:docVar w:name="LW_OBJETACTEPRINCIPAL.CP" w:val="\u1054?\u1089?\u1084?\u1080? \u1076?\u1086?\u1082?\u1083?\u1072?\u1076? \u1079?\u1072? \u1085?\u1072?\u1087?\u1088?\u1077?\u1076?\u1098?\u1082?\u1072? \u1087?\u1086? \u1089?\u1098?\u1079?\u1076?\u1072?\u1074?\u1072?\u1085?\u1077?\u1090?\u1086? \u1085?\u1072? \u1077?\u1092?\u1077?\u1082?\u1090?\u1080?\u1074?\u1077?\u1085? \u1080? \u1080?\u1089?\u1090?\u1080?\u1085?\u1089?\u1082?\u1080? \u1057?\u1098?\u1102?\u1079? \u1085?\u1072? \u1089?\u1080?\u1075?\u1091?\u1088?\u1085?\u1086?\u1089?\u1090?_x000b__x000b_"/>
    <w:docVar w:name="LW_PART_NBR" w:val="1"/>
    <w:docVar w:name="LW_PART_NBR_TOTAL" w:val="1"/>
    <w:docVar w:name="LW_REF.INST.NEW" w:val="COM"/>
    <w:docVar w:name="LW_REF.INST.NEW_ADOPTED" w:val="final"/>
    <w:docVar w:name="LW_REF.INST.NEW_TEXT" w:val="(2017) 354"/>
    <w:docVar w:name="LW_REF.INTERNE" w:val="&lt;UNUSED&gt;"/>
    <w:docVar w:name="LW_SUPERTITRE" w:val="&lt;UNUSED&gt;"/>
    <w:docVar w:name="LW_TITRE.OBJ.CP" w:val="\u1040?\u1082?\u1090?\u1091?\u1072?\u1083?\u1085?\u1086? \u1089?\u1098?\u1089?\u1090?\u1086?\u1103?\u1085?\u1080?\u1077? \u1085?\u1072? \u1080?\u1079?\u1087?\u1098?\u1083?\u1085?\u1077?\u1085?\u1080?\u1077?\u1090?\u1086? \u1085?\u1072? \u1087?\u1083?\u1072?\u1085?\u1072? \u1079?\u1072? \u1076?\u1077?\u1081?\u1089?\u1090?\u1074?\u1080?\u1077? \u1089? \u1094?\u1077?\u1083? \u1079?\u1072?\u1089?\u1080?\u1083?\u1074?\u1072?\u1085?\u1077? \u1085?\u1072? \u1073?\u1086?\u1088?\u1073?\u1072?\u1090?\u1072? \u1089? \u1092?\u1080?\u1085?\u1072?\u1085?\u1089?\u1080?\u1088?\u1072?\u1085?\u1077?\u1090?\u1086? \u1085?\u1072? \u1090?\u1077?\u1088?\u1086?\u1088?\u1080?\u1079?\u1084?\u1072?"/>
    <w:docVar w:name="LW_TYPE.DOC.CP" w:val="\u1055?\u1056?\u1048?\u1051?\u1054?\u1046?\u1045?\u1053?\u1048?\u1045?_x000b_"/>
    <w:docVar w:name="LW_TYPEACTEPRINCIPAL.CP" w:val="\u1057?\u1098?\u1086?\u1073?\u1097?\u1077?\u1085?\u1080?\u1077? \u1085?\u1072? \u1050?\u1086?\u1084?\u1080?\u1089?\u1080?\u1103?\u1090?\u1072? \u1076?\u1086? \u1045?\u1074?\u1088?\u1086?\u1087?\u1077?\u1081?\u1089?\u1082?\u1080?\u1103? \u1087?\u1072?\u1088?\u1083?\u1072?\u1084?\u1077?\u1085?\u1090?, \u1045?\u1074?\u1088?\u1086?\u1087?\u1077?\u1081?\u1089?\u1082?\u1080?\u1103? \u1089?\u1098?\u1074?\u1077?\u1090? \u1080?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Titles">
    <w:name w:val="Italics Titles"/>
    <w:basedOn w:val="Normal"/>
    <w:qFormat/>
    <w:pPr>
      <w:spacing w:after="160" w:line="259" w:lineRule="auto"/>
    </w:pPr>
    <w:rPr>
      <w:b/>
      <w:i/>
      <w:color w:val="1E1D64"/>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paragraph" w:styleId="FootnoteText">
    <w:name w:val="footnote text"/>
    <w:aliases w:val="Footnote TextCSR,Fußnotentextf,Note de bas de page Car Car Car Car Car Car Car Car Car Car,Note de bas de page Car Car Car Car,Note de bas de page Car Car Car Car Car Car Car Car Car,ft,Footnote,Fußnote, Char Char Car,fn,Char Char Car"/>
    <w:basedOn w:val="Normal"/>
    <w:link w:val="FootnoteTextChar"/>
    <w:uiPriority w:val="99"/>
    <w:unhideWhenUsed/>
    <w:pPr>
      <w:spacing w:after="0" w:line="240" w:lineRule="auto"/>
    </w:pPr>
    <w:rPr>
      <w:sz w:val="24"/>
      <w:szCs w:val="24"/>
    </w:rPr>
  </w:style>
  <w:style w:type="character" w:customStyle="1" w:styleId="FootnoteTextChar">
    <w:name w:val="Footnote Text Char"/>
    <w:aliases w:val="Footnote TextCSR Char,Fußnotentextf Char,Note de bas de page Car Car Car Car Car Car Car Car Car Car Char,Note de bas de page Car Car Car Car Char,Note de bas de page Car Car Car Car Car Car Car Car Car Char,ft Char,Footnote Char"/>
    <w:basedOn w:val="DefaultParagraphFont"/>
    <w:link w:val="FootnoteText"/>
    <w:uiPriority w:val="99"/>
    <w:rPr>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otnoteReference">
    <w:name w:val="footnote reference"/>
    <w:aliases w:val="Footnote Reference Superscript,BVI fnr,Footnote symbol, BVI fnr,Footnote symboFußnotenzeichen,Footnote sign,Footnote Reference text,SUPERS,Footnote reference number,note TESI,-E Fußnotenzeichen,number,(Footnote Reference),Times 10 Poi"/>
    <w:basedOn w:val="DefaultParagraphFont"/>
    <w:uiPriority w:val="99"/>
    <w:unhideWhenUsed/>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xtPractice">
    <w:name w:val="Txt Practice"/>
    <w:basedOn w:val="Normal"/>
    <w:link w:val="TxtPracticeChar"/>
    <w:qFormat/>
    <w:pPr>
      <w:spacing w:after="0" w:line="240" w:lineRule="auto"/>
    </w:pPr>
    <w:rPr>
      <w:rFonts w:ascii="Trebuchet MS" w:eastAsia="Times New Roman" w:hAnsi="Trebuchet MS" w:cs="Times New Roman"/>
      <w:color w:val="595959" w:themeColor="text1" w:themeTint="A6"/>
      <w:sz w:val="20"/>
      <w:szCs w:val="20"/>
    </w:rPr>
  </w:style>
  <w:style w:type="character" w:customStyle="1" w:styleId="TxtPracticeChar">
    <w:name w:val="Txt Practice Char"/>
    <w:basedOn w:val="DefaultParagraphFont"/>
    <w:link w:val="TxtPractice"/>
    <w:rPr>
      <w:rFonts w:ascii="Trebuchet MS" w:eastAsia="Times New Roman" w:hAnsi="Trebuchet MS" w:cs="Times New Roman"/>
      <w:color w:val="595959" w:themeColor="text1" w:themeTint="A6"/>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alicsTitles">
    <w:name w:val="Italics Titles"/>
    <w:basedOn w:val="Normal"/>
    <w:qFormat/>
    <w:pPr>
      <w:spacing w:after="160" w:line="259" w:lineRule="auto"/>
    </w:pPr>
    <w:rPr>
      <w:b/>
      <w:i/>
      <w:color w:val="1E1D64"/>
      <w:sz w:val="28"/>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5800">
      <w:bodyDiv w:val="1"/>
      <w:marLeft w:val="0"/>
      <w:marRight w:val="0"/>
      <w:marTop w:val="0"/>
      <w:marBottom w:val="0"/>
      <w:divBdr>
        <w:top w:val="none" w:sz="0" w:space="0" w:color="auto"/>
        <w:left w:val="none" w:sz="0" w:space="0" w:color="auto"/>
        <w:bottom w:val="none" w:sz="0" w:space="0" w:color="auto"/>
        <w:right w:val="none" w:sz="0" w:space="0" w:color="auto"/>
      </w:divBdr>
    </w:div>
    <w:div w:id="291909095">
      <w:bodyDiv w:val="1"/>
      <w:marLeft w:val="0"/>
      <w:marRight w:val="0"/>
      <w:marTop w:val="0"/>
      <w:marBottom w:val="0"/>
      <w:divBdr>
        <w:top w:val="none" w:sz="0" w:space="0" w:color="auto"/>
        <w:left w:val="none" w:sz="0" w:space="0" w:color="auto"/>
        <w:bottom w:val="none" w:sz="0" w:space="0" w:color="auto"/>
        <w:right w:val="none" w:sz="0" w:space="0" w:color="auto"/>
      </w:divBdr>
    </w:div>
    <w:div w:id="363949782">
      <w:bodyDiv w:val="1"/>
      <w:marLeft w:val="0"/>
      <w:marRight w:val="0"/>
      <w:marTop w:val="0"/>
      <w:marBottom w:val="0"/>
      <w:divBdr>
        <w:top w:val="none" w:sz="0" w:space="0" w:color="auto"/>
        <w:left w:val="none" w:sz="0" w:space="0" w:color="auto"/>
        <w:bottom w:val="none" w:sz="0" w:space="0" w:color="auto"/>
        <w:right w:val="none" w:sz="0" w:space="0" w:color="auto"/>
      </w:divBdr>
    </w:div>
    <w:div w:id="364984598">
      <w:bodyDiv w:val="1"/>
      <w:marLeft w:val="0"/>
      <w:marRight w:val="0"/>
      <w:marTop w:val="0"/>
      <w:marBottom w:val="0"/>
      <w:divBdr>
        <w:top w:val="none" w:sz="0" w:space="0" w:color="auto"/>
        <w:left w:val="none" w:sz="0" w:space="0" w:color="auto"/>
        <w:bottom w:val="none" w:sz="0" w:space="0" w:color="auto"/>
        <w:right w:val="none" w:sz="0" w:space="0" w:color="auto"/>
      </w:divBdr>
    </w:div>
    <w:div w:id="584456515">
      <w:bodyDiv w:val="1"/>
      <w:marLeft w:val="0"/>
      <w:marRight w:val="0"/>
      <w:marTop w:val="0"/>
      <w:marBottom w:val="0"/>
      <w:divBdr>
        <w:top w:val="none" w:sz="0" w:space="0" w:color="auto"/>
        <w:left w:val="none" w:sz="0" w:space="0" w:color="auto"/>
        <w:bottom w:val="none" w:sz="0" w:space="0" w:color="auto"/>
        <w:right w:val="none" w:sz="0" w:space="0" w:color="auto"/>
      </w:divBdr>
    </w:div>
    <w:div w:id="710765407">
      <w:bodyDiv w:val="1"/>
      <w:marLeft w:val="0"/>
      <w:marRight w:val="0"/>
      <w:marTop w:val="0"/>
      <w:marBottom w:val="0"/>
      <w:divBdr>
        <w:top w:val="none" w:sz="0" w:space="0" w:color="auto"/>
        <w:left w:val="none" w:sz="0" w:space="0" w:color="auto"/>
        <w:bottom w:val="none" w:sz="0" w:space="0" w:color="auto"/>
        <w:right w:val="none" w:sz="0" w:space="0" w:color="auto"/>
      </w:divBdr>
    </w:div>
    <w:div w:id="860702516">
      <w:bodyDiv w:val="1"/>
      <w:marLeft w:val="0"/>
      <w:marRight w:val="0"/>
      <w:marTop w:val="0"/>
      <w:marBottom w:val="0"/>
      <w:divBdr>
        <w:top w:val="none" w:sz="0" w:space="0" w:color="auto"/>
        <w:left w:val="none" w:sz="0" w:space="0" w:color="auto"/>
        <w:bottom w:val="none" w:sz="0" w:space="0" w:color="auto"/>
        <w:right w:val="none" w:sz="0" w:space="0" w:color="auto"/>
      </w:divBdr>
    </w:div>
    <w:div w:id="901017247">
      <w:bodyDiv w:val="1"/>
      <w:marLeft w:val="0"/>
      <w:marRight w:val="0"/>
      <w:marTop w:val="0"/>
      <w:marBottom w:val="0"/>
      <w:divBdr>
        <w:top w:val="none" w:sz="0" w:space="0" w:color="auto"/>
        <w:left w:val="none" w:sz="0" w:space="0" w:color="auto"/>
        <w:bottom w:val="none" w:sz="0" w:space="0" w:color="auto"/>
        <w:right w:val="none" w:sz="0" w:space="0" w:color="auto"/>
      </w:divBdr>
    </w:div>
    <w:div w:id="976449302">
      <w:bodyDiv w:val="1"/>
      <w:marLeft w:val="0"/>
      <w:marRight w:val="0"/>
      <w:marTop w:val="0"/>
      <w:marBottom w:val="0"/>
      <w:divBdr>
        <w:top w:val="none" w:sz="0" w:space="0" w:color="auto"/>
        <w:left w:val="none" w:sz="0" w:space="0" w:color="auto"/>
        <w:bottom w:val="none" w:sz="0" w:space="0" w:color="auto"/>
        <w:right w:val="none" w:sz="0" w:space="0" w:color="auto"/>
      </w:divBdr>
    </w:div>
    <w:div w:id="1048527653">
      <w:bodyDiv w:val="1"/>
      <w:marLeft w:val="0"/>
      <w:marRight w:val="0"/>
      <w:marTop w:val="0"/>
      <w:marBottom w:val="0"/>
      <w:divBdr>
        <w:top w:val="none" w:sz="0" w:space="0" w:color="auto"/>
        <w:left w:val="none" w:sz="0" w:space="0" w:color="auto"/>
        <w:bottom w:val="none" w:sz="0" w:space="0" w:color="auto"/>
        <w:right w:val="none" w:sz="0" w:space="0" w:color="auto"/>
      </w:divBdr>
    </w:div>
    <w:div w:id="1108889487">
      <w:bodyDiv w:val="1"/>
      <w:marLeft w:val="0"/>
      <w:marRight w:val="0"/>
      <w:marTop w:val="0"/>
      <w:marBottom w:val="0"/>
      <w:divBdr>
        <w:top w:val="none" w:sz="0" w:space="0" w:color="auto"/>
        <w:left w:val="none" w:sz="0" w:space="0" w:color="auto"/>
        <w:bottom w:val="none" w:sz="0" w:space="0" w:color="auto"/>
        <w:right w:val="none" w:sz="0" w:space="0" w:color="auto"/>
      </w:divBdr>
    </w:div>
    <w:div w:id="1804539905">
      <w:bodyDiv w:val="1"/>
      <w:marLeft w:val="0"/>
      <w:marRight w:val="0"/>
      <w:marTop w:val="0"/>
      <w:marBottom w:val="0"/>
      <w:divBdr>
        <w:top w:val="none" w:sz="0" w:space="0" w:color="auto"/>
        <w:left w:val="none" w:sz="0" w:space="0" w:color="auto"/>
        <w:bottom w:val="none" w:sz="0" w:space="0" w:color="auto"/>
        <w:right w:val="none" w:sz="0" w:space="0" w:color="auto"/>
      </w:divBdr>
    </w:div>
    <w:div w:id="1815368663">
      <w:bodyDiv w:val="1"/>
      <w:marLeft w:val="0"/>
      <w:marRight w:val="0"/>
      <w:marTop w:val="0"/>
      <w:marBottom w:val="0"/>
      <w:divBdr>
        <w:top w:val="none" w:sz="0" w:space="0" w:color="auto"/>
        <w:left w:val="none" w:sz="0" w:space="0" w:color="auto"/>
        <w:bottom w:val="none" w:sz="0" w:space="0" w:color="auto"/>
        <w:right w:val="none" w:sz="0" w:space="0" w:color="auto"/>
      </w:divBdr>
    </w:div>
    <w:div w:id="1838959395">
      <w:bodyDiv w:val="1"/>
      <w:marLeft w:val="0"/>
      <w:marRight w:val="0"/>
      <w:marTop w:val="0"/>
      <w:marBottom w:val="0"/>
      <w:divBdr>
        <w:top w:val="none" w:sz="0" w:space="0" w:color="auto"/>
        <w:left w:val="none" w:sz="0" w:space="0" w:color="auto"/>
        <w:bottom w:val="none" w:sz="0" w:space="0" w:color="auto"/>
        <w:right w:val="none" w:sz="0" w:space="0" w:color="auto"/>
      </w:divBdr>
    </w:div>
    <w:div w:id="2019843438">
      <w:bodyDiv w:val="1"/>
      <w:marLeft w:val="0"/>
      <w:marRight w:val="0"/>
      <w:marTop w:val="0"/>
      <w:marBottom w:val="0"/>
      <w:divBdr>
        <w:top w:val="none" w:sz="0" w:space="0" w:color="auto"/>
        <w:left w:val="none" w:sz="0" w:space="0" w:color="auto"/>
        <w:bottom w:val="none" w:sz="0" w:space="0" w:color="auto"/>
        <w:right w:val="none" w:sz="0" w:space="0" w:color="auto"/>
      </w:divBdr>
      <w:divsChild>
        <w:div w:id="919560639">
          <w:marLeft w:val="0"/>
          <w:marRight w:val="0"/>
          <w:marTop w:val="0"/>
          <w:marBottom w:val="0"/>
          <w:divBdr>
            <w:top w:val="none" w:sz="0" w:space="0" w:color="auto"/>
            <w:left w:val="none" w:sz="0" w:space="0" w:color="auto"/>
            <w:bottom w:val="none" w:sz="0" w:space="0" w:color="auto"/>
            <w:right w:val="none" w:sz="0" w:space="0" w:color="auto"/>
          </w:divBdr>
          <w:divsChild>
            <w:div w:id="1564634658">
              <w:marLeft w:val="0"/>
              <w:marRight w:val="0"/>
              <w:marTop w:val="0"/>
              <w:marBottom w:val="0"/>
              <w:divBdr>
                <w:top w:val="none" w:sz="0" w:space="0" w:color="auto"/>
                <w:left w:val="none" w:sz="0" w:space="0" w:color="auto"/>
                <w:bottom w:val="none" w:sz="0" w:space="0" w:color="auto"/>
                <w:right w:val="none" w:sz="0" w:space="0" w:color="auto"/>
              </w:divBdr>
              <w:divsChild>
                <w:div w:id="517504785">
                  <w:marLeft w:val="0"/>
                  <w:marRight w:val="-4875"/>
                  <w:marTop w:val="0"/>
                  <w:marBottom w:val="0"/>
                  <w:divBdr>
                    <w:top w:val="none" w:sz="0" w:space="0" w:color="auto"/>
                    <w:left w:val="none" w:sz="0" w:space="0" w:color="auto"/>
                    <w:bottom w:val="none" w:sz="0" w:space="0" w:color="auto"/>
                    <w:right w:val="none" w:sz="0" w:space="0" w:color="auto"/>
                  </w:divBdr>
                  <w:divsChild>
                    <w:div w:id="2051686585">
                      <w:marLeft w:val="0"/>
                      <w:marRight w:val="0"/>
                      <w:marTop w:val="0"/>
                      <w:marBottom w:val="0"/>
                      <w:divBdr>
                        <w:top w:val="none" w:sz="0" w:space="0" w:color="auto"/>
                        <w:left w:val="none" w:sz="0" w:space="0" w:color="auto"/>
                        <w:bottom w:val="none" w:sz="0" w:space="0" w:color="auto"/>
                        <w:right w:val="none" w:sz="0" w:space="0" w:color="auto"/>
                      </w:divBdr>
                      <w:divsChild>
                        <w:div w:id="1086657040">
                          <w:marLeft w:val="0"/>
                          <w:marRight w:val="0"/>
                          <w:marTop w:val="0"/>
                          <w:marBottom w:val="0"/>
                          <w:divBdr>
                            <w:top w:val="none" w:sz="0" w:space="0" w:color="auto"/>
                            <w:left w:val="none" w:sz="0" w:space="0" w:color="auto"/>
                            <w:bottom w:val="none" w:sz="0" w:space="0" w:color="auto"/>
                            <w:right w:val="none" w:sz="0" w:space="0" w:color="auto"/>
                          </w:divBdr>
                          <w:divsChild>
                            <w:div w:id="15238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45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471C-01E7-4452-81F6-2363B92E1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Pages>
  <Words>1434</Words>
  <Characters>8108</Characters>
  <Application>Microsoft Office Word</Application>
  <DocSecurity>0</DocSecurity>
  <Lines>300</Lines>
  <Paragraphs>117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VELISSARATOS Errikos (ECFIN)</dc:creator>
  <cp:lastModifiedBy>DIGIT/A3</cp:lastModifiedBy>
  <cp:revision>23</cp:revision>
  <cp:lastPrinted>2017-06-23T16:53:00Z</cp:lastPrinted>
  <dcterms:created xsi:type="dcterms:W3CDTF">2017-06-26T17:16:00Z</dcterms:created>
  <dcterms:modified xsi:type="dcterms:W3CDTF">2017-07-27T06:32:00Z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2</vt:lpwstr>
  </property>
  <property fmtid="{D5CDD505-2E9C-101B-9397-08002B2CF9AE}" pid="3" name="Last annex">
    <vt:lpwstr>2</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