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BA59517FDFB4173B6D785229612FD47" style="width:450.25pt;height:497.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Times New Roman" w:eastAsia="Times New Roman" w:hAnsi="Times New Roman" w:cs="Times New Roman"/>
          <w:b/>
          <w:noProof/>
        </w:rPr>
      </w:pPr>
      <w:bookmarkStart w:id="1" w:name="_GoBack"/>
      <w:bookmarkEnd w:id="1"/>
      <w:r>
        <w:rPr>
          <w:rFonts w:ascii="Times New Roman" w:hAnsi="Times New Roman"/>
          <w:b/>
          <w:noProof/>
        </w:rPr>
        <w:lastRenderedPageBreak/>
        <w:t>ÉTAT D’AVANCEMENT DE LA MISE EN ŒUVRE DU PLAN D’ACTION DESTINÉ À RENFORCER LA LUTTE CONTRE LE FINANCEMENT DU TERRORISME</w:t>
      </w:r>
      <w:r>
        <w:rPr>
          <w:rFonts w:ascii="Times New Roman" w:hAnsi="Times New Roman"/>
          <w:b/>
          <w:noProof/>
        </w:rPr>
        <w:br/>
        <w:t>[COM(2016) 50 final du 2.2.2016]</w:t>
      </w:r>
    </w:p>
    <w:p>
      <w:p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eastAsia="Times New Roman" w:hAnsi="Times New Roman" w:cs="Times New Roman"/>
          <w:b/>
          <w:noProof/>
        </w:rPr>
      </w:pPr>
    </w:p>
    <w:tbl>
      <w:tblPr>
        <w:tblStyle w:val="TableGrid"/>
        <w:tblW w:w="0" w:type="auto"/>
        <w:tblLayout w:type="fixed"/>
        <w:tblLook w:val="04A0" w:firstRow="1" w:lastRow="0" w:firstColumn="1" w:lastColumn="0" w:noHBand="0" w:noVBand="1"/>
      </w:tblPr>
      <w:tblGrid>
        <w:gridCol w:w="5211"/>
        <w:gridCol w:w="1701"/>
        <w:gridCol w:w="7306"/>
      </w:tblGrid>
      <w:tr>
        <w:tc>
          <w:tcPr>
            <w:tcW w:w="5211" w:type="dxa"/>
            <w:shd w:val="clear" w:color="auto" w:fill="8DB3E2" w:themeFill="text2" w:themeFillTint="66"/>
          </w:tcPr>
          <w:p>
            <w:pPr>
              <w:rPr>
                <w:rFonts w:ascii="Times New Roman" w:hAnsi="Times New Roman" w:cs="Times New Roman"/>
                <w:b/>
                <w:noProof/>
                <w:sz w:val="20"/>
                <w:szCs w:val="20"/>
              </w:rPr>
            </w:pPr>
            <w:r>
              <w:rPr>
                <w:rFonts w:ascii="Times New Roman" w:hAnsi="Times New Roman"/>
                <w:b/>
                <w:noProof/>
                <w:sz w:val="20"/>
              </w:rPr>
              <w:t>Objectifs et actions</w:t>
            </w:r>
          </w:p>
        </w:tc>
        <w:tc>
          <w:tcPr>
            <w:tcW w:w="1701" w:type="dxa"/>
            <w:shd w:val="clear" w:color="auto" w:fill="8DB3E2" w:themeFill="text2" w:themeFillTint="66"/>
          </w:tcPr>
          <w:p>
            <w:pPr>
              <w:jc w:val="center"/>
              <w:rPr>
                <w:rFonts w:ascii="Times New Roman" w:hAnsi="Times New Roman" w:cs="Times New Roman"/>
                <w:b/>
                <w:noProof/>
                <w:sz w:val="20"/>
                <w:szCs w:val="20"/>
              </w:rPr>
            </w:pPr>
            <w:r>
              <w:rPr>
                <w:rFonts w:ascii="Times New Roman" w:hAnsi="Times New Roman"/>
                <w:b/>
                <w:noProof/>
                <w:sz w:val="20"/>
              </w:rPr>
              <w:t>Calendrier</w:t>
            </w:r>
          </w:p>
        </w:tc>
        <w:tc>
          <w:tcPr>
            <w:tcW w:w="7306" w:type="dxa"/>
            <w:shd w:val="clear" w:color="auto" w:fill="8DB3E2" w:themeFill="text2" w:themeFillTint="66"/>
          </w:tcPr>
          <w:p>
            <w:pPr>
              <w:rPr>
                <w:rFonts w:ascii="Times New Roman" w:hAnsi="Times New Roman" w:cs="Times New Roman"/>
                <w:b/>
                <w:noProof/>
                <w:sz w:val="20"/>
                <w:szCs w:val="20"/>
              </w:rPr>
            </w:pPr>
            <w:r>
              <w:rPr>
                <w:rFonts w:ascii="Times New Roman" w:hAnsi="Times New Roman"/>
                <w:b/>
                <w:noProof/>
                <w:sz w:val="20"/>
              </w:rPr>
              <w:t>Description/État d’avancement</w:t>
            </w:r>
          </w:p>
        </w:tc>
      </w:tr>
      <w:tr>
        <w:tc>
          <w:tcPr>
            <w:tcW w:w="14218" w:type="dxa"/>
            <w:gridSpan w:val="3"/>
            <w:shd w:val="clear" w:color="auto" w:fill="C6D9F1" w:themeFill="text2" w:themeFillTint="33"/>
          </w:tcPr>
          <w:p>
            <w:pPr>
              <w:jc w:val="center"/>
              <w:rPr>
                <w:rFonts w:ascii="Times New Roman" w:hAnsi="Times New Roman" w:cs="Times New Roman"/>
                <w:noProof/>
              </w:rPr>
            </w:pPr>
            <w:r>
              <w:rPr>
                <w:rFonts w:ascii="Times New Roman" w:hAnsi="Times New Roman"/>
                <w:b/>
                <w:noProof/>
              </w:rPr>
              <w:t>Prévenir les mouvements de fonds et repérer le financement du terrorisme</w:t>
            </w:r>
          </w:p>
        </w:tc>
      </w:tr>
      <w:tr>
        <w:tc>
          <w:tcPr>
            <w:tcW w:w="14218" w:type="dxa"/>
            <w:gridSpan w:val="3"/>
            <w:shd w:val="clear" w:color="auto" w:fill="C6D9F1" w:themeFill="text2" w:themeFillTint="33"/>
          </w:tcPr>
          <w:p>
            <w:pPr>
              <w:jc w:val="center"/>
              <w:rPr>
                <w:rFonts w:ascii="Times New Roman" w:hAnsi="Times New Roman" w:cs="Times New Roman"/>
                <w:i/>
                <w:noProof/>
              </w:rPr>
            </w:pPr>
            <w:r>
              <w:rPr>
                <w:rFonts w:ascii="Times New Roman" w:hAnsi="Times New Roman"/>
                <w:i/>
                <w:noProof/>
              </w:rPr>
              <w:t>S'attaquer à l'utilisation abusive du système financier à des fins de financement du terrorisme</w:t>
            </w:r>
          </w:p>
        </w:tc>
      </w:tr>
      <w:tr>
        <w:tc>
          <w:tcPr>
            <w:tcW w:w="5211" w:type="dxa"/>
          </w:tcPr>
          <w:p>
            <w:pPr>
              <w:rPr>
                <w:rFonts w:ascii="Times New Roman" w:hAnsi="Times New Roman" w:cs="Times New Roman"/>
                <w:noProof/>
              </w:rPr>
            </w:pPr>
            <w:r>
              <w:rPr>
                <w:rFonts w:ascii="Times New Roman" w:hAnsi="Times New Roman"/>
                <w:noProof/>
              </w:rPr>
              <w:t>Avancer la date de transposition et d'entrée en vigueur effectives de la 4</w:t>
            </w:r>
            <w:r>
              <w:rPr>
                <w:rFonts w:ascii="Times New Roman" w:hAnsi="Times New Roman"/>
                <w:noProof/>
                <w:vertAlign w:val="superscript"/>
              </w:rPr>
              <w:t>e</w:t>
            </w:r>
            <w:r>
              <w:rPr>
                <w:rFonts w:ascii="Times New Roman" w:hAnsi="Times New Roman"/>
                <w:noProof/>
              </w:rPr>
              <w:t xml:space="preserve"> directive anti-blanchiment</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4</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01/01/2017 dans la proposition visant à modifier la 4</w:t>
            </w:r>
            <w:r>
              <w:rPr>
                <w:rFonts w:ascii="Times New Roman" w:hAnsi="Times New Roman"/>
                <w:noProof/>
                <w:vertAlign w:val="superscript"/>
              </w:rPr>
              <w:t>e</w:t>
            </w:r>
            <w:r>
              <w:rPr>
                <w:rFonts w:ascii="Times New Roman" w:hAnsi="Times New Roman"/>
                <w:noProof/>
              </w:rPr>
              <w:t xml:space="preserve"> directive anti</w:t>
            </w:r>
            <w:r>
              <w:rPr>
                <w:rFonts w:ascii="Times New Roman" w:hAnsi="Times New Roman"/>
                <w:noProof/>
              </w:rPr>
              <w:noBreakHyphen/>
              <w:t>blanchiment.</w:t>
            </w:r>
          </w:p>
          <w:p>
            <w:pPr>
              <w:pStyle w:val="ListParagraph"/>
              <w:numPr>
                <w:ilvl w:val="0"/>
                <w:numId w:val="7"/>
              </w:numPr>
              <w:ind w:left="360"/>
              <w:rPr>
                <w:rFonts w:ascii="Times New Roman" w:hAnsi="Times New Roman" w:cs="Times New Roman"/>
                <w:noProof/>
              </w:rPr>
            </w:pPr>
            <w:r>
              <w:rPr>
                <w:rFonts w:ascii="Times New Roman" w:hAnsi="Times New Roman"/>
                <w:noProof/>
              </w:rPr>
              <w:t>Remplacée par les négociations en cours (trilogues) visant à modifier la 4</w:t>
            </w:r>
            <w:r>
              <w:rPr>
                <w:rFonts w:ascii="Times New Roman" w:hAnsi="Times New Roman"/>
                <w:noProof/>
                <w:vertAlign w:val="superscript"/>
              </w:rPr>
              <w:t>e</w:t>
            </w:r>
            <w:r>
              <w:rPr>
                <w:rFonts w:ascii="Times New Roman" w:hAnsi="Times New Roman"/>
                <w:noProof/>
              </w:rPr>
              <w:t xml:space="preserve"> directive anti-blanchiment — voir ci-dessous. </w:t>
            </w:r>
          </w:p>
        </w:tc>
      </w:tr>
      <w:tr>
        <w:tc>
          <w:tcPr>
            <w:tcW w:w="5211" w:type="dxa"/>
          </w:tcPr>
          <w:p>
            <w:pPr>
              <w:rPr>
                <w:rFonts w:ascii="Times New Roman" w:hAnsi="Times New Roman" w:cs="Times New Roman"/>
                <w:noProof/>
              </w:rPr>
            </w:pPr>
            <w:r>
              <w:rPr>
                <w:rFonts w:ascii="Times New Roman" w:hAnsi="Times New Roman"/>
                <w:noProof/>
              </w:rPr>
              <w:t xml:space="preserve">Adopter une liste recensant les pays tiers à haut risque dont les dispositifs de lutte contre le blanchiment de capitaux et le financement du terrorisme présentent des carences stratégiques </w:t>
            </w: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ind w:left="360"/>
              <w:jc w:val="both"/>
              <w:rPr>
                <w:rFonts w:ascii="Times New Roman" w:hAnsi="Times New Roman" w:cs="Times New Roman"/>
                <w:noProof/>
              </w:rPr>
            </w:pPr>
            <w:r>
              <w:rPr>
                <w:rFonts w:ascii="Times New Roman" w:hAnsi="Times New Roman"/>
                <w:noProof/>
              </w:rPr>
              <w:t>Acte délégué avec une liste de l’UE tenant compte des listes du Groupe d’action financière (GAFI) adoptées le 14/07/2016, entrées en vigueur en septembre 2016.</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De nouvelles modifications à l’acte délégué ont été rejetées par le Parlement européen.</w:t>
            </w:r>
          </w:p>
          <w:p>
            <w:pPr>
              <w:pStyle w:val="ListParagraph"/>
              <w:numPr>
                <w:ilvl w:val="0"/>
                <w:numId w:val="7"/>
              </w:numPr>
              <w:jc w:val="both"/>
              <w:rPr>
                <w:rFonts w:ascii="Times New Roman" w:hAnsi="Times New Roman" w:cs="Times New Roman"/>
                <w:noProof/>
              </w:rPr>
            </w:pPr>
            <w:r>
              <w:rPr>
                <w:rFonts w:ascii="Times New Roman" w:hAnsi="Times New Roman"/>
                <w:noProof/>
              </w:rPr>
              <w:t>La Commission a l’intention de renforcer son engagement volontariste et son rôle de coordination au sein du GAFI aux fins de l’établissement d’une liste des pays tiers à haut risque en amont.</w:t>
            </w:r>
          </w:p>
          <w:p>
            <w:pPr>
              <w:pStyle w:val="ListParagraph"/>
              <w:numPr>
                <w:ilvl w:val="0"/>
                <w:numId w:val="7"/>
              </w:numPr>
              <w:jc w:val="both"/>
              <w:rPr>
                <w:rFonts w:ascii="Times New Roman" w:hAnsi="Times New Roman" w:cs="Times New Roman"/>
                <w:noProof/>
              </w:rPr>
            </w:pPr>
            <w:r>
              <w:rPr>
                <w:rFonts w:ascii="Times New Roman" w:hAnsi="Times New Roman"/>
                <w:noProof/>
              </w:rPr>
              <w:t xml:space="preserve">La Commission définira aussi une nouvelle méthode d’évaluation de l’UE ne se fondant pas uniquement sur des sources d’information externes. Une feuille de route qui présente les principales étapes vers une nouvelle méthode, sur la base de plans détaillés pour les 18 mois à venir et d’un aperçu pour la période suivante, a été établie. </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L’UE devrait également collaborer de manière proactive avec les pays «à faible capacité», afin de les aider à améliorer leur situation en termes de prévention du blanchiment de capitaux ou du financement du terrorisme.</w:t>
            </w:r>
          </w:p>
        </w:tc>
      </w:tr>
      <w:tr>
        <w:tc>
          <w:tcPr>
            <w:tcW w:w="5211" w:type="dxa"/>
          </w:tcPr>
          <w:p>
            <w:pPr>
              <w:rPr>
                <w:rFonts w:ascii="Times New Roman" w:hAnsi="Times New Roman" w:cs="Times New Roman"/>
                <w:noProof/>
              </w:rPr>
            </w:pPr>
            <w:r>
              <w:rPr>
                <w:rFonts w:ascii="Times New Roman" w:hAnsi="Times New Roman"/>
                <w:noProof/>
              </w:rPr>
              <w:t>Publier un rapport consacré à l'évaluation supranationale des risques de blanchiment de capitaux et de financement du terrorisme et adresser aux États membres des recommandations sur les mesures qu’il convient de prendre pour faire face à ces risques</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lastRenderedPageBreak/>
              <w:t>2</w:t>
            </w:r>
            <w:r>
              <w:rPr>
                <w:rFonts w:ascii="Times New Roman" w:hAnsi="Times New Roman"/>
                <w:noProof/>
                <w:vertAlign w:val="superscript"/>
              </w:rPr>
              <w:t>e</w:t>
            </w:r>
            <w:r>
              <w:rPr>
                <w:rFonts w:ascii="Times New Roman" w:hAnsi="Times New Roman"/>
                <w:noProof/>
              </w:rPr>
              <w:t> trimestre de 2017</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p>
            <w:pPr>
              <w:pStyle w:val="ListParagraph"/>
              <w:numPr>
                <w:ilvl w:val="0"/>
                <w:numId w:val="7"/>
              </w:numPr>
              <w:ind w:left="360"/>
              <w:rPr>
                <w:rFonts w:ascii="Times New Roman" w:hAnsi="Times New Roman" w:cs="Times New Roman"/>
                <w:noProof/>
              </w:rPr>
            </w:pPr>
            <w:r>
              <w:rPr>
                <w:rFonts w:ascii="Times New Roman" w:hAnsi="Times New Roman"/>
                <w:noProof/>
              </w:rPr>
              <w:t>Adoption prévue fin juin 2017</w:t>
            </w:r>
          </w:p>
        </w:tc>
      </w:tr>
      <w:tr>
        <w:tc>
          <w:tcPr>
            <w:tcW w:w="5211" w:type="dxa"/>
          </w:tcPr>
          <w:p>
            <w:pPr>
              <w:rPr>
                <w:rFonts w:ascii="Times New Roman" w:hAnsi="Times New Roman" w:cs="Times New Roman"/>
                <w:noProof/>
              </w:rPr>
            </w:pPr>
            <w:r>
              <w:rPr>
                <w:noProof/>
              </w:rPr>
              <w:lastRenderedPageBreak/>
              <w:br w:type="page"/>
            </w:r>
            <w:r>
              <w:rPr>
                <w:rFonts w:ascii="Times New Roman" w:hAnsi="Times New Roman"/>
                <w:noProof/>
              </w:rPr>
              <w:t>Proposer des modifications à apporter aux points suivants de la 4</w:t>
            </w:r>
            <w:r>
              <w:rPr>
                <w:rFonts w:ascii="Times New Roman" w:hAnsi="Times New Roman"/>
                <w:noProof/>
                <w:vertAlign w:val="superscript"/>
              </w:rPr>
              <w:t>e</w:t>
            </w:r>
            <w:r>
              <w:rPr>
                <w:rFonts w:ascii="Times New Roman" w:hAnsi="Times New Roman"/>
                <w:noProof/>
              </w:rPr>
              <w:t> directive anti-blanchiment:</w:t>
            </w:r>
          </w:p>
          <w:p>
            <w:pPr>
              <w:pStyle w:val="ListParagraph"/>
              <w:numPr>
                <w:ilvl w:val="0"/>
                <w:numId w:val="4"/>
              </w:numPr>
              <w:rPr>
                <w:rFonts w:ascii="Times New Roman" w:hAnsi="Times New Roman" w:cs="Times New Roman"/>
                <w:noProof/>
              </w:rPr>
            </w:pPr>
            <w:r>
              <w:rPr>
                <w:rFonts w:ascii="Times New Roman" w:hAnsi="Times New Roman"/>
                <w:noProof/>
              </w:rPr>
              <w:t>mesures/contre-mesures de vigilance renforcées à l’égard des pays tiers à haut risque;</w:t>
            </w:r>
          </w:p>
          <w:p>
            <w:pPr>
              <w:pStyle w:val="ListParagraph"/>
              <w:numPr>
                <w:ilvl w:val="0"/>
                <w:numId w:val="4"/>
              </w:numPr>
              <w:rPr>
                <w:rFonts w:ascii="Times New Roman" w:hAnsi="Times New Roman" w:cs="Times New Roman"/>
                <w:noProof/>
              </w:rPr>
            </w:pPr>
            <w:r>
              <w:rPr>
                <w:rFonts w:ascii="Times New Roman" w:hAnsi="Times New Roman"/>
                <w:noProof/>
              </w:rPr>
              <w:t>plateformes de change de monnaies virtuelles;</w:t>
            </w:r>
          </w:p>
          <w:p>
            <w:pPr>
              <w:pStyle w:val="ListParagraph"/>
              <w:numPr>
                <w:ilvl w:val="0"/>
                <w:numId w:val="4"/>
              </w:numPr>
              <w:rPr>
                <w:rFonts w:ascii="Times New Roman" w:hAnsi="Times New Roman" w:cs="Times New Roman"/>
                <w:noProof/>
              </w:rPr>
            </w:pPr>
            <w:r>
              <w:rPr>
                <w:rFonts w:ascii="Times New Roman" w:hAnsi="Times New Roman"/>
                <w:noProof/>
              </w:rPr>
              <w:t>instruments prépayés;</w:t>
            </w:r>
          </w:p>
          <w:p>
            <w:pPr>
              <w:pStyle w:val="ListParagraph"/>
              <w:numPr>
                <w:ilvl w:val="0"/>
                <w:numId w:val="4"/>
              </w:numPr>
              <w:rPr>
                <w:rFonts w:ascii="Times New Roman" w:hAnsi="Times New Roman" w:cs="Times New Roman"/>
                <w:noProof/>
              </w:rPr>
            </w:pPr>
            <w:r>
              <w:rPr>
                <w:rFonts w:ascii="Times New Roman" w:hAnsi="Times New Roman"/>
                <w:noProof/>
              </w:rPr>
              <w:t>registres centralisés des comptes bancaires et des comptes de paiement ou systèmes électroniques de recherche de données;</w:t>
            </w:r>
          </w:p>
          <w:p>
            <w:pPr>
              <w:pStyle w:val="ListParagraph"/>
              <w:numPr>
                <w:ilvl w:val="0"/>
                <w:numId w:val="4"/>
              </w:numPr>
              <w:rPr>
                <w:rFonts w:ascii="Times New Roman" w:hAnsi="Times New Roman" w:cs="Times New Roman"/>
                <w:noProof/>
              </w:rPr>
            </w:pPr>
            <w:r>
              <w:rPr>
                <w:rFonts w:ascii="Times New Roman" w:hAnsi="Times New Roman"/>
                <w:noProof/>
              </w:rPr>
              <w:t>accès des cellules de renseignement financier aux informations et échange d’informations entre lesdites cellules.</w:t>
            </w: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2016 au plus tard - Fait</w:t>
            </w:r>
          </w:p>
        </w:tc>
        <w:tc>
          <w:tcPr>
            <w:tcW w:w="7306" w:type="dxa"/>
          </w:tcPr>
          <w:p>
            <w:pPr>
              <w:pStyle w:val="ListParagraph"/>
              <w:numPr>
                <w:ilvl w:val="0"/>
                <w:numId w:val="7"/>
              </w:numPr>
              <w:ind w:left="360"/>
              <w:jc w:val="both"/>
              <w:rPr>
                <w:rFonts w:ascii="Times New Roman" w:hAnsi="Times New Roman" w:cs="Times New Roman"/>
                <w:noProof/>
              </w:rPr>
            </w:pPr>
            <w:r>
              <w:rPr>
                <w:rFonts w:ascii="Times New Roman" w:hAnsi="Times New Roman"/>
                <w:noProof/>
              </w:rPr>
              <w:t>Proposition adoptée par la Commission le 05/07/16.</w:t>
            </w:r>
            <w:r>
              <w:rPr>
                <w:noProof/>
              </w:rPr>
              <w:t xml:space="preserve"> </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Actuellement au stade avancé du trilogue.</w:t>
            </w:r>
          </w:p>
          <w:p>
            <w:pPr>
              <w:pStyle w:val="ListParagraph"/>
              <w:ind w:left="360"/>
              <w:rPr>
                <w:rFonts w:ascii="Times New Roman" w:hAnsi="Times New Roman" w:cs="Times New Roman"/>
                <w:noProof/>
              </w:rPr>
            </w:pPr>
          </w:p>
        </w:tc>
      </w:tr>
      <w:tr>
        <w:tc>
          <w:tcPr>
            <w:tcW w:w="5211" w:type="dxa"/>
          </w:tcPr>
          <w:p>
            <w:pPr>
              <w:rPr>
                <w:rFonts w:ascii="Times New Roman" w:hAnsi="Times New Roman" w:cs="Times New Roman"/>
                <w:noProof/>
              </w:rPr>
            </w:pPr>
            <w:r>
              <w:rPr>
                <w:noProof/>
              </w:rPr>
              <w:br w:type="page"/>
            </w:r>
            <w:r>
              <w:rPr>
                <w:rFonts w:ascii="Times New Roman" w:hAnsi="Times New Roman"/>
                <w:noProof/>
              </w:rPr>
              <w:t>Améliorer l’efficacité de la transposition, dans le droit de l'Union, des mesures de gel des avoirs adoptées par les Nations unies, notamment en optimisant l’échange d’informations entre l’UE et les Nations unies</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ind w:left="360"/>
              <w:jc w:val="both"/>
              <w:rPr>
                <w:rFonts w:ascii="Times New Roman" w:hAnsi="Times New Roman" w:cs="Times New Roman"/>
                <w:noProof/>
              </w:rPr>
            </w:pPr>
            <w:r>
              <w:rPr>
                <w:rFonts w:ascii="Times New Roman" w:hAnsi="Times New Roman"/>
                <w:noProof/>
              </w:rPr>
              <w:t>Travaux en cours: les services de la Commission ont ramené le délai nécessaire pour transposer les nouvelles inscriptions sur les listes des Nations unies relatives à l’État islamique/Al-Qaida dans la législation l’UE de 5 à 3 jours en moyenne, en partie du fait du partage accru d’informations par le Comité des sanctions «État islamique/Al-Qaida» des Nations unies.</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Les services de la Commission examinent à présent ce qui pourrait être fait pour ramener ce délai de transposition à 2 jours.</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Le Secrétariat général du Conseil a été chargé de mettre en place une base de données pour contrôler les interdictions d’entrée figurant dans le SIS qui sont fondées sur des sanctions des Nations unies. Elle sera disponible d’ici 2017-2018.</w:t>
            </w:r>
          </w:p>
        </w:tc>
      </w:tr>
      <w:tr>
        <w:tc>
          <w:tcPr>
            <w:tcW w:w="5211" w:type="dxa"/>
          </w:tcPr>
          <w:p>
            <w:pPr>
              <w:rPr>
                <w:rFonts w:ascii="Times New Roman" w:hAnsi="Times New Roman" w:cs="Times New Roman"/>
                <w:noProof/>
              </w:rPr>
            </w:pPr>
            <w:r>
              <w:rPr>
                <w:rFonts w:ascii="Times New Roman" w:hAnsi="Times New Roman"/>
                <w:noProof/>
              </w:rPr>
              <w:t>Renforcer la capacité des États membres, de la Commission, du Service européen pour l'action extérieure (SEAE) et des opérateurs économiques à partager des informations sur les difficultés liées à la mise en œuvre des mesures restrictives, y compris à échanger des informations concernant les nouvelles inscriptions sur les listes des Nations unies, au moyen de la base de données des sanctions financières</w:t>
            </w: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2016 au plus tard</w:t>
            </w:r>
          </w:p>
          <w:p>
            <w:pPr>
              <w:jc w:val="center"/>
              <w:rPr>
                <w:rFonts w:ascii="Times New Roman" w:hAnsi="Times New Roman" w:cs="Times New Roman"/>
                <w:noProof/>
              </w:rPr>
            </w:pPr>
          </w:p>
        </w:tc>
        <w:tc>
          <w:tcPr>
            <w:tcW w:w="7306" w:type="dxa"/>
          </w:tcPr>
          <w:p>
            <w:pPr>
              <w:pStyle w:val="ListParagraph"/>
              <w:numPr>
                <w:ilvl w:val="0"/>
                <w:numId w:val="7"/>
              </w:numPr>
              <w:ind w:left="360"/>
              <w:jc w:val="both"/>
              <w:rPr>
                <w:rFonts w:ascii="Times New Roman" w:hAnsi="Times New Roman" w:cs="Times New Roman"/>
                <w:noProof/>
              </w:rPr>
            </w:pPr>
            <w:r>
              <w:rPr>
                <w:rFonts w:ascii="Times New Roman" w:hAnsi="Times New Roman"/>
                <w:noProof/>
              </w:rPr>
              <w:t>Travaux en cours: la Commission est en train de mettre au point une nouvelle application de la base de données des sanctions financières qui lui permettrait de transmettre des informations sur les nouvelles inscriptions sur les listes des Nations unies avant transposition dans la législation de l’UE (devant être opérationnelle d’ici le mois de septembre);</w:t>
            </w:r>
          </w:p>
          <w:p>
            <w:pPr>
              <w:pStyle w:val="ListParagraph"/>
              <w:numPr>
                <w:ilvl w:val="0"/>
                <w:numId w:val="7"/>
              </w:numPr>
              <w:ind w:left="360"/>
              <w:jc w:val="both"/>
              <w:rPr>
                <w:rFonts w:ascii="Times New Roman" w:hAnsi="Times New Roman" w:cs="Times New Roman"/>
                <w:noProof/>
              </w:rPr>
            </w:pPr>
            <w:r>
              <w:rPr>
                <w:rFonts w:ascii="Times New Roman" w:hAnsi="Times New Roman"/>
                <w:noProof/>
              </w:rPr>
              <w:t>Les services de la Commission examinent si la base de données des sanctions financières pourrait être également utilisée pour transmettre des informations sur les listes nationales des États membres.</w:t>
            </w:r>
          </w:p>
        </w:tc>
      </w:tr>
      <w:tr>
        <w:tc>
          <w:tcPr>
            <w:tcW w:w="5211" w:type="dxa"/>
          </w:tcPr>
          <w:p>
            <w:pPr>
              <w:rPr>
                <w:rFonts w:ascii="Times New Roman" w:hAnsi="Times New Roman" w:cs="Times New Roman"/>
                <w:noProof/>
              </w:rPr>
            </w:pPr>
            <w:r>
              <w:rPr>
                <w:rFonts w:ascii="Times New Roman" w:hAnsi="Times New Roman"/>
                <w:noProof/>
              </w:rPr>
              <w:t>Étudier la possibilité d'adopter un instrument législatif autonome afin de permettre une consultation plus large des registres des comptes bancaires et des comptes de paiement, pour d’autres enquêtes et par d’autres autorités, au-delà du champ d’application de la 4</w:t>
            </w:r>
            <w:r>
              <w:rPr>
                <w:rFonts w:ascii="Times New Roman" w:hAnsi="Times New Roman"/>
                <w:noProof/>
                <w:vertAlign w:val="superscript"/>
              </w:rPr>
              <w:t>e</w:t>
            </w:r>
            <w:r>
              <w:rPr>
                <w:rFonts w:ascii="Times New Roman" w:hAnsi="Times New Roman"/>
                <w:noProof/>
              </w:rPr>
              <w:t> directive anti-blanchiment</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p>
            <w:pPr>
              <w:pStyle w:val="ListParagraph"/>
              <w:numPr>
                <w:ilvl w:val="0"/>
                <w:numId w:val="7"/>
              </w:numPr>
              <w:ind w:left="360"/>
              <w:rPr>
                <w:rFonts w:ascii="Times New Roman" w:hAnsi="Times New Roman" w:cs="Times New Roman"/>
                <w:noProof/>
              </w:rPr>
            </w:pPr>
            <w:r>
              <w:rPr>
                <w:rFonts w:ascii="Times New Roman" w:hAnsi="Times New Roman"/>
                <w:noProof/>
              </w:rPr>
              <w:t>Ont été consultés (i) les autorités chargées de la gestion des registres des banques existants, (ii) les autorités susceptibles d’avoir accès aux registres des banques à des fins autres que la lutte contre le blanchiment d’argent (services répressifs, bureaux de recouvrement des avoirs, autorités fiscales et autorités chargées de la lutte contre la corruption) et le secteur bancaire.</w:t>
            </w:r>
            <w:r>
              <w:rPr>
                <w:noProof/>
              </w:rPr>
              <w:t xml:space="preserve"> </w:t>
            </w:r>
          </w:p>
          <w:p>
            <w:pPr>
              <w:pStyle w:val="ListParagraph"/>
              <w:ind w:left="360"/>
              <w:rPr>
                <w:rFonts w:ascii="Times New Roman" w:hAnsi="Times New Roman" w:cs="Times New Roman"/>
                <w:noProof/>
              </w:rPr>
            </w:pPr>
          </w:p>
        </w:tc>
      </w:tr>
      <w:tr>
        <w:tc>
          <w:tcPr>
            <w:tcW w:w="5211" w:type="dxa"/>
          </w:tcPr>
          <w:p>
            <w:pPr>
              <w:rPr>
                <w:rFonts w:ascii="Times New Roman" w:hAnsi="Times New Roman" w:cs="Times New Roman"/>
                <w:noProof/>
              </w:rPr>
            </w:pPr>
            <w:r>
              <w:rPr>
                <w:rFonts w:ascii="Times New Roman" w:hAnsi="Times New Roman"/>
                <w:noProof/>
              </w:rPr>
              <w:t>Renforcer la coopération entre les cellules de renseignement financier par des mesures appropriées</w:t>
            </w: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2017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p>
            <w:pPr>
              <w:pStyle w:val="ListParagraph"/>
              <w:numPr>
                <w:ilvl w:val="0"/>
                <w:numId w:val="7"/>
              </w:numPr>
              <w:ind w:left="360"/>
              <w:rPr>
                <w:rFonts w:ascii="Times New Roman" w:hAnsi="Times New Roman" w:cs="Times New Roman"/>
                <w:noProof/>
              </w:rPr>
            </w:pPr>
            <w:r>
              <w:rPr>
                <w:rFonts w:ascii="Times New Roman" w:hAnsi="Times New Roman"/>
                <w:noProof/>
              </w:rPr>
              <w:t>Prévu pour fin juin 2017.</w:t>
            </w:r>
          </w:p>
        </w:tc>
      </w:tr>
      <w:tr>
        <w:tc>
          <w:tcPr>
            <w:tcW w:w="14218" w:type="dxa"/>
            <w:gridSpan w:val="3"/>
            <w:shd w:val="clear" w:color="auto" w:fill="C6D9F1" w:themeFill="text2" w:themeFillTint="33"/>
          </w:tcPr>
          <w:p>
            <w:pPr>
              <w:jc w:val="center"/>
              <w:rPr>
                <w:rFonts w:ascii="Times New Roman" w:hAnsi="Times New Roman" w:cs="Times New Roman"/>
                <w:b/>
                <w:noProof/>
              </w:rPr>
            </w:pPr>
            <w:r>
              <w:rPr>
                <w:noProof/>
              </w:rPr>
              <w:br w:type="page"/>
            </w:r>
            <w:r>
              <w:rPr>
                <w:rFonts w:ascii="Times New Roman" w:hAnsi="Times New Roman"/>
                <w:b/>
                <w:noProof/>
              </w:rPr>
              <w:t>Autres initiatives visant à compléter le cadre juridique existant</w:t>
            </w:r>
          </w:p>
        </w:tc>
      </w:tr>
      <w:tr>
        <w:tc>
          <w:tcPr>
            <w:tcW w:w="14218" w:type="dxa"/>
            <w:gridSpan w:val="3"/>
            <w:shd w:val="clear" w:color="auto" w:fill="C6D9F1" w:themeFill="text2" w:themeFillTint="33"/>
          </w:tcPr>
          <w:p>
            <w:pPr>
              <w:jc w:val="center"/>
              <w:rPr>
                <w:rFonts w:ascii="Times New Roman" w:hAnsi="Times New Roman" w:cs="Times New Roman"/>
                <w:i/>
                <w:noProof/>
              </w:rPr>
            </w:pPr>
            <w:r>
              <w:rPr>
                <w:rFonts w:ascii="Times New Roman" w:hAnsi="Times New Roman"/>
                <w:i/>
                <w:noProof/>
              </w:rPr>
              <w:t>Harmoniser les infractions pénales et les sanctions liées au blanchiment de capitaux</w:t>
            </w:r>
          </w:p>
        </w:tc>
      </w:tr>
      <w:tr>
        <w:tc>
          <w:tcPr>
            <w:tcW w:w="5211" w:type="dxa"/>
          </w:tcPr>
          <w:p>
            <w:pPr>
              <w:rPr>
                <w:rFonts w:ascii="Times New Roman" w:hAnsi="Times New Roman" w:cs="Times New Roman"/>
                <w:noProof/>
              </w:rPr>
            </w:pPr>
            <w:r>
              <w:rPr>
                <w:rFonts w:ascii="Times New Roman" w:hAnsi="Times New Roman"/>
                <w:noProof/>
              </w:rPr>
              <w:t>Proposition législative visant à harmoniser les infractions pénales et les sanctions liées au blanchiment de capitaux</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4</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La Commission a présenté une proposition le 21 décembre 2016.</w:t>
            </w:r>
          </w:p>
          <w:p>
            <w:pPr>
              <w:pStyle w:val="ListParagraph"/>
              <w:numPr>
                <w:ilvl w:val="0"/>
                <w:numId w:val="7"/>
              </w:numPr>
              <w:ind w:left="360"/>
              <w:rPr>
                <w:rFonts w:ascii="Times New Roman" w:hAnsi="Times New Roman" w:cs="Times New Roman"/>
                <w:noProof/>
              </w:rPr>
            </w:pPr>
            <w:r>
              <w:rPr>
                <w:rFonts w:ascii="Times New Roman" w:hAnsi="Times New Roman"/>
                <w:noProof/>
              </w:rPr>
              <w:t>Le Conseil a dégagé une orientation générale le 8 juin 2017.</w:t>
            </w:r>
          </w:p>
          <w:p>
            <w:pPr>
              <w:pStyle w:val="ListParagraph"/>
              <w:numPr>
                <w:ilvl w:val="0"/>
                <w:numId w:val="7"/>
              </w:numPr>
              <w:ind w:left="360"/>
              <w:rPr>
                <w:rFonts w:ascii="Times New Roman" w:hAnsi="Times New Roman" w:cs="Times New Roman"/>
                <w:noProof/>
              </w:rPr>
            </w:pPr>
            <w:r>
              <w:rPr>
                <w:rFonts w:ascii="Times New Roman" w:hAnsi="Times New Roman"/>
                <w:noProof/>
              </w:rPr>
              <w:t>Le Parlement européen a désigné un rapporteur; un rapport devant être présenté d’ici septembre 2017.</w:t>
            </w:r>
          </w:p>
        </w:tc>
      </w:tr>
      <w:tr>
        <w:tc>
          <w:tcPr>
            <w:tcW w:w="14218" w:type="dxa"/>
            <w:gridSpan w:val="3"/>
            <w:shd w:val="clear" w:color="auto" w:fill="C6D9F1" w:themeFill="text2" w:themeFillTint="33"/>
          </w:tcPr>
          <w:p>
            <w:pPr>
              <w:jc w:val="center"/>
              <w:rPr>
                <w:rFonts w:ascii="Times New Roman" w:hAnsi="Times New Roman" w:cs="Times New Roman"/>
                <w:i/>
                <w:noProof/>
              </w:rPr>
            </w:pPr>
            <w:r>
              <w:rPr>
                <w:noProof/>
              </w:rPr>
              <w:br w:type="page"/>
            </w:r>
            <w:r>
              <w:rPr>
                <w:rFonts w:ascii="Times New Roman" w:hAnsi="Times New Roman"/>
                <w:i/>
                <w:noProof/>
              </w:rPr>
              <w:t>Lutter contre les mouvements illicites d’argent liquide</w:t>
            </w:r>
          </w:p>
        </w:tc>
      </w:tr>
      <w:tr>
        <w:tc>
          <w:tcPr>
            <w:tcW w:w="5211" w:type="dxa"/>
          </w:tcPr>
          <w:p>
            <w:pPr>
              <w:rPr>
                <w:rFonts w:ascii="Times New Roman" w:hAnsi="Times New Roman" w:cs="Times New Roman"/>
                <w:noProof/>
              </w:rPr>
            </w:pPr>
            <w:r>
              <w:rPr>
                <w:rFonts w:ascii="Times New Roman" w:hAnsi="Times New Roman"/>
                <w:noProof/>
              </w:rPr>
              <w:t>La Commission se penchera, avec la Banque centrale européenne (BCE), Europol et les autres parties concernées, sur</w:t>
            </w:r>
            <w:r>
              <w:rPr>
                <w:noProof/>
              </w:rPr>
              <w:t xml:space="preserve"> </w:t>
            </w:r>
            <w:r>
              <w:rPr>
                <w:rFonts w:ascii="Times New Roman" w:hAnsi="Times New Roman"/>
                <w:noProof/>
              </w:rPr>
              <w:t>la question de l’utilisation de billets de banque de valeur élevée, en particulier les coupures de 500 EUR, qui est un problème signalé par les autorités répressives.</w:t>
            </w:r>
          </w:p>
        </w:tc>
        <w:tc>
          <w:tcPr>
            <w:tcW w:w="1701" w:type="dxa"/>
          </w:tcPr>
          <w:p>
            <w:pPr>
              <w:jc w:val="center"/>
              <w:rPr>
                <w:rFonts w:ascii="Times New Roman" w:hAnsi="Times New Roman" w:cs="Times New Roman"/>
                <w:noProof/>
              </w:rPr>
            </w:pPr>
            <w:r>
              <w:rPr>
                <w:rFonts w:ascii="Times New Roman" w:hAnsi="Times New Roman"/>
                <w:noProof/>
              </w:rPr>
              <w:t>Fait</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Fait. Aucune autre mesure n’est nécessaire.</w:t>
            </w:r>
          </w:p>
          <w:p>
            <w:pPr>
              <w:pStyle w:val="ListParagraph"/>
              <w:numPr>
                <w:ilvl w:val="0"/>
                <w:numId w:val="7"/>
              </w:numPr>
              <w:ind w:left="360"/>
              <w:rPr>
                <w:rFonts w:ascii="Times New Roman" w:hAnsi="Times New Roman" w:cs="Times New Roman"/>
                <w:noProof/>
              </w:rPr>
            </w:pPr>
            <w:r>
              <w:rPr>
                <w:rFonts w:ascii="Times New Roman" w:hAnsi="Times New Roman"/>
                <w:noProof/>
              </w:rPr>
              <w:t xml:space="preserve">Le conseil des gouverneurs de la BCE a décidé le 04/05/16 de supprimer progressivement le billet de 500 EUR. </w:t>
            </w:r>
          </w:p>
        </w:tc>
      </w:tr>
      <w:tr>
        <w:tc>
          <w:tcPr>
            <w:tcW w:w="5211" w:type="dxa"/>
          </w:tcPr>
          <w:p>
            <w:pPr>
              <w:rPr>
                <w:rFonts w:ascii="Times New Roman" w:hAnsi="Times New Roman" w:cs="Times New Roman"/>
                <w:noProof/>
              </w:rPr>
            </w:pPr>
            <w:r>
              <w:rPr>
                <w:rFonts w:ascii="Times New Roman" w:hAnsi="Times New Roman"/>
                <w:noProof/>
              </w:rPr>
              <w:t>Proposition législative contre les mouvements illicites d’argent liquide</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4</w:t>
            </w:r>
            <w:r>
              <w:rPr>
                <w:rFonts w:ascii="Times New Roman" w:hAnsi="Times New Roman"/>
                <w:noProof/>
                <w:vertAlign w:val="superscript"/>
              </w:rPr>
              <w:t>e</w:t>
            </w:r>
            <w:r>
              <w:rPr>
                <w:rFonts w:ascii="Times New Roman" w:hAnsi="Times New Roman"/>
                <w:noProof/>
              </w:rPr>
              <w:t xml:space="preserve"> trimestre de 2016 au plus tard</w:t>
            </w:r>
          </w:p>
        </w:tc>
        <w:tc>
          <w:tcPr>
            <w:tcW w:w="7306" w:type="dxa"/>
          </w:tcPr>
          <w:p>
            <w:pPr>
              <w:pStyle w:val="ListParagraph"/>
              <w:numPr>
                <w:ilvl w:val="0"/>
                <w:numId w:val="7"/>
              </w:numPr>
              <w:rPr>
                <w:rFonts w:ascii="Times New Roman" w:hAnsi="Times New Roman" w:cs="Times New Roman"/>
                <w:noProof/>
              </w:rPr>
            </w:pPr>
            <w:r>
              <w:rPr>
                <w:rFonts w:ascii="Times New Roman" w:hAnsi="Times New Roman"/>
                <w:noProof/>
              </w:rPr>
              <w:t>Proposition de la Commission présentée le 21.12.2016.</w:t>
            </w:r>
          </w:p>
          <w:p>
            <w:pPr>
              <w:pStyle w:val="ListParagraph"/>
              <w:numPr>
                <w:ilvl w:val="0"/>
                <w:numId w:val="7"/>
              </w:numPr>
              <w:rPr>
                <w:rFonts w:ascii="Times New Roman" w:hAnsi="Times New Roman" w:cs="Times New Roman"/>
                <w:noProof/>
              </w:rPr>
            </w:pPr>
            <w:r>
              <w:rPr>
                <w:rFonts w:ascii="Times New Roman" w:hAnsi="Times New Roman"/>
                <w:noProof/>
              </w:rPr>
              <w:t>Au sein du Conseil (groupe «Union douanière»): la deuxième lecture est en cours sur la base d’un texte de compromis de la présidence.</w:t>
            </w:r>
          </w:p>
          <w:p>
            <w:pPr>
              <w:pStyle w:val="ListParagraph"/>
              <w:numPr>
                <w:ilvl w:val="0"/>
                <w:numId w:val="7"/>
              </w:numPr>
              <w:rPr>
                <w:noProof/>
              </w:rPr>
            </w:pPr>
            <w:r>
              <w:rPr>
                <w:rFonts w:ascii="Times New Roman" w:hAnsi="Times New Roman"/>
                <w:noProof/>
              </w:rPr>
              <w:t>Au Parlement européen, l’attribution à la commission compétente est prévue à la mi-juin.</w:t>
            </w:r>
          </w:p>
        </w:tc>
      </w:tr>
      <w:tr>
        <w:tc>
          <w:tcPr>
            <w:tcW w:w="5211" w:type="dxa"/>
          </w:tcPr>
          <w:p>
            <w:pPr>
              <w:rPr>
                <w:rFonts w:ascii="Times New Roman" w:hAnsi="Times New Roman" w:cs="Times New Roman"/>
                <w:noProof/>
              </w:rPr>
            </w:pPr>
            <w:r>
              <w:rPr>
                <w:noProof/>
              </w:rPr>
              <w:br w:type="page"/>
            </w:r>
            <w:r>
              <w:rPr>
                <w:rFonts w:ascii="Times New Roman" w:hAnsi="Times New Roman"/>
                <w:noProof/>
              </w:rPr>
              <w:t>Étudier l’utilité de soumettre les paiements en espèces à des plafonds</w:t>
            </w:r>
          </w:p>
        </w:tc>
        <w:tc>
          <w:tcPr>
            <w:tcW w:w="1701" w:type="dxa"/>
          </w:tcPr>
          <w:p>
            <w:pPr>
              <w:jc w:val="center"/>
              <w:rPr>
                <w:rFonts w:ascii="Times New Roman" w:hAnsi="Times New Roman" w:cs="Times New Roman"/>
                <w:noProof/>
              </w:rPr>
            </w:pPr>
            <w:r>
              <w:rPr>
                <w:rFonts w:ascii="Times New Roman" w:hAnsi="Times New Roman"/>
                <w:noProof/>
              </w:rPr>
              <w:t>État d’avancement des travaux présenté au Conseil ECOFIN de juin 2016</w:t>
            </w:r>
          </w:p>
        </w:tc>
        <w:tc>
          <w:tcPr>
            <w:tcW w:w="7306" w:type="dxa"/>
          </w:tcPr>
          <w:p>
            <w:pPr>
              <w:pStyle w:val="ListParagraph"/>
              <w:numPr>
                <w:ilvl w:val="0"/>
                <w:numId w:val="7"/>
              </w:numPr>
              <w:rPr>
                <w:rFonts w:ascii="Times New Roman" w:hAnsi="Times New Roman" w:cs="Times New Roman"/>
                <w:noProof/>
              </w:rPr>
            </w:pPr>
            <w:r>
              <w:rPr>
                <w:rFonts w:ascii="Times New Roman" w:hAnsi="Times New Roman"/>
                <w:noProof/>
              </w:rPr>
              <w:t>Une consultation publique ouverte a été menée entre le 1</w:t>
            </w:r>
            <w:r>
              <w:rPr>
                <w:rFonts w:ascii="Times New Roman" w:hAnsi="Times New Roman"/>
                <w:noProof/>
                <w:vertAlign w:val="superscript"/>
              </w:rPr>
              <w:t>er</w:t>
            </w:r>
            <w:r>
              <w:rPr>
                <w:rFonts w:ascii="Times New Roman" w:hAnsi="Times New Roman"/>
                <w:noProof/>
              </w:rPr>
              <w:t> mars et le 31 mai.</w:t>
            </w:r>
          </w:p>
          <w:p>
            <w:pPr>
              <w:pStyle w:val="ListParagraph"/>
              <w:numPr>
                <w:ilvl w:val="0"/>
                <w:numId w:val="7"/>
              </w:numPr>
              <w:rPr>
                <w:rFonts w:ascii="Times New Roman" w:hAnsi="Times New Roman" w:cs="Times New Roman"/>
                <w:noProof/>
              </w:rPr>
            </w:pPr>
            <w:r>
              <w:rPr>
                <w:rFonts w:ascii="Times New Roman" w:hAnsi="Times New Roman"/>
                <w:noProof/>
              </w:rPr>
              <w:t>Les résultats sont en cours d’analyse.</w:t>
            </w:r>
          </w:p>
        </w:tc>
      </w:tr>
      <w:tr>
        <w:tc>
          <w:tcPr>
            <w:tcW w:w="14218" w:type="dxa"/>
            <w:gridSpan w:val="3"/>
            <w:shd w:val="clear" w:color="auto" w:fill="C6D9F1" w:themeFill="text2" w:themeFillTint="33"/>
          </w:tcPr>
          <w:p>
            <w:pPr>
              <w:jc w:val="center"/>
              <w:rPr>
                <w:rFonts w:ascii="Times New Roman" w:hAnsi="Times New Roman" w:cs="Times New Roman"/>
                <w:i/>
                <w:noProof/>
              </w:rPr>
            </w:pPr>
            <w:r>
              <w:rPr>
                <w:noProof/>
              </w:rPr>
              <w:br w:type="page"/>
            </w:r>
            <w:r>
              <w:rPr>
                <w:rFonts w:ascii="Times New Roman" w:hAnsi="Times New Roman"/>
                <w:i/>
                <w:noProof/>
              </w:rPr>
              <w:t>Compléter le cadre de l’UE pour tracer et geler les avoirs des terroristes</w:t>
            </w:r>
          </w:p>
        </w:tc>
      </w:tr>
      <w:tr>
        <w:tc>
          <w:tcPr>
            <w:tcW w:w="5211" w:type="dxa"/>
          </w:tcPr>
          <w:p>
            <w:pPr>
              <w:rPr>
                <w:rFonts w:ascii="Times New Roman" w:hAnsi="Times New Roman" w:cs="Times New Roman"/>
                <w:noProof/>
              </w:rPr>
            </w:pPr>
            <w:r>
              <w:rPr>
                <w:rFonts w:ascii="Times New Roman" w:hAnsi="Times New Roman"/>
                <w:noProof/>
              </w:rPr>
              <w:t>Mener à bien l’analyse d’un régime de l’UE permettant de geler les avoirs des terroristes en vertu de l’article 75 du traité sur le fonctionnement de l’UE</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Conclure une évaluation pour le 4</w:t>
            </w:r>
            <w:r>
              <w:rPr>
                <w:rFonts w:ascii="Times New Roman" w:hAnsi="Times New Roman"/>
                <w:noProof/>
                <w:vertAlign w:val="superscript"/>
              </w:rPr>
              <w:t>e</w:t>
            </w:r>
            <w:r>
              <w:rPr>
                <w:rFonts w:ascii="Times New Roman" w:hAnsi="Times New Roman"/>
                <w:noProof/>
              </w:rPr>
              <w:t>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Évaluation de la Commission présentée dans le 3</w:t>
            </w:r>
            <w:r>
              <w:rPr>
                <w:rFonts w:ascii="Times New Roman" w:hAnsi="Times New Roman"/>
                <w:noProof/>
                <w:vertAlign w:val="superscript"/>
              </w:rPr>
              <w:t>e</w:t>
            </w:r>
            <w:r>
              <w:rPr>
                <w:rFonts w:ascii="Times New Roman" w:hAnsi="Times New Roman"/>
                <w:noProof/>
              </w:rPr>
              <w:t> rapport sur les progrès accomplis dans la mise en place d’une union de la sécurité réelle et effective [COM(2016) 831 final du 21.12.2016]: aucune autre mesure ne devant être prise à ce stade.</w:t>
            </w:r>
          </w:p>
        </w:tc>
      </w:tr>
      <w:tr>
        <w:tc>
          <w:tcPr>
            <w:tcW w:w="5211" w:type="dxa"/>
          </w:tcPr>
          <w:p>
            <w:pPr>
              <w:rPr>
                <w:rFonts w:ascii="Times New Roman" w:hAnsi="Times New Roman" w:cs="Times New Roman"/>
                <w:noProof/>
              </w:rPr>
            </w:pPr>
            <w:r>
              <w:rPr>
                <w:rFonts w:ascii="Times New Roman" w:hAnsi="Times New Roman"/>
                <w:noProof/>
              </w:rPr>
              <w:t>Renforcer la reconnaissance mutuelle des décisions de gel et de confiscation des avoirs d’origine criminelle</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4</w:t>
            </w:r>
            <w:r>
              <w:rPr>
                <w:rFonts w:ascii="Times New Roman" w:hAnsi="Times New Roman"/>
                <w:noProof/>
                <w:vertAlign w:val="superscript"/>
              </w:rPr>
              <w:t>e</w:t>
            </w:r>
            <w:r>
              <w:rPr>
                <w:rFonts w:ascii="Times New Roman" w:hAnsi="Times New Roman"/>
                <w:noProof/>
              </w:rPr>
              <w:t xml:space="preserve"> trimestre de 2016 au plus tard</w:t>
            </w:r>
          </w:p>
          <w:p>
            <w:pPr>
              <w:jc w:val="center"/>
              <w:rPr>
                <w:rFonts w:ascii="Times New Roman" w:hAnsi="Times New Roman" w:cs="Times New Roman"/>
                <w:noProof/>
              </w:rPr>
            </w:pP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Proposition de la Commission présentée le 21 décembre 2016.</w:t>
            </w:r>
          </w:p>
          <w:p>
            <w:pPr>
              <w:pStyle w:val="ListParagraph"/>
              <w:numPr>
                <w:ilvl w:val="0"/>
                <w:numId w:val="7"/>
              </w:numPr>
              <w:ind w:left="360"/>
              <w:rPr>
                <w:rFonts w:ascii="Times New Roman" w:hAnsi="Times New Roman" w:cs="Times New Roman"/>
                <w:noProof/>
              </w:rPr>
            </w:pPr>
            <w:r>
              <w:rPr>
                <w:rFonts w:ascii="Times New Roman" w:hAnsi="Times New Roman"/>
                <w:noProof/>
              </w:rPr>
              <w:t>Négociations en cours au Conseil en vue d’une orientation générale.</w:t>
            </w:r>
          </w:p>
          <w:p>
            <w:pPr>
              <w:pStyle w:val="ListParagraph"/>
              <w:numPr>
                <w:ilvl w:val="0"/>
                <w:numId w:val="7"/>
              </w:numPr>
              <w:ind w:left="360"/>
              <w:rPr>
                <w:rFonts w:ascii="Times New Roman" w:hAnsi="Times New Roman" w:cs="Times New Roman"/>
                <w:noProof/>
              </w:rPr>
            </w:pPr>
            <w:r>
              <w:rPr>
                <w:rFonts w:ascii="Times New Roman" w:hAnsi="Times New Roman"/>
                <w:noProof/>
              </w:rPr>
              <w:t>Le Parlement européen a désigné un rapporteur.</w:t>
            </w:r>
          </w:p>
        </w:tc>
      </w:tr>
      <w:tr>
        <w:tc>
          <w:tcPr>
            <w:tcW w:w="5211" w:type="dxa"/>
          </w:tcPr>
          <w:p>
            <w:pPr>
              <w:rPr>
                <w:rFonts w:ascii="Times New Roman" w:hAnsi="Times New Roman" w:cs="Times New Roman"/>
                <w:noProof/>
              </w:rPr>
            </w:pPr>
            <w:r>
              <w:rPr>
                <w:noProof/>
              </w:rPr>
              <w:br w:type="page"/>
            </w:r>
            <w:r>
              <w:rPr>
                <w:rFonts w:ascii="Times New Roman" w:hAnsi="Times New Roman"/>
                <w:noProof/>
              </w:rPr>
              <w:t>Mener à bien l’analyse d’un éventuel système européen qui viendrait compléter l’accord existant entre l’UE et les États-Unis sur le programme de surveillance du financement du terrorisme (TFTP) en traçant les transactions exclues du champ d’application dudit accord</w:t>
            </w:r>
          </w:p>
        </w:tc>
        <w:tc>
          <w:tcPr>
            <w:tcW w:w="1701" w:type="dxa"/>
          </w:tcPr>
          <w:p>
            <w:pPr>
              <w:jc w:val="center"/>
              <w:rPr>
                <w:rFonts w:ascii="Times New Roman" w:hAnsi="Times New Roman" w:cs="Times New Roman"/>
                <w:noProof/>
              </w:rPr>
            </w:pPr>
            <w:r>
              <w:rPr>
                <w:rFonts w:ascii="Times New Roman" w:hAnsi="Times New Roman"/>
                <w:noProof/>
              </w:rPr>
              <w:t>Conclure une évaluation pour le 4</w:t>
            </w:r>
            <w:r>
              <w:rPr>
                <w:rFonts w:ascii="Times New Roman" w:hAnsi="Times New Roman"/>
                <w:noProof/>
                <w:vertAlign w:val="superscript"/>
              </w:rPr>
              <w:t>e</w:t>
            </w:r>
            <w:r>
              <w:rPr>
                <w:rFonts w:ascii="Times New Roman" w:hAnsi="Times New Roman"/>
                <w:noProof/>
              </w:rPr>
              <w:t> trimestre de 2016 au plus tard</w:t>
            </w:r>
          </w:p>
          <w:p>
            <w:pPr>
              <w:jc w:val="center"/>
              <w:rPr>
                <w:rFonts w:ascii="Times New Roman" w:hAnsi="Times New Roman" w:cs="Times New Roman"/>
                <w:noProof/>
              </w:rPr>
            </w:pPr>
          </w:p>
        </w:tc>
        <w:tc>
          <w:tcPr>
            <w:tcW w:w="7306" w:type="dxa"/>
          </w:tcPr>
          <w:p>
            <w:pPr>
              <w:pStyle w:val="ListParagraph"/>
              <w:numPr>
                <w:ilvl w:val="0"/>
                <w:numId w:val="7"/>
              </w:numPr>
              <w:rPr>
                <w:rFonts w:ascii="Times New Roman" w:hAnsi="Times New Roman" w:cs="Times New Roman"/>
                <w:noProof/>
              </w:rPr>
            </w:pPr>
            <w:r>
              <w:rPr>
                <w:rFonts w:ascii="Times New Roman" w:hAnsi="Times New Roman"/>
                <w:noProof/>
              </w:rPr>
              <w:t>Évaluation présentée dans le 3</w:t>
            </w:r>
            <w:r>
              <w:rPr>
                <w:rFonts w:ascii="Times New Roman" w:hAnsi="Times New Roman"/>
                <w:noProof/>
                <w:vertAlign w:val="superscript"/>
              </w:rPr>
              <w:t>e</w:t>
            </w:r>
            <w:r>
              <w:rPr>
                <w:rFonts w:ascii="Times New Roman" w:hAnsi="Times New Roman"/>
                <w:noProof/>
              </w:rPr>
              <w:t> rapport sur les progrès accomplis dans la mise en place d’une union de la sécurité réelle et effective [COM(2016) 831 final du 21.12.2016].</w:t>
            </w:r>
          </w:p>
          <w:p>
            <w:pPr>
              <w:pStyle w:val="ListParagraph"/>
              <w:numPr>
                <w:ilvl w:val="0"/>
                <w:numId w:val="7"/>
              </w:numPr>
              <w:rPr>
                <w:rFonts w:ascii="Times New Roman" w:hAnsi="Times New Roman" w:cs="Times New Roman"/>
                <w:noProof/>
              </w:rPr>
            </w:pPr>
            <w:r>
              <w:rPr>
                <w:rFonts w:ascii="Times New Roman" w:hAnsi="Times New Roman"/>
                <w:noProof/>
              </w:rPr>
              <w:t>Travaux en cours.</w:t>
            </w:r>
          </w:p>
          <w:p>
            <w:pPr>
              <w:rPr>
                <w:rFonts w:ascii="Times New Roman" w:hAnsi="Times New Roman" w:cs="Times New Roman"/>
                <w:noProof/>
              </w:rPr>
            </w:pPr>
          </w:p>
          <w:p>
            <w:pPr>
              <w:rPr>
                <w:rFonts w:ascii="Times New Roman" w:hAnsi="Times New Roman" w:cs="Times New Roman"/>
                <w:noProof/>
              </w:rPr>
            </w:pPr>
          </w:p>
        </w:tc>
      </w:tr>
      <w:tr>
        <w:tc>
          <w:tcPr>
            <w:tcW w:w="14218" w:type="dxa"/>
            <w:gridSpan w:val="3"/>
            <w:shd w:val="clear" w:color="auto" w:fill="C6D9F1" w:themeFill="text2" w:themeFillTint="33"/>
          </w:tcPr>
          <w:p>
            <w:pPr>
              <w:jc w:val="center"/>
              <w:rPr>
                <w:rFonts w:ascii="Times New Roman" w:hAnsi="Times New Roman" w:cs="Times New Roman"/>
                <w:b/>
                <w:noProof/>
              </w:rPr>
            </w:pPr>
            <w:r>
              <w:rPr>
                <w:rFonts w:ascii="Times New Roman" w:hAnsi="Times New Roman"/>
                <w:b/>
                <w:noProof/>
              </w:rPr>
              <w:t>Cibler les sources de financement</w:t>
            </w:r>
          </w:p>
        </w:tc>
      </w:tr>
      <w:tr>
        <w:tc>
          <w:tcPr>
            <w:tcW w:w="5211" w:type="dxa"/>
          </w:tcPr>
          <w:p>
            <w:pPr>
              <w:rPr>
                <w:rFonts w:ascii="Times New Roman" w:hAnsi="Times New Roman" w:cs="Times New Roman"/>
                <w:noProof/>
              </w:rPr>
            </w:pPr>
            <w:r>
              <w:rPr>
                <w:rFonts w:ascii="Times New Roman" w:hAnsi="Times New Roman"/>
                <w:noProof/>
              </w:rPr>
              <w:t>Proposition législative visant à renforcer les compétences des douanes et la coopération douanière ainsi qu'à lutter contre le financement du terrorisme lié au commerce de biens</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Avancée au 1</w:t>
            </w:r>
            <w:r>
              <w:rPr>
                <w:rFonts w:ascii="Times New Roman" w:hAnsi="Times New Roman"/>
                <w:noProof/>
                <w:vertAlign w:val="superscript"/>
              </w:rPr>
              <w:t>er</w:t>
            </w:r>
            <w:r>
              <w:rPr>
                <w:rFonts w:ascii="Times New Roman" w:hAnsi="Times New Roman"/>
                <w:noProof/>
              </w:rPr>
              <w:t xml:space="preserve"> trimestre de 2017 (COM(2016) 230 final)</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tc>
      </w:tr>
      <w:tr>
        <w:tc>
          <w:tcPr>
            <w:tcW w:w="5211" w:type="dxa"/>
          </w:tcPr>
          <w:p>
            <w:pPr>
              <w:rPr>
                <w:rFonts w:ascii="Times New Roman" w:hAnsi="Times New Roman" w:cs="Times New Roman"/>
                <w:noProof/>
              </w:rPr>
            </w:pPr>
            <w:r>
              <w:rPr>
                <w:noProof/>
              </w:rPr>
              <w:br w:type="page"/>
            </w:r>
            <w:r>
              <w:rPr>
                <w:rFonts w:ascii="Times New Roman" w:hAnsi="Times New Roman"/>
                <w:noProof/>
              </w:rPr>
              <w:t>Proposition législative visant à lutter contre le commerce illicite de biens culturels</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2</w:t>
            </w:r>
            <w:r>
              <w:rPr>
                <w:rFonts w:ascii="Times New Roman" w:hAnsi="Times New Roman"/>
                <w:noProof/>
                <w:vertAlign w:val="superscript"/>
              </w:rPr>
              <w:t>e</w:t>
            </w:r>
            <w:r>
              <w:rPr>
                <w:rFonts w:ascii="Times New Roman" w:hAnsi="Times New Roman"/>
                <w:noProof/>
              </w:rPr>
              <w:t xml:space="preserve"> trimestre de 2017 au plus tard</w:t>
            </w:r>
          </w:p>
        </w:tc>
        <w:tc>
          <w:tcPr>
            <w:tcW w:w="7306" w:type="dxa"/>
          </w:tcPr>
          <w:p>
            <w:pPr>
              <w:pStyle w:val="ListParagraph"/>
              <w:numPr>
                <w:ilvl w:val="0"/>
                <w:numId w:val="7"/>
              </w:numPr>
              <w:rPr>
                <w:rFonts w:ascii="Times New Roman" w:hAnsi="Times New Roman" w:cs="Times New Roman"/>
                <w:noProof/>
              </w:rPr>
            </w:pPr>
            <w:r>
              <w:rPr>
                <w:rFonts w:ascii="Times New Roman" w:hAnsi="Times New Roman"/>
                <w:noProof/>
              </w:rPr>
              <w:t>Préparation en cours.</w:t>
            </w:r>
          </w:p>
          <w:p>
            <w:pPr>
              <w:pStyle w:val="ListParagraph"/>
              <w:numPr>
                <w:ilvl w:val="0"/>
                <w:numId w:val="7"/>
              </w:numPr>
              <w:rPr>
                <w:rFonts w:ascii="Times New Roman" w:hAnsi="Times New Roman" w:cs="Times New Roman"/>
                <w:noProof/>
              </w:rPr>
            </w:pPr>
            <w:r>
              <w:rPr>
                <w:rFonts w:ascii="Times New Roman" w:hAnsi="Times New Roman"/>
                <w:noProof/>
              </w:rPr>
              <w:t xml:space="preserve">Adoption prévue pour l’été 2017. </w:t>
            </w:r>
          </w:p>
        </w:tc>
      </w:tr>
      <w:tr>
        <w:tc>
          <w:tcPr>
            <w:tcW w:w="5211" w:type="dxa"/>
          </w:tcPr>
          <w:p>
            <w:pPr>
              <w:rPr>
                <w:rFonts w:ascii="Times New Roman" w:hAnsi="Times New Roman" w:cs="Times New Roman"/>
                <w:noProof/>
              </w:rPr>
            </w:pPr>
            <w:r>
              <w:rPr>
                <w:rFonts w:ascii="Times New Roman" w:hAnsi="Times New Roman"/>
                <w:noProof/>
              </w:rPr>
              <w:t>Plan d'action de l'UE sur le trafic illégal d’espèces sauvages</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Pour le 1</w:t>
            </w:r>
            <w:r>
              <w:rPr>
                <w:rFonts w:ascii="Times New Roman" w:hAnsi="Times New Roman"/>
                <w:noProof/>
                <w:vertAlign w:val="superscript"/>
              </w:rPr>
              <w:t>er</w:t>
            </w:r>
            <w:r>
              <w:rPr>
                <w:rFonts w:ascii="Times New Roman" w:hAnsi="Times New Roman"/>
                <w:noProof/>
              </w:rPr>
              <w:t xml:space="preserve">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 xml:space="preserve">Plan d’action adopté le 26/02/2016. </w:t>
            </w:r>
          </w:p>
          <w:p>
            <w:pPr>
              <w:pStyle w:val="ListParagraph"/>
              <w:numPr>
                <w:ilvl w:val="0"/>
                <w:numId w:val="7"/>
              </w:numPr>
              <w:ind w:left="360"/>
              <w:rPr>
                <w:rFonts w:ascii="Times New Roman" w:hAnsi="Times New Roman" w:cs="Times New Roman"/>
                <w:noProof/>
              </w:rPr>
            </w:pPr>
            <w:r>
              <w:rPr>
                <w:rFonts w:ascii="Times New Roman" w:hAnsi="Times New Roman"/>
                <w:noProof/>
              </w:rPr>
              <w:t xml:space="preserve">Conclusions du Conseil adoptées le 20/06/2016. </w:t>
            </w:r>
          </w:p>
          <w:p>
            <w:pPr>
              <w:pStyle w:val="ListParagraph"/>
              <w:numPr>
                <w:ilvl w:val="0"/>
                <w:numId w:val="7"/>
              </w:numPr>
              <w:ind w:left="360"/>
              <w:rPr>
                <w:rFonts w:ascii="Times New Roman" w:hAnsi="Times New Roman" w:cs="Times New Roman"/>
                <w:noProof/>
              </w:rPr>
            </w:pPr>
            <w:r>
              <w:rPr>
                <w:rFonts w:ascii="Times New Roman" w:hAnsi="Times New Roman"/>
                <w:noProof/>
              </w:rPr>
              <w:t>Travaux de mise en œuvre en cours.</w:t>
            </w:r>
          </w:p>
          <w:p>
            <w:pPr>
              <w:rPr>
                <w:noProof/>
              </w:rPr>
            </w:pPr>
          </w:p>
        </w:tc>
      </w:tr>
      <w:tr>
        <w:tc>
          <w:tcPr>
            <w:tcW w:w="14218" w:type="dxa"/>
            <w:gridSpan w:val="3"/>
            <w:shd w:val="clear" w:color="auto" w:fill="C6D9F1" w:themeFill="text2" w:themeFillTint="33"/>
          </w:tcPr>
          <w:p>
            <w:pPr>
              <w:jc w:val="center"/>
              <w:rPr>
                <w:rFonts w:ascii="Times New Roman" w:hAnsi="Times New Roman" w:cs="Times New Roman"/>
                <w:noProof/>
              </w:rPr>
            </w:pPr>
            <w:r>
              <w:rPr>
                <w:rFonts w:ascii="Times New Roman" w:hAnsi="Times New Roman"/>
                <w:b/>
                <w:noProof/>
              </w:rPr>
              <w:t>Certains aspects liés à la dimension extérieure</w:t>
            </w:r>
          </w:p>
        </w:tc>
      </w:tr>
      <w:tr>
        <w:tc>
          <w:tcPr>
            <w:tcW w:w="5211" w:type="dxa"/>
          </w:tcPr>
          <w:p>
            <w:pPr>
              <w:rPr>
                <w:rFonts w:ascii="Times New Roman" w:hAnsi="Times New Roman" w:cs="Times New Roman"/>
                <w:noProof/>
              </w:rPr>
            </w:pPr>
            <w:r>
              <w:rPr>
                <w:noProof/>
              </w:rPr>
              <w:br w:type="page"/>
            </w:r>
            <w:r>
              <w:rPr>
                <w:rFonts w:ascii="Times New Roman" w:hAnsi="Times New Roman"/>
                <w:noProof/>
              </w:rPr>
              <w:t>Apporter un soutien renforcé aux pays tiers pour qu’ils puissent se conformer aux obligations légales prévues dans les résolutions du Conseil de sécurité des Nations unies ainsi qu’aux recommandations du GAFI</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En cours</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tc>
      </w:tr>
      <w:tr>
        <w:tc>
          <w:tcPr>
            <w:tcW w:w="5211" w:type="dxa"/>
          </w:tcPr>
          <w:p>
            <w:pPr>
              <w:rPr>
                <w:rFonts w:ascii="Times New Roman" w:hAnsi="Times New Roman" w:cs="Times New Roman"/>
                <w:noProof/>
              </w:rPr>
            </w:pPr>
            <w:r>
              <w:rPr>
                <w:noProof/>
              </w:rPr>
              <w:br w:type="page"/>
            </w:r>
            <w:r>
              <w:rPr>
                <w:rFonts w:ascii="Times New Roman" w:hAnsi="Times New Roman"/>
                <w:noProof/>
              </w:rPr>
              <w:t>Aider les pays de la région du Proche-Orient et de l’Afrique du Nord et de l’Asie du Sud-Est à contrôler, désorganiser et empêcher le financement du terrorisme</w:t>
            </w:r>
          </w:p>
          <w:p>
            <w:pPr>
              <w:rPr>
                <w:rFonts w:ascii="Times New Roman" w:hAnsi="Times New Roman" w:cs="Times New Roman"/>
                <w:noProof/>
              </w:rPr>
            </w:pPr>
          </w:p>
        </w:tc>
        <w:tc>
          <w:tcPr>
            <w:tcW w:w="1701" w:type="dxa"/>
          </w:tcPr>
          <w:p>
            <w:pPr>
              <w:jc w:val="center"/>
              <w:rPr>
                <w:rFonts w:ascii="Times New Roman" w:hAnsi="Times New Roman" w:cs="Times New Roman"/>
                <w:noProof/>
              </w:rPr>
            </w:pPr>
            <w:r>
              <w:rPr>
                <w:rFonts w:ascii="Times New Roman" w:hAnsi="Times New Roman"/>
                <w:noProof/>
              </w:rPr>
              <w:t xml:space="preserve">Pour le </w:t>
            </w:r>
            <w:r>
              <w:rPr>
                <w:rFonts w:ascii="Times New Roman" w:hAnsi="Times New Roman"/>
                <w:noProof/>
                <w:vertAlign w:val="superscript"/>
              </w:rPr>
              <w:t>4e</w:t>
            </w:r>
            <w:r>
              <w:rPr>
                <w:rFonts w:ascii="Times New Roman" w:hAnsi="Times New Roman"/>
                <w:noProof/>
              </w:rPr>
              <w:t xml:space="preserve"> trimestre de 2016 au plus tard</w:t>
            </w:r>
          </w:p>
        </w:tc>
        <w:tc>
          <w:tcPr>
            <w:tcW w:w="7306" w:type="dxa"/>
          </w:tcPr>
          <w:p>
            <w:pPr>
              <w:pStyle w:val="ListParagraph"/>
              <w:numPr>
                <w:ilvl w:val="0"/>
                <w:numId w:val="7"/>
              </w:numPr>
              <w:ind w:left="360"/>
              <w:rPr>
                <w:rFonts w:ascii="Times New Roman" w:hAnsi="Times New Roman" w:cs="Times New Roman"/>
                <w:noProof/>
              </w:rPr>
            </w:pPr>
            <w:r>
              <w:rPr>
                <w:rFonts w:ascii="Times New Roman" w:hAnsi="Times New Roman"/>
                <w:noProof/>
              </w:rPr>
              <w:t>Travaux en cours.</w:t>
            </w:r>
          </w:p>
          <w:p>
            <w:pPr>
              <w:pStyle w:val="ListParagraph"/>
              <w:ind w:left="360"/>
              <w:rPr>
                <w:rFonts w:ascii="Times New Roman" w:hAnsi="Times New Roman" w:cs="Times New Roman"/>
                <w:noProof/>
              </w:rPr>
            </w:pPr>
          </w:p>
        </w:tc>
      </w:tr>
    </w:tbl>
    <w:p>
      <w:pPr>
        <w:rPr>
          <w:rFonts w:ascii="Times New Roman" w:eastAsia="Times New Roman" w:hAnsi="Times New Roman" w:cs="Times New Roman"/>
          <w:b/>
          <w:noProof/>
          <w:u w:val="single"/>
        </w:rPr>
      </w:pPr>
    </w:p>
    <w:p>
      <w:pPr>
        <w:rPr>
          <w:rFonts w:ascii="Times New Roman" w:eastAsia="Times New Roman" w:hAnsi="Times New Roman" w:cs="Times New Roman"/>
          <w:b/>
          <w:noProof/>
          <w:u w:val="single"/>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156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
  </w:num>
  <w:num w:numId="5">
    <w:abstractNumId w:val="9"/>
  </w:num>
  <w:num w:numId="6">
    <w:abstractNumId w:val="14"/>
  </w:num>
  <w:num w:numId="7">
    <w:abstractNumId w:val="10"/>
  </w:num>
  <w:num w:numId="8">
    <w:abstractNumId w:val="8"/>
  </w:num>
  <w:num w:numId="9">
    <w:abstractNumId w:val="15"/>
  </w:num>
  <w:num w:numId="10">
    <w:abstractNumId w:val="0"/>
  </w:num>
  <w:num w:numId="11">
    <w:abstractNumId w:val="6"/>
  </w:num>
  <w:num w:numId="12">
    <w:abstractNumId w:val="13"/>
  </w:num>
  <w:num w:numId="13">
    <w:abstractNumId w:val="3"/>
  </w:num>
  <w:num w:numId="14">
    <w:abstractNumId w:val="12"/>
  </w:num>
  <w:num w:numId="15">
    <w:abstractNumId w:val="17"/>
  </w:num>
  <w:num w:numId="16">
    <w:abstractNumId w:val="2"/>
  </w:num>
  <w:num w:numId="17">
    <w:abstractNumId w:val="7"/>
  </w:num>
  <w:num w:numId="18">
    <w:abstractNumId w:val="1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DateAndTime/>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2"/>
    <w:docVar w:name="LW_ANNEX_NBR_LAST" w:val="2"/>
    <w:docVar w:name="LW_CONFIDENCE" w:val=" "/>
    <w:docVar w:name="LW_CONST_RESTREINT_UE" w:val="RESTREINT UE"/>
    <w:docVar w:name="LW_CORRIGENDUM" w:val="&lt;UNUSED&gt;"/>
    <w:docVar w:name="LW_COVERPAGE_GUID" w:val="1BA59517FDFB4173B6D785229612FD47"/>
    <w:docVar w:name="LW_CROSSREFERENCE" w:val="&lt;UNUSED&gt;"/>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Huitième rapport sur les progrès accomplis dans la mise en place d\u8217?une union de la sécurité réelle et effective_x000b_"/>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État d\u8217?avancement de la mise en \u339?uvre du plan d\u8217?action destiné à renforcer la lutte contre le financement du terrorisme"/>
    <w:docVar w:name="LW_TYPE.DOC.CP" w:val="ANNEXE_x000b_"/>
    <w:docVar w:name="LW_TYPEACTEPRINCIPAL.CP" w:val="Communication de la Commission au Parlement européen, au Conseil européen et au Conseil_x000b__x000b_"/>
  </w:docVar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15368663">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C2572-1EEB-4355-AB21-13A8A889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1619</Words>
  <Characters>8553</Characters>
  <Application>Microsoft Office Word</Application>
  <DocSecurity>0</DocSecurity>
  <Lines>285</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VELISSARATOS Errikos (ECFIN)</dc:creator>
  <cp:lastModifiedBy>DIGIT/A3</cp:lastModifiedBy>
  <cp:revision>25</cp:revision>
  <cp:lastPrinted>2017-06-23T16:53:00Z</cp:lastPrinted>
  <dcterms:created xsi:type="dcterms:W3CDTF">2017-06-26T17:16:00Z</dcterms:created>
  <dcterms:modified xsi:type="dcterms:W3CDTF">2017-07-27T06:32:00Z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