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C6D9CA7D7A48B1B368400B8EB858F2"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2"/>
      </w:r>
      <w:r>
        <w:rPr>
          <w:noProof/>
          <w:szCs w:val="24"/>
        </w:rPr>
        <w:t xml:space="preserve"> (hereinafter: the SBC amendment) amended the Convention implementing the Schengen Agreement</w:t>
      </w:r>
      <w:r>
        <w:rPr>
          <w:rStyle w:val="FootnoteReference"/>
          <w:noProof/>
          <w:szCs w:val="24"/>
        </w:rPr>
        <w:footnoteReference w:id="3"/>
      </w:r>
      <w:r>
        <w:rPr>
          <w:noProof/>
          <w:szCs w:val="24"/>
        </w:rPr>
        <w:t xml:space="preserve"> (CISA), </w:t>
      </w:r>
      <w:r>
        <w:rPr>
          <w:rStyle w:val="Strong"/>
          <w:b w:val="0"/>
          <w:noProof/>
          <w:szCs w:val="24"/>
          <w:lang w:val="en"/>
        </w:rPr>
        <w:t>Regulation (EC) No 562/2006</w:t>
      </w:r>
      <w:r>
        <w:rPr>
          <w:rStyle w:val="FootnoteReference"/>
          <w:bCs/>
          <w:noProof/>
          <w:szCs w:val="24"/>
          <w:lang w:val="en"/>
        </w:rPr>
        <w:footnoteReference w:id="4"/>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5"/>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6"/>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7"/>
      </w:r>
      <w:r>
        <w:rPr>
          <w:noProof/>
        </w:rPr>
        <w:t>, the Bahamas</w:t>
      </w:r>
      <w:r>
        <w:rPr>
          <w:rStyle w:val="FootnoteReference"/>
          <w:noProof/>
        </w:rPr>
        <w:footnoteReference w:id="8"/>
      </w:r>
      <w:r>
        <w:rPr>
          <w:noProof/>
        </w:rPr>
        <w:t>, Barbados</w:t>
      </w:r>
      <w:r>
        <w:rPr>
          <w:rStyle w:val="FootnoteReference"/>
          <w:noProof/>
        </w:rPr>
        <w:footnoteReference w:id="9"/>
      </w:r>
      <w:r>
        <w:rPr>
          <w:noProof/>
        </w:rPr>
        <w:t>, Brazil</w:t>
      </w:r>
      <w:r>
        <w:rPr>
          <w:rStyle w:val="FootnoteReference"/>
          <w:noProof/>
        </w:rPr>
        <w:footnoteReference w:id="10"/>
      </w:r>
      <w:r>
        <w:rPr>
          <w:noProof/>
        </w:rPr>
        <w:t>, Mauritius</w:t>
      </w:r>
      <w:r>
        <w:rPr>
          <w:rStyle w:val="FootnoteReference"/>
          <w:noProof/>
        </w:rPr>
        <w:footnoteReference w:id="11"/>
      </w:r>
      <w:r>
        <w:rPr>
          <w:noProof/>
        </w:rPr>
        <w:t>, Saint Kitts and Nevis</w:t>
      </w:r>
      <w:r>
        <w:rPr>
          <w:rStyle w:val="FootnoteReference"/>
          <w:noProof/>
        </w:rPr>
        <w:footnoteReference w:id="12"/>
      </w:r>
      <w:r>
        <w:rPr>
          <w:noProof/>
        </w:rPr>
        <w:t xml:space="preserve"> and </w:t>
      </w:r>
      <w:r>
        <w:rPr>
          <w:noProof/>
          <w:szCs w:val="24"/>
        </w:rPr>
        <w:t>Seychelles</w:t>
      </w:r>
      <w:r>
        <w:rPr>
          <w:rStyle w:val="FootnoteReference"/>
          <w:noProof/>
          <w:szCs w:val="24"/>
        </w:rPr>
        <w:footnoteReference w:id="13"/>
      </w:r>
      <w:r>
        <w:rPr>
          <w:noProof/>
          <w:szCs w:val="24"/>
        </w:rPr>
        <w:t xml:space="preserve"> still refer to the old definition ('three months during a six months period following the date of first entry'</w:t>
      </w:r>
      <w:r>
        <w:rPr>
          <w:rStyle w:val="FootnoteReference"/>
          <w:noProof/>
          <w:szCs w:val="24"/>
        </w:rPr>
        <w:footnoteReference w:id="14"/>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 between the European Union and the above mentioned countries</w:t>
      </w:r>
      <w:r>
        <w:rPr>
          <w:rStyle w:val="FootnoteReference"/>
          <w:noProof/>
        </w:rPr>
        <w:footnoteReference w:id="15"/>
      </w:r>
      <w:r>
        <w:rPr>
          <w:noProof/>
        </w:rPr>
        <w:t>, which the Council adopted on 9 October 2014.</w:t>
      </w:r>
      <w:r>
        <w:rPr>
          <w:rStyle w:val="FootnoteReference"/>
          <w:noProof/>
        </w:rPr>
        <w:footnoteReference w:id="16"/>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xml:space="preserve">, is less complex to be </w:t>
      </w:r>
      <w:r>
        <w:rPr>
          <w:noProof/>
        </w:rPr>
        <w:lastRenderedPageBreak/>
        <w:t>verified and calculated by electronic/IT means, and thus more fitting for centralised border management systems, such as the proposed Entry/Exit system (EES)</w:t>
      </w:r>
      <w:r>
        <w:rPr>
          <w:rStyle w:val="FootnoteReference"/>
          <w:noProof/>
        </w:rPr>
        <w:footnoteReference w:id="17"/>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Barbados were successfully finalised by the initialling of the amending agreement on 8 February 2017. </w:t>
      </w:r>
      <w:r>
        <w:rPr>
          <w:noProof/>
          <w:szCs w:val="24"/>
        </w:rPr>
        <w:t xml:space="preserve">Both parties have agreed to adopt the new definition of 'short-stay' throughout the visa waiver agreement between the EU and Barbados. In addition, the agreement entails the modification of a few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requires approval of both contracting parties in accordance with their respective procedures. On the part of the Union, this requires Council decisions on the signing and conclusion of the agreement.</w:t>
      </w:r>
    </w:p>
    <w:p>
      <w:pPr>
        <w:rPr>
          <w:noProof/>
        </w:rPr>
      </w:pPr>
      <w:r>
        <w:rPr>
          <w:noProof/>
        </w:rPr>
        <w:t xml:space="preserve">This proposal is submitted to the Council in order to authorise the signing of the Agreement to amend the Agreement between the European Community and Barbados on the short-stay visa waiver. </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w:t>
      </w:r>
      <w:r>
        <w:rPr>
          <w:rFonts w:eastAsia="Calibri"/>
          <w:noProof/>
          <w:lang w:eastAsia="en-GB"/>
        </w:rPr>
        <w:t xml:space="preserve"> point (a) of Article 77(2) of the Treaty on the Functioning of the European Union (TFEU), in conjunction with Article 218 thereof. </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including the common visa policy. In order to ensure a harmonised approach and implementation of the provisions on the duration of authorised stay in the Schengen area, a joint declaration is included in the agreement, stating the desirability for Barbados, on the one hand, and Iceland, Liechtenstein, Norway and Switzerland, on the other, to accordingly modify their existing bilateral visa waiver agreements.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u w:color="000000"/>
          <w:bdr w:val="nil"/>
          <w:lang w:val="en-US" w:eastAsia="en-GB"/>
        </w:rPr>
      </w:pPr>
      <w:r>
        <w:rPr>
          <w:noProof/>
          <w:u w:color="000000"/>
          <w:bdr w:val="nil"/>
          <w:lang w:val="en-US" w:eastAsia="en-GB"/>
        </w:rPr>
        <w:t>If one of the contracting parties to an international agreement is the European Union, then any amendment of such an agreement cannot be legally implemented by Member States themselves. The visa waiver agreement with Barbados has been concluded by the European Union. Hence, action at Union level is required.</w:t>
      </w:r>
    </w:p>
    <w:p>
      <w:pPr>
        <w:rPr>
          <w:noProof/>
          <w:u w:color="000000"/>
          <w:bdr w:val="nil"/>
          <w:lang w:val="en-US" w:eastAsia="en-GB"/>
        </w:rPr>
      </w:pPr>
      <w:r>
        <w:rPr>
          <w:noProof/>
          <w:u w:color="000000"/>
          <w:bdr w:val="nil"/>
          <w:lang w:val="en-US" w:eastAsia="en-GB"/>
        </w:rPr>
        <w:t xml:space="preserve">Moreover, the conclusion of visa waiver agreements by Member States would affect the Union </w:t>
      </w:r>
      <w:r>
        <w:rPr>
          <w:i/>
          <w:noProof/>
          <w:u w:color="000000"/>
          <w:bdr w:val="nil"/>
          <w:lang w:val="en-US" w:eastAsia="en-GB"/>
        </w:rPr>
        <w:t>acquis</w:t>
      </w:r>
      <w:r>
        <w:rPr>
          <w:noProof/>
          <w:u w:color="000000"/>
          <w:bdr w:val="nil"/>
          <w:lang w:val="en-US" w:eastAsia="en-GB"/>
        </w:rPr>
        <w:t xml:space="preserve"> in the field of visas (Article 3(2)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u w:color="000000"/>
          <w:bdr w:val="nil"/>
          <w:lang w:val="en-US" w:eastAsia="en-GB"/>
        </w:rPr>
      </w:pPr>
      <w:r>
        <w:rPr>
          <w:noProof/>
          <w:u w:color="000000"/>
          <w:bdr w:val="nil"/>
          <w:lang w:val="en-US" w:eastAsia="en-GB"/>
        </w:rPr>
        <w:t>The present proposal does not go beyond what is necessary to achieve the objective pursued, namely the modification of the existing visa waiver agreement between Barbados the Union.</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w:t>
      </w:r>
      <w:r>
        <w:rPr>
          <w:noProof/>
        </w:rPr>
        <w:t xml:space="preserve">Barbados </w:t>
      </w:r>
      <w:r>
        <w:rPr>
          <w:noProof/>
          <w:u w:color="000000"/>
          <w:bdr w:val="nil"/>
          <w:lang w:val="en-US" w:eastAsia="en-GB"/>
        </w:rPr>
        <w:t>to amend the visa waiver agreement between the two parties. Member States were informed of the progress of negotiations in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and for the citizens of Barbados when travelling to the other Contracting Party for a maximum period of 90 days in any 180-day period (instead of a maximum period of three months during a six months period following the date of first entry). The new definition is applied throughout the agreement between the European Union and Barbados on the short-stay visa waiver. </w:t>
      </w:r>
    </w:p>
    <w:p>
      <w:pPr>
        <w:pBdr>
          <w:top w:val="nil"/>
          <w:left w:val="nil"/>
          <w:bottom w:val="nil"/>
          <w:right w:val="nil"/>
          <w:between w:val="nil"/>
          <w:bar w:val="nil"/>
        </w:pBdr>
        <w:spacing w:before="0" w:after="240"/>
        <w:rPr>
          <w:noProof/>
        </w:rPr>
      </w:pPr>
      <w:r>
        <w:rPr>
          <w:noProof/>
        </w:rPr>
        <w:t>b. Final provision – suspension of the agreement (Article 8(4))</w:t>
      </w:r>
    </w:p>
    <w:p>
      <w:pPr>
        <w:spacing w:before="0" w:after="240"/>
        <w:rPr>
          <w:noProof/>
        </w:rPr>
      </w:pPr>
      <w:r>
        <w:rPr>
          <w:noProof/>
        </w:rPr>
        <w:t>The agreement modifies the last sentence of Article 8(4)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amended agreement clarifies that a suspension of the visa waiver shall actually be lifted if the reasons that led to the suspension disappear. On this point, the amendment aligns the wording of the visa waiver agreement with Barbados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t>c. Replacing '</w:t>
      </w:r>
      <w:r>
        <w:rPr>
          <w:i/>
          <w:noProof/>
        </w:rPr>
        <w:t>Community</w:t>
      </w:r>
      <w:r>
        <w:rPr>
          <w:noProof/>
        </w:rPr>
        <w:t>' by</w:t>
      </w:r>
      <w:r>
        <w:rPr>
          <w:i/>
          <w:noProof/>
        </w:rPr>
        <w:t xml:space="preserve"> </w:t>
      </w:r>
      <w:r>
        <w:rPr>
          <w:noProof/>
        </w:rPr>
        <w:t>'</w:t>
      </w:r>
      <w:r>
        <w:rPr>
          <w:i/>
          <w:noProof/>
        </w:rPr>
        <w:t>Union</w:t>
      </w:r>
      <w:r>
        <w:rPr>
          <w:noProof/>
        </w:rPr>
        <w:t>'</w:t>
      </w:r>
    </w:p>
    <w:p>
      <w:pPr>
        <w:pBdr>
          <w:top w:val="nil"/>
          <w:left w:val="nil"/>
          <w:bottom w:val="nil"/>
          <w:right w:val="nil"/>
          <w:between w:val="nil"/>
          <w:bar w:val="nil"/>
        </w:pBdr>
        <w:spacing w:before="0" w:after="240"/>
        <w:rPr>
          <w:noProof/>
        </w:rPr>
      </w:pPr>
      <w:r>
        <w:rPr>
          <w:noProof/>
        </w:rPr>
        <w:t>Since the entry into force of the Treaty of Lisbon, on 1 December 2009, the European Union alone has acquired a consolidated legal personality. However, the 'European Community' is still enshrined in international agreements that entered into force prior to the Treaty of Lisbon, as is the case for the Agreement between the European Community and Barbados on the short-stay visa waiver. The amending agreement therefore replaces</w:t>
      </w:r>
      <w:r>
        <w:rPr>
          <w:i/>
          <w:noProof/>
        </w:rPr>
        <w:t xml:space="preserve"> </w:t>
      </w:r>
      <w:r>
        <w:rPr>
          <w:noProof/>
        </w:rPr>
        <w:t>'</w:t>
      </w:r>
      <w:r>
        <w:rPr>
          <w:i/>
          <w:noProof/>
        </w:rPr>
        <w:t>Community</w:t>
      </w:r>
      <w:r>
        <w:rPr>
          <w:noProof/>
        </w:rPr>
        <w:t>' by '</w:t>
      </w:r>
      <w:r>
        <w:rPr>
          <w:i/>
          <w:noProof/>
        </w:rPr>
        <w:t>Union</w:t>
      </w:r>
      <w:r>
        <w:rPr>
          <w:noProof/>
        </w:rPr>
        <w:t xml:space="preserve">' throughout the visa waiver agreement. </w:t>
      </w:r>
    </w:p>
    <w:p>
      <w:pPr>
        <w:pBdr>
          <w:top w:val="nil"/>
          <w:left w:val="nil"/>
          <w:bottom w:val="nil"/>
          <w:right w:val="nil"/>
          <w:between w:val="nil"/>
          <w:bar w:val="nil"/>
        </w:pBdr>
        <w:spacing w:before="0" w:after="240"/>
        <w:rPr>
          <w:noProof/>
        </w:rPr>
      </w:pPr>
      <w:r>
        <w:rPr>
          <w:noProof/>
        </w:rPr>
        <w:t>d.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Community and Barbados on the short-stay visa waiver remain unaffected by the amending Agreement, including the territorial scope. </w:t>
      </w:r>
    </w:p>
    <w:p>
      <w:pPr>
        <w:pStyle w:val="ManualHeading1"/>
        <w:rPr>
          <w:noProof/>
        </w:rPr>
      </w:pPr>
      <w:r>
        <w:rPr>
          <w:noProof/>
        </w:rPr>
        <w:t>6.</w:t>
      </w:r>
      <w:r>
        <w:rPr>
          <w:noProof/>
        </w:rPr>
        <w:tab/>
        <w:t>CONCLUSION</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In the light of the above-mentioned results, the Commission proposes that the Council decide that the agreement be signed on behalf of the Union and authorise the President of the Council to appoint the person(s) duly empowered to sign on behalf of the Union.</w:t>
      </w:r>
    </w:p>
    <w:p>
      <w:pPr>
        <w:pStyle w:val="Rfrenceinterinstitutionnelle"/>
        <w:rPr>
          <w:noProof/>
        </w:rPr>
      </w:pPr>
      <w:r>
        <w:rPr>
          <w:noProof/>
        </w:rPr>
        <w:t>2017/0180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of the Agreement between the European Union and Barbados amending the Agreement between the European Community and Barbados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Decision of 30 November 2009 the Council concluded the Agreement between the European Community and Barbados on the short-stay visa waiver. The Agreement provides for visa-free travel for the citizens of the European Union and for the citizens of Barbados when travelling to the territory of the other Contracting Party "for a maximum period of three months during a six months period".</w:t>
      </w:r>
    </w:p>
    <w:p>
      <w:pPr>
        <w:pStyle w:val="ManualConsidrant"/>
        <w:rPr>
          <w:noProof/>
        </w:rPr>
      </w:pPr>
      <w:r>
        <w:t>(2)</w:t>
      </w:r>
      <w:r>
        <w:tab/>
      </w:r>
      <w:r>
        <w:rPr>
          <w:noProof/>
        </w:rPr>
        <w:t>Regulation (EU) No 610/2013 of the European Parliament and of the Council</w:t>
      </w:r>
      <w:r>
        <w:rPr>
          <w:rStyle w:val="FootnoteReference"/>
          <w:noProof/>
          <w:szCs w:val="24"/>
        </w:rPr>
        <w:footnoteReference w:id="18"/>
      </w:r>
      <w:r>
        <w:rPr>
          <w:noProof/>
        </w:rPr>
        <w:t xml:space="preserve"> introduced horizontal changes in the Union's visa and border acquis and defined a short stay as a maximum of 90 days in any 180-day period. </w:t>
      </w:r>
    </w:p>
    <w:p>
      <w:pPr>
        <w:pStyle w:val="ManualConsidrant"/>
        <w:rPr>
          <w:noProof/>
        </w:rPr>
      </w:pPr>
      <w:r>
        <w:t>(3)</w:t>
      </w:r>
      <w:r>
        <w:tab/>
      </w:r>
      <w:r>
        <w:rPr>
          <w:noProof/>
        </w:rPr>
        <w:t>It is necessary that the Agreement between the Union and Barbados on the short-stay visa waiver incorporates this new definition in order to fully harmonise the Union's short-stay regime.</w:t>
      </w:r>
    </w:p>
    <w:p>
      <w:pPr>
        <w:pStyle w:val="ManualConsidrant"/>
        <w:rPr>
          <w:noProof/>
        </w:rPr>
      </w:pPr>
      <w:r>
        <w:t>(4)</w:t>
      </w:r>
      <w:r>
        <w:tab/>
      </w:r>
      <w:r>
        <w:rPr>
          <w:noProof/>
        </w:rPr>
        <w:t xml:space="preserve">On 9 October 2014 the Council adopted a Decision authorising the Commission to open negotiations on an Agreement to amend the Agreement between the European Community and Barbados on the short-stay visa waiver (the "Agreement"). </w:t>
      </w:r>
    </w:p>
    <w:p>
      <w:pPr>
        <w:pStyle w:val="ManualConsidrant"/>
        <w:rPr>
          <w:noProof/>
        </w:rPr>
      </w:pPr>
      <w:r>
        <w:t>(5)</w:t>
      </w:r>
      <w:r>
        <w:tab/>
      </w:r>
      <w:r>
        <w:rPr>
          <w:noProof/>
        </w:rPr>
        <w:t xml:space="preserve">Negotiations with Barbados on the Agreement were successfully finalised by the initialling thereof, by Exchange of Letters, on </w:t>
      </w:r>
      <w:r>
        <w:rPr>
          <w:noProof/>
          <w:lang w:val="en-US"/>
        </w:rPr>
        <w:t>8 February 2017 by the Chief Negotiators of the Union and Barbados.</w:t>
      </w:r>
    </w:p>
    <w:p>
      <w:pPr>
        <w:pStyle w:val="ManualConsidrant"/>
        <w:rPr>
          <w:noProof/>
        </w:rPr>
      </w:pPr>
      <w:r>
        <w:t>(6)</w:t>
      </w:r>
      <w:r>
        <w:tab/>
      </w:r>
      <w:r>
        <w:rPr>
          <w:noProof/>
        </w:rPr>
        <w:t>The Agreement should be signed and the declarations attached to the Agreement should be approved on behalf of the Union.</w:t>
      </w:r>
    </w:p>
    <w:p>
      <w:pPr>
        <w:pStyle w:val="ManualConsidrant"/>
        <w:rPr>
          <w:noProof/>
        </w:rPr>
      </w:pPr>
      <w:r>
        <w:t>(7)</w:t>
      </w:r>
      <w:r>
        <w:tab/>
      </w:r>
      <w:r>
        <w:rPr>
          <w:noProof/>
        </w:rPr>
        <w:t>This Decision constitutes a development of the provisions of the Schengen acquis in which the United Kingdom does not take part, in accordance with Council Decision 2000/365/EC</w:t>
      </w:r>
      <w:r>
        <w:rPr>
          <w:rStyle w:val="FootnoteReference"/>
          <w:noProof/>
        </w:rPr>
        <w:footnoteReference w:id="19"/>
      </w:r>
      <w:r>
        <w:rPr>
          <w:noProof/>
        </w:rPr>
        <w:t>. The United Kingdom is therefore not taking part in the adoption of this Decision and is not bound by it or subject to its application.</w:t>
      </w:r>
    </w:p>
    <w:p>
      <w:pPr>
        <w:pStyle w:val="ManualConsidrant"/>
        <w:rPr>
          <w:noProof/>
        </w:rPr>
      </w:pPr>
      <w:r>
        <w:t>(8)</w:t>
      </w:r>
      <w:r>
        <w:tab/>
      </w:r>
      <w:r>
        <w:rPr>
          <w:noProof/>
        </w:rPr>
        <w:t>This Decision constitutes a development of the provisions of the Schengen acquis in which Ireland does not take part, in accordance with Council Decision 2002/192/EC</w:t>
      </w:r>
      <w:r>
        <w:rPr>
          <w:rStyle w:val="FootnoteReference"/>
          <w:noProof/>
        </w:rPr>
        <w:footnoteReference w:id="20"/>
      </w:r>
      <w:r>
        <w:rPr>
          <w:noProof/>
        </w:rPr>
        <w:t>. Ireland is therefore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on behalf of the Union of the Agreement between the European Union and Barbados amending the Agreement between the European Community and Barbados on the short-stay visa waiver (the "Agreement") is hereby authorised, subject to the conclusion of the Agreement.</w:t>
      </w:r>
    </w:p>
    <w:p>
      <w:pPr>
        <w:rPr>
          <w:noProof/>
        </w:rPr>
      </w:pPr>
      <w:r>
        <w:rPr>
          <w:noProof/>
        </w:rPr>
        <w:t>The text of the Agreement is attached to this Decision.</w:t>
      </w:r>
    </w:p>
    <w:p>
      <w:pPr>
        <w:pStyle w:val="Titrearticle"/>
        <w:keepNext w:val="0"/>
        <w:rPr>
          <w:noProof/>
          <w:color w:val="0000FF"/>
        </w:rPr>
      </w:pPr>
      <w:r>
        <w:rPr>
          <w:noProof/>
        </w:rPr>
        <w:t xml:space="preserve">Article 2 </w:t>
      </w:r>
    </w:p>
    <w:p>
      <w:pPr>
        <w:keepLines/>
        <w:rPr>
          <w:noProof/>
        </w:rPr>
      </w:pPr>
      <w:r>
        <w:rPr>
          <w:noProof/>
        </w:rPr>
        <w:t>The declarations attached to this Decision shall be approved on behalf of the Union.</w:t>
      </w:r>
    </w:p>
    <w:p>
      <w:pPr>
        <w:pStyle w:val="Titrearticle"/>
        <w:keepNext w:val="0"/>
        <w:rPr>
          <w:noProof/>
          <w:color w:val="0000FF"/>
        </w:rPr>
      </w:pPr>
      <w:r>
        <w:rPr>
          <w:noProof/>
        </w:rPr>
        <w:t>Article 3</w:t>
      </w:r>
    </w:p>
    <w:p>
      <w:pPr>
        <w:keepLines/>
        <w:rPr>
          <w:noProof/>
        </w:rPr>
      </w:pPr>
      <w:r>
        <w:rPr>
          <w:noProof/>
        </w:rPr>
        <w:t>The President of the Council is hereby authorised to designate the person(s) empowered to sign the Agreement on behalf of the Union.</w:t>
      </w:r>
    </w:p>
    <w:p>
      <w:pPr>
        <w:pStyle w:val="Titrearticle"/>
        <w:rPr>
          <w:noProof/>
          <w:color w:val="0000FF"/>
        </w:rPr>
      </w:pPr>
      <w:r>
        <w:rPr>
          <w:noProof/>
        </w:rPr>
        <w:t>Article 4</w:t>
      </w:r>
    </w:p>
    <w:p>
      <w:pPr>
        <w:keepLines/>
        <w:rPr>
          <w:noProof/>
        </w:rPr>
      </w:pPr>
      <w:r>
        <w:rPr>
          <w:noProof/>
        </w:rPr>
        <w:t xml:space="preserve">This Decision shall enter into force on the day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3">
    <w:p>
      <w:pPr>
        <w:pStyle w:val="FootnoteText"/>
        <w:rPr>
          <w:lang w:val="pl-PL"/>
        </w:rPr>
      </w:pPr>
      <w:r>
        <w:rPr>
          <w:rStyle w:val="FootnoteReference"/>
        </w:rPr>
        <w:footnoteRef/>
      </w:r>
      <w:r>
        <w:rPr>
          <w:lang w:val="pl-PL"/>
        </w:rPr>
        <w:tab/>
        <w:t>OJ L 239, 22.09.2000, p. 19.</w:t>
      </w:r>
    </w:p>
  </w:footnote>
  <w:footnote w:id="4">
    <w:p>
      <w:pPr>
        <w:pStyle w:val="FootnoteText"/>
        <w:rPr>
          <w:lang w:val="pl-PL"/>
        </w:rPr>
      </w:pPr>
      <w:r>
        <w:rPr>
          <w:rStyle w:val="FootnoteReference"/>
        </w:rPr>
        <w:footnoteRef/>
      </w:r>
      <w:r>
        <w:rPr>
          <w:lang w:val="pl-PL"/>
        </w:rPr>
        <w:tab/>
        <w:t>OJ L 105, 13.4.2006, p.1.</w:t>
      </w:r>
    </w:p>
  </w:footnote>
  <w:footnote w:id="5">
    <w:p>
      <w:pPr>
        <w:pStyle w:val="FootnoteText"/>
        <w:rPr>
          <w:lang w:val="pl-PL"/>
        </w:rPr>
      </w:pPr>
      <w:r>
        <w:rPr>
          <w:rStyle w:val="FootnoteReference"/>
        </w:rPr>
        <w:footnoteRef/>
      </w:r>
      <w:r>
        <w:rPr>
          <w:lang w:val="pl-PL"/>
        </w:rPr>
        <w:tab/>
        <w:t>OJ L 243, 15.9.2009, p.1.</w:t>
      </w:r>
    </w:p>
  </w:footnote>
  <w:footnote w:id="6">
    <w:p>
      <w:pPr>
        <w:pStyle w:val="FootnoteText"/>
        <w:rPr>
          <w:lang w:val="pl-PL"/>
        </w:rPr>
      </w:pPr>
      <w:r>
        <w:rPr>
          <w:rStyle w:val="FootnoteReference"/>
        </w:rPr>
        <w:footnoteRef/>
      </w:r>
      <w:r>
        <w:rPr>
          <w:lang w:val="pl-PL"/>
        </w:rPr>
        <w:tab/>
        <w:t>OJ L 081, 21.3.2001, p.1.</w:t>
      </w:r>
    </w:p>
  </w:footnote>
  <w:footnote w:id="7">
    <w:p>
      <w:pPr>
        <w:pStyle w:val="FootnoteText"/>
        <w:rPr>
          <w:lang w:val="pl-PL"/>
        </w:rPr>
      </w:pPr>
      <w:r>
        <w:rPr>
          <w:rStyle w:val="FootnoteReference"/>
        </w:rPr>
        <w:footnoteRef/>
      </w:r>
      <w:r>
        <w:rPr>
          <w:lang w:val="pl-PL"/>
        </w:rPr>
        <w:tab/>
        <w:t>OJ L 169, 30.6.2009, p. 3.</w:t>
      </w:r>
    </w:p>
  </w:footnote>
  <w:footnote w:id="8">
    <w:p>
      <w:pPr>
        <w:pStyle w:val="FootnoteText"/>
      </w:pPr>
      <w:r>
        <w:rPr>
          <w:rStyle w:val="FootnoteReference"/>
        </w:rPr>
        <w:footnoteRef/>
      </w:r>
      <w:r>
        <w:tab/>
        <w:t>OJ L 169, 30.6.2009, p. 24.</w:t>
      </w:r>
    </w:p>
  </w:footnote>
  <w:footnote w:id="9">
    <w:p>
      <w:pPr>
        <w:pStyle w:val="FootnoteText"/>
      </w:pPr>
      <w:r>
        <w:rPr>
          <w:rStyle w:val="FootnoteReference"/>
        </w:rPr>
        <w:footnoteRef/>
      </w:r>
      <w:r>
        <w:tab/>
        <w:t>OJ L 169, 30.6.2009, p. 10.</w:t>
      </w:r>
    </w:p>
  </w:footnote>
  <w:footnote w:id="10">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1">
    <w:p>
      <w:pPr>
        <w:pStyle w:val="FootnoteText"/>
        <w:rPr>
          <w:lang w:val="pl-PL"/>
        </w:rPr>
      </w:pPr>
      <w:r>
        <w:rPr>
          <w:rStyle w:val="FootnoteReference"/>
        </w:rPr>
        <w:footnoteRef/>
      </w:r>
      <w:r>
        <w:rPr>
          <w:lang w:val="pl-PL"/>
        </w:rPr>
        <w:tab/>
        <w:t>OJ L 169, 30.6.2009, p. 17.</w:t>
      </w:r>
    </w:p>
  </w:footnote>
  <w:footnote w:id="12">
    <w:p>
      <w:pPr>
        <w:pStyle w:val="FootnoteText"/>
        <w:rPr>
          <w:lang w:val="pl-PL"/>
        </w:rPr>
      </w:pPr>
      <w:r>
        <w:rPr>
          <w:rStyle w:val="FootnoteReference"/>
        </w:rPr>
        <w:footnoteRef/>
      </w:r>
      <w:r>
        <w:rPr>
          <w:lang w:val="pl-PL"/>
        </w:rPr>
        <w:tab/>
        <w:t>OJ L 169, 30.6.2009, p. 38.</w:t>
      </w:r>
    </w:p>
  </w:footnote>
  <w:footnote w:id="13">
    <w:p>
      <w:pPr>
        <w:pStyle w:val="FootnoteText"/>
        <w:rPr>
          <w:lang w:val="pl-PL"/>
        </w:rPr>
      </w:pPr>
      <w:r>
        <w:rPr>
          <w:rStyle w:val="FootnoteReference"/>
        </w:rPr>
        <w:footnoteRef/>
      </w:r>
      <w:r>
        <w:rPr>
          <w:lang w:val="pl-PL"/>
        </w:rPr>
        <w:tab/>
        <w:t>OJ L 169, 30.6.2009, p. 31.</w:t>
      </w:r>
    </w:p>
  </w:footnote>
  <w:footnote w:id="14">
    <w:p>
      <w:pPr>
        <w:pStyle w:val="FootnoteText"/>
      </w:pPr>
      <w:r>
        <w:rPr>
          <w:rStyle w:val="FootnoteReference"/>
        </w:rPr>
        <w:footnoteRef/>
      </w:r>
      <w:r>
        <w:tab/>
        <w:t>Cf. "Purpose" and "Duration of stay" in the agreements.</w:t>
      </w:r>
    </w:p>
  </w:footnote>
  <w:footnote w:id="15">
    <w:p>
      <w:pPr>
        <w:pStyle w:val="FootnoteText"/>
        <w:rPr>
          <w:lang w:val="en-US"/>
        </w:rPr>
      </w:pPr>
      <w:r>
        <w:rPr>
          <w:rStyle w:val="FootnoteReference"/>
        </w:rPr>
        <w:footnoteRef/>
      </w:r>
      <w:r>
        <w:rPr>
          <w:lang w:val="en-US"/>
        </w:rPr>
        <w:tab/>
        <w:t xml:space="preserve">COM(2014) 468 final. </w:t>
      </w:r>
    </w:p>
  </w:footnote>
  <w:footnote w:id="16">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7">
    <w:p>
      <w:pPr>
        <w:pStyle w:val="FootnoteText"/>
      </w:pPr>
      <w:r>
        <w:rPr>
          <w:rStyle w:val="FootnoteReference"/>
        </w:rPr>
        <w:footnoteRef/>
      </w:r>
      <w:r>
        <w:tab/>
        <w:t>COM(2016)194 final.</w:t>
      </w:r>
    </w:p>
  </w:footnote>
  <w:footnote w:id="18">
    <w:p>
      <w:pPr>
        <w:pStyle w:val="FootnoteText"/>
        <w:rPr>
          <w:rStyle w:val="FootnoteReference"/>
          <w:b/>
        </w:rPr>
      </w:pPr>
      <w:r>
        <w:rPr>
          <w:rStyle w:val="FootnoteReference"/>
        </w:rPr>
        <w:footnoteRef/>
      </w:r>
      <w:r>
        <w:rPr>
          <w:b/>
        </w:rPr>
        <w:tab/>
      </w:r>
      <w:r>
        <w:rPr>
          <w:iCs/>
        </w:rPr>
        <w:t>Regulation (EU) No 610/2013 of the European Parliament and of the Council of 26 June 2013 amending Regulation (EC) No 562/2006 of the European Parliament and of the Council establishing a Community Code on the rules governing the movement of persons across borders (Schengen Borders Code), the Convention implementing the Schengen Agreement, Council Regulations (EC) No 1683/95 and (EC) No 539/2001 and Regulations (EC) No 767/2008 and (EC) No 810/2009 of the European Parliament and of the Council, OJ L 182, 29.06.2013, p. 1.</w:t>
      </w:r>
    </w:p>
  </w:footnote>
  <w:footnote w:id="19">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20">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5: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0C6D9CA7D7A48B1B368400B8EB858F2"/>
    <w:docVar w:name="LW_CROSSREFERENCE" w:val="&lt;UNUSED&gt;"/>
    <w:docVar w:name="LW_DocType" w:val="COM"/>
    <w:docVar w:name="LW_EMISSION" w:val="27.7.2017"/>
    <w:docVar w:name="LW_EMISSION_ISODATE" w:val="2017-07-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0"/>
    <w:docVar w:name="LW_REF.II.NEW.CP_YEAR" w:val="2017"/>
    <w:docVar w:name="LW_REF.INST.NEW" w:val="COM"/>
    <w:docVar w:name="LW_REF.INST.NEW_ADOPTED" w:val="final"/>
    <w:docVar w:name="LW_REF.INST.NEW_TEXT" w:val="(2017) 403"/>
    <w:docVar w:name="LW_REF.INTERNE" w:val="&lt;UNUSED&gt;"/>
    <w:docVar w:name="LW_SOUS.TITRE.OBJ.CP" w:val="&lt;UNUSED&gt;"/>
    <w:docVar w:name="LW_STATUT.CP" w:val="Proposal for a"/>
    <w:docVar w:name="LW_SUPERTITRE" w:val="&lt;UNUSED&gt;"/>
    <w:docVar w:name="LW_TITRE.OBJ.CP" w:val="on the signing of the Agreement between the European Union and Barbados amending the Agreement between the European Community and Barbados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1949</Words>
  <Characters>10410</Characters>
  <Application>Microsoft Office Word</Application>
  <DocSecurity>0</DocSecurity>
  <Lines>182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2017-07-03T10:34:00Z</dcterms:created>
  <dcterms:modified xsi:type="dcterms:W3CDTF">2017-07-26T14:45:00Z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