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A8C32AA2A2E411C8C7D682E3C988CC5"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signature de l’accord entre l’Union européenne et la Barbade portant modification de l’accord entre la Communauté européenne et la Barbade relatif à l’exemption de visa pour les séjours de courte durée</w:t>
      </w:r>
    </w:p>
    <w:p>
      <w:pPr>
        <w:rPr>
          <w:noProof/>
        </w:rPr>
      </w:pPr>
      <w:r>
        <w:rPr>
          <w:noProof/>
        </w:rPr>
        <w:br w:type="page"/>
      </w:r>
    </w:p>
    <w:p>
      <w:pPr>
        <w:jc w:val="center"/>
        <w:rPr>
          <w:b/>
          <w:noProof/>
          <w:szCs w:val="24"/>
        </w:rPr>
      </w:pPr>
      <w:r>
        <w:rPr>
          <w:b/>
          <w:noProof/>
        </w:rPr>
        <w:t>ACCORD</w:t>
      </w:r>
    </w:p>
    <w:p>
      <w:pPr>
        <w:jc w:val="center"/>
        <w:rPr>
          <w:b/>
          <w:noProof/>
          <w:szCs w:val="24"/>
        </w:rPr>
      </w:pPr>
      <w:r>
        <w:rPr>
          <w:b/>
          <w:noProof/>
        </w:rPr>
        <w:t xml:space="preserve">entre l’Union européenne et la Barbade portant modification de l’accord entre la Communauté européenne et </w:t>
      </w:r>
      <w:r>
        <w:rPr>
          <w:rStyle w:val="Strong"/>
          <w:noProof/>
        </w:rPr>
        <w:t xml:space="preserve">la Barbade </w:t>
      </w:r>
      <w:r>
        <w:rPr>
          <w:b/>
          <w:noProof/>
        </w:rPr>
        <w:t>relatif à l’exemption de visa pour les séjours de courte durée</w:t>
      </w:r>
    </w:p>
    <w:p>
      <w:pPr>
        <w:rPr>
          <w:noProof/>
          <w:szCs w:val="24"/>
        </w:rPr>
      </w:pPr>
      <w:r>
        <w:rPr>
          <w:noProof/>
        </w:rPr>
        <w:t>L’UNION EUROPÉENNE,</w:t>
      </w:r>
    </w:p>
    <w:p>
      <w:pPr>
        <w:rPr>
          <w:noProof/>
          <w:szCs w:val="24"/>
        </w:rPr>
      </w:pPr>
      <w:r>
        <w:rPr>
          <w:noProof/>
        </w:rPr>
        <w:t xml:space="preserve">d’une part, et </w:t>
      </w:r>
    </w:p>
    <w:p>
      <w:pPr>
        <w:rPr>
          <w:noProof/>
          <w:szCs w:val="24"/>
        </w:rPr>
      </w:pPr>
      <w:r>
        <w:rPr>
          <w:noProof/>
        </w:rPr>
        <w:t>LA BARBADE,</w:t>
      </w:r>
    </w:p>
    <w:p>
      <w:pPr>
        <w:rPr>
          <w:noProof/>
          <w:szCs w:val="24"/>
        </w:rPr>
      </w:pPr>
      <w:r>
        <w:rPr>
          <w:noProof/>
        </w:rPr>
        <w:t xml:space="preserve">d’autre part, </w:t>
      </w:r>
    </w:p>
    <w:p>
      <w:pPr>
        <w:rPr>
          <w:noProof/>
          <w:szCs w:val="24"/>
        </w:rPr>
      </w:pPr>
      <w:r>
        <w:rPr>
          <w:noProof/>
        </w:rPr>
        <w:t>ci-après conjointement dénommées les «parties contractantes»,</w:t>
      </w:r>
    </w:p>
    <w:p>
      <w:pPr>
        <w:rPr>
          <w:noProof/>
          <w:szCs w:val="24"/>
        </w:rPr>
      </w:pPr>
      <w:r>
        <w:rPr>
          <w:noProof/>
        </w:rPr>
        <w:t>VU l’accord entre la Communauté européenne et la Barbade relatif à l’exemption de visa pour les séjours de courte durée (ci-après dénommé l’«accord»), qui est entré en vigueur le 1</w:t>
      </w:r>
      <w:r>
        <w:rPr>
          <w:noProof/>
          <w:vertAlign w:val="superscript"/>
        </w:rPr>
        <w:t>er</w:t>
      </w:r>
      <w:r>
        <w:rPr>
          <w:noProof/>
        </w:rPr>
        <w:t> mars 2010,</w:t>
      </w:r>
    </w:p>
    <w:p>
      <w:pPr>
        <w:rPr>
          <w:noProof/>
          <w:szCs w:val="24"/>
        </w:rPr>
      </w:pPr>
      <w:r>
        <w:rPr>
          <w:noProof/>
        </w:rPr>
        <w:t xml:space="preserve">RÉAFFIRMANT qu’il importe de faciliter les contacts entre les personnes, </w:t>
      </w:r>
    </w:p>
    <w:p>
      <w:pPr>
        <w:rPr>
          <w:noProof/>
          <w:szCs w:val="24"/>
        </w:rPr>
      </w:pPr>
      <w:r>
        <w:rPr>
          <w:noProof/>
        </w:rPr>
        <w:t>PRENANT NOTE du fait que l’accord vise la satisfaction des citoyens des parties contractantes,</w:t>
      </w:r>
    </w:p>
    <w:p>
      <w:pPr>
        <w:rPr>
          <w:noProof/>
          <w:szCs w:val="24"/>
        </w:rPr>
      </w:pPr>
      <w:r>
        <w:rPr>
          <w:noProof/>
        </w:rPr>
        <w:t xml:space="preserve">TENANT COMPTE du fait que la définition du séjour de courte durée fournie par l’accord (trois mois sur une période de six mois à compter de la date de la première entrée) n’est pas suffisamment précise et, en particulier, que la notion de «date de première entrée» peut donner lieu à des incertitudes et à des questions, </w:t>
      </w:r>
    </w:p>
    <w:p>
      <w:pPr>
        <w:rPr>
          <w:noProof/>
          <w:szCs w:val="24"/>
        </w:rPr>
      </w:pPr>
      <w:r>
        <w:rPr>
          <w:noProof/>
        </w:rPr>
        <w:t xml:space="preserve">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 </w:t>
      </w:r>
    </w:p>
    <w:p>
      <w:pPr>
        <w:rPr>
          <w:noProof/>
          <w:szCs w:val="24"/>
        </w:rPr>
      </w:pPr>
      <w:r>
        <w:rPr>
          <w:noProof/>
        </w:rPr>
        <w:t>TENANT COMPTE du fait que le système d’entrée/sortie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RÉAFFIRMANT que l’accord concerne les citoyens de tous les États membres de l’Union européenne à l’exception du Royaume-Uni et de l’Irlande,</w:t>
      </w:r>
    </w:p>
    <w:p>
      <w:pPr>
        <w:rPr>
          <w:noProof/>
          <w:szCs w:val="24"/>
        </w:rPr>
      </w:pPr>
      <w:r>
        <w:rPr>
          <w:noProof/>
        </w:rPr>
        <w:t xml:space="preserve">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 </w:t>
      </w:r>
    </w:p>
    <w:p>
      <w:pPr>
        <w:rPr>
          <w:noProof/>
          <w:szCs w:val="24"/>
        </w:rPr>
      </w:pPr>
      <w:r>
        <w:rPr>
          <w:noProof/>
        </w:rPr>
        <w:t>SONT CONVENUES DES DISPOSITIONS SUIVANTES:</w:t>
      </w:r>
    </w:p>
    <w:p>
      <w:pPr>
        <w:pStyle w:val="Titrearticle"/>
        <w:rPr>
          <w:noProof/>
        </w:rPr>
      </w:pPr>
      <w:r>
        <w:rPr>
          <w:noProof/>
        </w:rPr>
        <w:t>Article premier</w:t>
      </w:r>
    </w:p>
    <w:p>
      <w:pPr>
        <w:rPr>
          <w:noProof/>
          <w:szCs w:val="24"/>
        </w:rPr>
      </w:pPr>
      <w:r>
        <w:rPr>
          <w:noProof/>
        </w:rPr>
        <w:t>L’accord est modifié conformément aux dispositions du présent article:</w:t>
      </w:r>
    </w:p>
    <w:p>
      <w:pPr>
        <w:pStyle w:val="Point0number"/>
        <w:numPr>
          <w:ilvl w:val="0"/>
          <w:numId w:val="8"/>
        </w:numPr>
        <w:spacing w:after="240"/>
        <w:ind w:left="851" w:hanging="851"/>
        <w:rPr>
          <w:noProof/>
        </w:rPr>
      </w:pPr>
      <w:r>
        <w:rPr>
          <w:noProof/>
        </w:rPr>
        <w:t>dans le titre, à l’article 6, paragraphe 1, et à l’article 8, paragraphe 7, les termes «la Communauté» sont remplacés par les termes «l’Union», et à l’article 3, paragraphe 5, le terme «communautaire» est remplacé par les termes «de l’Union»;</w:t>
      </w:r>
    </w:p>
    <w:p>
      <w:pPr>
        <w:pStyle w:val="Point0number"/>
        <w:numPr>
          <w:ilvl w:val="0"/>
          <w:numId w:val="7"/>
        </w:numPr>
        <w:spacing w:after="240"/>
        <w:ind w:left="851" w:hanging="851"/>
        <w:rPr>
          <w:noProof/>
        </w:rPr>
      </w:pPr>
      <w:r>
        <w:rPr>
          <w:noProof/>
        </w:rPr>
        <w:t>à l’article 1, les termes «trois mois au cours d’une période de six mois» sont remplacés par les termes «90 jours sur toute période de 180 jours»;</w:t>
      </w:r>
    </w:p>
    <w:p>
      <w:pPr>
        <w:pStyle w:val="Point0number"/>
        <w:numPr>
          <w:ilvl w:val="0"/>
          <w:numId w:val="7"/>
        </w:numPr>
        <w:rPr>
          <w:noProof/>
        </w:rPr>
      </w:pPr>
      <w:r>
        <w:rPr>
          <w:noProof/>
        </w:rPr>
        <w:t>à l’article 4, le paragraphe 1 est remplacé par le texte suivant:</w:t>
      </w:r>
    </w:p>
    <w:p>
      <w:pPr>
        <w:ind w:left="850"/>
        <w:rPr>
          <w:noProof/>
          <w:szCs w:val="24"/>
        </w:rPr>
      </w:pPr>
      <w:r>
        <w:rPr>
          <w:noProof/>
        </w:rPr>
        <w:t>«Les citoyens de l’Union européenne peuvent séjourner sur le territoire de la Barbade pendant une durée maximale de 90 jours sur toute période de 180 jours.»;</w:t>
      </w:r>
    </w:p>
    <w:p>
      <w:pPr>
        <w:pStyle w:val="Point0number"/>
        <w:rPr>
          <w:noProof/>
        </w:rPr>
      </w:pPr>
      <w:r>
        <w:rPr>
          <w:noProof/>
        </w:rPr>
        <w:t>à l’article 4, le paragraphe 2 est remplacé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«Les citoyens de la Barbade</w:t>
      </w:r>
      <w:r>
        <w:rPr>
          <w:noProof/>
        </w:rPr>
        <w:t xml:space="preserve"> </w:t>
      </w:r>
      <w:r>
        <w:rPr>
          <w:rFonts w:ascii="Times New Roman" w:hAnsi="Times New Roman"/>
          <w:noProof/>
          <w:color w:val="000000"/>
        </w:rPr>
        <w:t>peuvent séjourner sur le territoire des États membres qui appliquent l’acquis de Schengen dans son intégralité pendant une durée maximale de</w:t>
      </w:r>
      <w:r>
        <w:rPr>
          <w:noProof/>
        </w:rPr>
        <w:t xml:space="preserve"> </w:t>
      </w:r>
      <w:r>
        <w:rPr>
          <w:rFonts w:ascii="Times New Roman" w:hAnsi="Times New Roman"/>
          <w:noProof/>
        </w:rPr>
        <w:t>90 jours sur toute période de 180 jours.</w:t>
      </w:r>
      <w:r>
        <w:rPr>
          <w:rFonts w:ascii="Times New Roman" w:hAnsi="Times New Roman"/>
          <w:noProof/>
          <w:color w:val="000000"/>
        </w:rPr>
        <w:t xml:space="preserve"> Cette durée est calculée indépendamment de tout autre séjour effectué dans un État membre qui n’applique pas encore l’acquis de Schengen dans son intégralité. </w:t>
      </w:r>
    </w:p>
    <w:p>
      <w:pPr>
        <w:ind w:left="850"/>
        <w:rPr>
          <w:noProof/>
          <w:szCs w:val="24"/>
        </w:rPr>
      </w:pPr>
      <w:r>
        <w:rPr>
          <w:noProof/>
        </w:rPr>
        <w:t>Les citoyens de la Barbade peuvent séjourner pendant une durée maximale de 90 jours sur toute période de 180 jours sur le territoire de chacun des États membres qui n’applique pas encore l’acquis de Schengen dans son intégralité, indépendamment de la durée de séjour calculée pour le territoire des États membres qui appliquent l’acquis de Schengen dans son intégralité.»;</w:t>
      </w:r>
    </w:p>
    <w:p>
      <w:pPr>
        <w:pStyle w:val="Point0number"/>
        <w:rPr>
          <w:noProof/>
        </w:rPr>
      </w:pPr>
      <w:r>
        <w:rPr>
          <w:noProof/>
        </w:rPr>
        <w:t>à l’article 4, paragraphe 3, les termes «trois mois» sont remplacés par les termes «90 jours» et le terme «communautaire» est remplacé par les termes «de l’Union»;</w:t>
      </w:r>
    </w:p>
    <w:p>
      <w:pPr>
        <w:pStyle w:val="Point0number"/>
        <w:rPr>
          <w:noProof/>
        </w:rPr>
      </w:pPr>
      <w:r>
        <w:rPr>
          <w:noProof/>
        </w:rPr>
        <w:t>à l’article 8,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w:t>
      </w:r>
      <w:r>
        <w:rPr>
          <w:noProof/>
          <w:highlight w:val="yellow"/>
        </w:rPr>
        <w:t>…</w:t>
      </w:r>
      <w:r>
        <w:rPr>
          <w:noProof/>
        </w:rPr>
        <w:t>] le [</w:t>
      </w:r>
      <w:r>
        <w:rPr>
          <w:noProof/>
          <w:highlight w:val="yellow"/>
        </w:rPr>
        <w:t>…</w:t>
      </w:r>
      <w:r>
        <w:rPr>
          <w:noProof/>
        </w:rPr>
        <w:t>] jour du mois de [</w:t>
      </w:r>
      <w:r>
        <w:rPr>
          <w:noProof/>
          <w:highlight w:val="yellow"/>
        </w:rPr>
        <w:t>…</w:t>
      </w:r>
      <w:r>
        <w:rPr>
          <w:noProof/>
        </w:rPr>
        <w:t>]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szCs w:val="24"/>
        </w:rPr>
      </w:pPr>
      <w:r>
        <w:rPr>
          <w:noProof/>
        </w:rPr>
        <w:t>Pour la Barbade</w:t>
      </w:r>
    </w:p>
    <w:p>
      <w:pPr>
        <w:rPr>
          <w:noProof/>
        </w:rPr>
      </w:pPr>
      <w:r>
        <w:rPr>
          <w:noProof/>
        </w:rPr>
        <w:br w:type="page"/>
      </w:r>
    </w:p>
    <w:p>
      <w:pPr>
        <w:rPr>
          <w:b/>
          <w:noProof/>
          <w:szCs w:val="24"/>
        </w:rPr>
      </w:pPr>
      <w:r>
        <w:rPr>
          <w:b/>
          <w:noProof/>
        </w:rPr>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de la Barbade, d’autre part, modifient sans tarder les accords bilatéraux en vigueur relatifs à l’exemption de visa pour les séjours de courte durée conformément aux dispositions du présent accord.</w:t>
      </w:r>
    </w:p>
    <w:p>
      <w:pPr>
        <w:rPr>
          <w:b/>
          <w:caps/>
          <w:noProof/>
          <w:szCs w:val="24"/>
        </w:rPr>
      </w:pPr>
      <w:r>
        <w:rPr>
          <w:b/>
          <w:caps/>
          <w:noProof/>
        </w:rPr>
        <w:t>Déclaration commune sur l’interprétation de la durée de 90 jours sur toute période de 180 jours</w:t>
      </w:r>
    </w:p>
    <w:p>
      <w:pPr>
        <w:rPr>
          <w:noProof/>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b/>
          <w:noProof/>
          <w:szCs w:val="24"/>
        </w:rPr>
      </w:pPr>
      <w:r>
        <w:rPr>
          <w:b/>
          <w:noProof/>
        </w:rPr>
        <w:t>________</w:t>
      </w:r>
    </w:p>
    <w:p>
      <w:pPr>
        <w:spacing w:after="100" w:afterAutospacing="1"/>
        <w:ind w:left="-284"/>
        <w:rPr>
          <w:noProof/>
        </w:rPr>
      </w:pPr>
    </w:p>
    <w:p>
      <w:pPr>
        <w:pStyle w:val="Objetacteprincipal"/>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6: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4A8C32AA2A2E411C8C7D682E3C988CC5"/>
    <w:docVar w:name="LW_CROSSREFERENCE" w:val="&lt;UNUSED&gt;"/>
    <w:docVar w:name="LW_DocType" w:val="ANNEX"/>
    <w:docVar w:name="LW_EMISSION" w:val="27.7.2017"/>
    <w:docVar w:name="LW_EMISSION_ISODATE" w:val="2017-07-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de l\u8217?accord entre l\u8217?Union européenne et la Barbade portant modification de l\u8217?accord entre la Communauté européenne et la Barbade relatif à l\u8217?exemption de visa pour les séjours de courte durée"/>
    <w:docVar w:name="LW_PART_NBR" w:val="1"/>
    <w:docVar w:name="LW_PART_NBR_TOTAL" w:val="1"/>
    <w:docVar w:name="LW_REF.INST.NEW" w:val="COM"/>
    <w:docVar w:name="LW_REF.INST.NEW_ADOPTED" w:val="final"/>
    <w:docVar w:name="LW_REF.INST.NEW_TEXT" w:val="(2017) 403"/>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1013</Words>
  <Characters>5423</Characters>
  <Application>Microsoft Office Word</Application>
  <DocSecurity>0</DocSecurity>
  <Lines>106</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2017-07-05T15:29:00Z</dcterms:created>
  <dcterms:modified xsi:type="dcterms:W3CDTF">2017-07-26T14:46:00Z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