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5551DB7BB44F9CB86525C5A7F88B5B" style="width:451.25pt;height:366.7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xml:space="preserve">, is less complex to be </w:t>
      </w:r>
      <w:r>
        <w:rPr>
          <w:noProof/>
        </w:rPr>
        <w:lastRenderedPageBreak/>
        <w:t>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the </w:t>
      </w:r>
      <w:r>
        <w:rPr>
          <w:noProof/>
          <w:szCs w:val="24"/>
        </w:rPr>
        <w:t xml:space="preserve">Republic of Mauritius </w:t>
      </w:r>
      <w:r>
        <w:rPr>
          <w:noProof/>
        </w:rPr>
        <w:t xml:space="preserve">were successfully finalised by the initialling of the amending agreement on 11 November 2016. </w:t>
      </w:r>
      <w:r>
        <w:rPr>
          <w:noProof/>
          <w:szCs w:val="24"/>
        </w:rPr>
        <w:t xml:space="preserve">Both parties have agreed to adopt the new definition of 'short-stay' throughout the visa waiver agreement between the EU and Mauritius.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signing of the Agreement to amend the Agreement between the European Community and the </w:t>
      </w:r>
      <w:r>
        <w:rPr>
          <w:noProof/>
          <w:szCs w:val="24"/>
        </w:rPr>
        <w:t>Republic of Mauritius</w:t>
      </w:r>
      <w:r>
        <w:rPr>
          <w:noProof/>
        </w:rPr>
        <w:t xml:space="preserve"> on the short-stay visa waiver.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Mauritius, on the one hand, and Iceland, Liechtenstein, Norway and Switzerland, on the other, to accordingly modify their existing bilateral visa waiver agreements.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u w:color="000000"/>
          <w:bdr w:val="nil"/>
          <w:lang w:val="en-US" w:eastAsia="en-GB"/>
        </w:rPr>
        <w:t>If one of the contracting parties to an international agreement is the European Union, then any amendment of such an agreement cannot be legally implemented by Member States themselves. The visa waiver agreement with Mauritius has been concluded by the European Union. Hence, action at Union level is required.</w:t>
      </w:r>
    </w:p>
    <w:p>
      <w:pPr>
        <w:rPr>
          <w:noProof/>
          <w:u w:color="000000"/>
          <w:bdr w:val="nil"/>
          <w:lang w:val="en-US" w:eastAsia="en-GB"/>
        </w:rPr>
      </w:pPr>
      <w:r>
        <w:rPr>
          <w:noProof/>
          <w:u w:color="000000"/>
          <w:bdr w:val="nil"/>
          <w:lang w:val="en-US" w:eastAsia="en-GB"/>
        </w:rPr>
        <w:t xml:space="preserve">Moreover, the conclusion of visa waiver agreements by Member States would affect the Union </w:t>
      </w:r>
      <w:r>
        <w:rPr>
          <w:i/>
          <w:noProof/>
          <w:u w:color="000000"/>
          <w:bdr w:val="nil"/>
          <w:lang w:val="en-US" w:eastAsia="en-GB"/>
        </w:rPr>
        <w:t>acquis</w:t>
      </w:r>
      <w:r>
        <w:rPr>
          <w:noProof/>
          <w:u w:color="000000"/>
          <w:bdr w:val="nil"/>
          <w:lang w:val="en-US" w:eastAsia="en-GB"/>
        </w:rPr>
        <w:t xml:space="preserve"> in the field of visas (Article 3(2) TFEU).</w:t>
      </w:r>
    </w:p>
    <w:p>
      <w:pPr>
        <w:rPr>
          <w:noProof/>
          <w:u w:color="000000"/>
          <w:bdr w:val="nil"/>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u w:color="000000"/>
          <w:bdr w:val="nil"/>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Mauritius and the Union.</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the </w:t>
      </w:r>
      <w:r>
        <w:rPr>
          <w:noProof/>
          <w:szCs w:val="24"/>
        </w:rPr>
        <w:t>Republic of Mauritius</w:t>
      </w:r>
      <w:r>
        <w:rPr>
          <w:noProof/>
        </w:rPr>
        <w:t xml:space="preserve"> </w:t>
      </w:r>
      <w:r>
        <w:rPr>
          <w:noProof/>
          <w:u w:color="000000"/>
          <w:bdr w:val="nil"/>
          <w:lang w:val="en-US" w:eastAsia="en-GB"/>
        </w:rPr>
        <w:t>to amend the visa waiver agreement between the two parties.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the </w:t>
      </w:r>
      <w:r>
        <w:rPr>
          <w:noProof/>
          <w:szCs w:val="24"/>
        </w:rPr>
        <w:t>Republic of Mauritius</w:t>
      </w:r>
      <w:r>
        <w:rPr>
          <w:noProof/>
        </w:rPr>
        <w:t xml:space="preserve">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the </w:t>
      </w:r>
      <w:r>
        <w:rPr>
          <w:noProof/>
          <w:szCs w:val="24"/>
        </w:rPr>
        <w:t>Republic of Mauritius</w:t>
      </w:r>
      <w:r>
        <w:rPr>
          <w:noProof/>
        </w:rPr>
        <w:t xml:space="preserve">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Mauritius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 xml:space="preserve">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the </w:t>
      </w:r>
      <w:r>
        <w:rPr>
          <w:noProof/>
          <w:szCs w:val="24"/>
        </w:rPr>
        <w:t>Republic of Mauritius</w:t>
      </w:r>
      <w:r>
        <w:rPr>
          <w:noProof/>
        </w:rPr>
        <w:t xml:space="preserve">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the </w:t>
      </w:r>
      <w:r>
        <w:rPr>
          <w:noProof/>
          <w:szCs w:val="24"/>
        </w:rPr>
        <w:t>Republic of Mauritius</w:t>
      </w:r>
      <w:r>
        <w:rPr>
          <w:noProof/>
        </w:rPr>
        <w:t xml:space="preserve">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In the light of the above-mentioned results, the Commission proposes that the Council decide that the agreement be signed on behalf of the Union and authorise the President of the Council to appoint the person(s) duly empowered to sign on behalf of the Union.</w:t>
      </w:r>
    </w:p>
    <w:p>
      <w:pPr>
        <w:pStyle w:val="Rfrenceinterinstitutionnelle"/>
        <w:rPr>
          <w:noProof/>
        </w:rPr>
      </w:pPr>
      <w:r>
        <w:rPr>
          <w:noProof/>
        </w:rPr>
        <w:t>2017/0178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of the Agreement between the European Union and the Republic of Mauritius amending the Agreement between the European Community and the Republic of Mauritius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Decision of 30 November 2009 the Council concluded the Agreement between the European Community and the Republic of Mauritius on the short-stay visa waiver. The Agreement provides for visa-free travel for the citizens of the European Union and for the citizens of Mauritius when travelling to the territory of the other Contracting Party "for a maximum period of three months during a six months period".</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8"/>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 xml:space="preserve">It is necessary that the Agreement between the Union and the </w:t>
      </w:r>
      <w:r>
        <w:rPr>
          <w:noProof/>
          <w:szCs w:val="24"/>
        </w:rPr>
        <w:t>Republic of Mauritius</w:t>
      </w:r>
      <w:r>
        <w:rPr>
          <w:noProof/>
        </w:rPr>
        <w:t xml:space="preserve"> on the short-stay visa waiver incorporates this new definition in order to fully harmonise the Union's short-stay regime.</w:t>
      </w:r>
    </w:p>
    <w:p>
      <w:pPr>
        <w:pStyle w:val="ManualConsidrant"/>
        <w:rPr>
          <w:noProof/>
        </w:rPr>
      </w:pPr>
      <w:r>
        <w:t>(4)</w:t>
      </w:r>
      <w:r>
        <w:tab/>
      </w:r>
      <w:r>
        <w:rPr>
          <w:noProof/>
        </w:rPr>
        <w:t xml:space="preserve">On 9 October 2014 the Council adopted a Decision authorising the Commission to open negotiations on an Agreement to amend the Agreement between the European Community and the </w:t>
      </w:r>
      <w:r>
        <w:rPr>
          <w:noProof/>
          <w:szCs w:val="24"/>
        </w:rPr>
        <w:t>Republic of Mauritius</w:t>
      </w:r>
      <w:r>
        <w:rPr>
          <w:noProof/>
        </w:rPr>
        <w:t xml:space="preserve"> on the short-stay visa waiver (the "Agreement"). </w:t>
      </w:r>
    </w:p>
    <w:p>
      <w:pPr>
        <w:pStyle w:val="ManualConsidrant"/>
        <w:rPr>
          <w:noProof/>
        </w:rPr>
      </w:pPr>
      <w:r>
        <w:t>(5)</w:t>
      </w:r>
      <w:r>
        <w:tab/>
      </w:r>
      <w:r>
        <w:rPr>
          <w:noProof/>
        </w:rPr>
        <w:t xml:space="preserve">Negotiations with the </w:t>
      </w:r>
      <w:r>
        <w:rPr>
          <w:noProof/>
          <w:szCs w:val="24"/>
        </w:rPr>
        <w:t>Republic of Mauritius</w:t>
      </w:r>
      <w:r>
        <w:rPr>
          <w:noProof/>
        </w:rPr>
        <w:t xml:space="preserve"> on the Agreement were successfully finalised by the initialling thereof, by Exchange of Letters, on 11 November</w:t>
      </w:r>
      <w:r>
        <w:rPr>
          <w:noProof/>
          <w:lang w:val="en-US"/>
        </w:rPr>
        <w:t xml:space="preserve"> 2016 by the Chief Negotiators of the Union and the Republic of Mauritius.</w:t>
      </w:r>
    </w:p>
    <w:p>
      <w:pPr>
        <w:pStyle w:val="ManualConsidrant"/>
        <w:rPr>
          <w:noProof/>
        </w:rPr>
      </w:pPr>
      <w:r>
        <w:t>(6)</w:t>
      </w:r>
      <w:r>
        <w:tab/>
      </w:r>
      <w:r>
        <w:rPr>
          <w:noProof/>
        </w:rPr>
        <w:t>The Agreement should be signed and the declarations attached to the Agreement should be approved on behalf of the Union.</w:t>
      </w:r>
    </w:p>
    <w:p>
      <w:pPr>
        <w:pStyle w:val="ManualConsidrant"/>
        <w:rPr>
          <w:noProof/>
        </w:rPr>
      </w:pPr>
      <w:r>
        <w:t>(7)</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19"/>
      </w:r>
      <w:r>
        <w:rPr>
          <w:noProof/>
        </w:rPr>
        <w:t>. The United Kingdom is therefore not taking part in the adoption of this Decision and is not bound by it or subject to its application.</w:t>
      </w:r>
    </w:p>
    <w:p>
      <w:pPr>
        <w:pStyle w:val="ManualConsidrant"/>
        <w:rPr>
          <w:noProof/>
        </w:rPr>
      </w:pPr>
      <w:r>
        <w:t>(8)</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20"/>
      </w:r>
      <w:r>
        <w:rPr>
          <w:noProof/>
        </w:rPr>
        <w:t>. Ireland is therefore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on behalf of the Union of the Agreement between the European Union and the </w:t>
      </w:r>
      <w:r>
        <w:rPr>
          <w:noProof/>
          <w:szCs w:val="24"/>
        </w:rPr>
        <w:t>Republic of Mauritius</w:t>
      </w:r>
      <w:r>
        <w:rPr>
          <w:noProof/>
        </w:rPr>
        <w:t xml:space="preserve"> amending the Agreement between the European Community and the </w:t>
      </w:r>
      <w:r>
        <w:rPr>
          <w:noProof/>
          <w:szCs w:val="24"/>
        </w:rPr>
        <w:t>Republic of Mauritius</w:t>
      </w:r>
      <w:r>
        <w:rPr>
          <w:noProof/>
        </w:rPr>
        <w:t xml:space="preserve"> on the short-stay visa waiver (the "Agreement") is hereby authorised, subject to the conclusion of the Agreement.</w:t>
      </w:r>
    </w:p>
    <w:p>
      <w:pPr>
        <w:rPr>
          <w:noProof/>
        </w:rPr>
      </w:pPr>
      <w:r>
        <w:rPr>
          <w:noProof/>
        </w:rPr>
        <w:t>The text of the Agreement is attached to this Decision.</w:t>
      </w:r>
    </w:p>
    <w:p>
      <w:pPr>
        <w:pStyle w:val="Titrearticle"/>
        <w:keepNext w:val="0"/>
        <w:rPr>
          <w:noProof/>
          <w:color w:val="0000FF"/>
        </w:rPr>
      </w:pPr>
      <w:r>
        <w:rPr>
          <w:noProof/>
        </w:rPr>
        <w:t xml:space="preserve">Article 2 </w:t>
      </w:r>
    </w:p>
    <w:p>
      <w:pPr>
        <w:keepLines/>
        <w:rPr>
          <w:noProof/>
        </w:rPr>
      </w:pPr>
      <w:r>
        <w:rPr>
          <w:noProof/>
        </w:rPr>
        <w:t>The declarations attached to this Decision shall be approved on behalf of the Union.</w:t>
      </w:r>
    </w:p>
    <w:p>
      <w:pPr>
        <w:pStyle w:val="Titrearticle"/>
        <w:keepNext w:val="0"/>
        <w:rPr>
          <w:noProof/>
          <w:color w:val="0000FF"/>
        </w:rPr>
      </w:pPr>
      <w:r>
        <w:rPr>
          <w:noProof/>
        </w:rPr>
        <w:t>Article 3</w:t>
      </w:r>
    </w:p>
    <w:p>
      <w:pPr>
        <w:keepLines/>
        <w:rPr>
          <w:noProof/>
        </w:rPr>
      </w:pPr>
      <w:r>
        <w:rPr>
          <w:noProof/>
        </w:rPr>
        <w:t>The President of the Council is hereby authorised to designate the person(s) empowered to sign the Agreement on behalf of the Union.</w:t>
      </w:r>
    </w:p>
    <w:p>
      <w:pPr>
        <w:pStyle w:val="Titrearticle"/>
        <w:rPr>
          <w:noProof/>
          <w:color w:val="0000FF"/>
        </w:rPr>
      </w:pPr>
      <w:r>
        <w:rPr>
          <w:noProof/>
        </w:rPr>
        <w:t>Article 4</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p.1.</w:t>
      </w:r>
    </w:p>
  </w:footnote>
  <w:footnote w:id="5">
    <w:p>
      <w:pPr>
        <w:pStyle w:val="FootnoteText"/>
        <w:rPr>
          <w:lang w:val="pl-PL"/>
        </w:rPr>
      </w:pPr>
      <w:r>
        <w:rPr>
          <w:rStyle w:val="FootnoteReference"/>
        </w:rPr>
        <w:footnoteRef/>
      </w:r>
      <w:r>
        <w:rPr>
          <w:lang w:val="pl-PL"/>
        </w:rPr>
        <w:tab/>
        <w:t>OJ L 243, 15.9.2009, p.1.</w:t>
      </w:r>
    </w:p>
  </w:footnote>
  <w:footnote w:id="6">
    <w:p>
      <w:pPr>
        <w:pStyle w:val="FootnoteText"/>
        <w:rPr>
          <w:lang w:val="pl-PL"/>
        </w:rPr>
      </w:pPr>
      <w:r>
        <w:rPr>
          <w:rStyle w:val="FootnoteReference"/>
        </w:rPr>
        <w:footnoteRef/>
      </w:r>
      <w:r>
        <w:rPr>
          <w:lang w:val="pl-PL"/>
        </w:rPr>
        <w:tab/>
        <w:t>OJ L 081, 21.3.2001, p.1.</w:t>
      </w:r>
    </w:p>
  </w:footnote>
  <w:footnote w:id="7">
    <w:p>
      <w:pPr>
        <w:pStyle w:val="FootnoteText"/>
        <w:rPr>
          <w:lang w:val="pl-PL"/>
        </w:rPr>
      </w:pPr>
      <w:r>
        <w:rPr>
          <w:rStyle w:val="FootnoteReference"/>
        </w:rPr>
        <w:footnoteRef/>
      </w:r>
      <w:r>
        <w:rPr>
          <w:lang w:val="pl-PL"/>
        </w:rPr>
        <w:tab/>
        <w:t>OJ L 169, 30.6.2009, p.3.</w:t>
      </w:r>
    </w:p>
  </w:footnote>
  <w:footnote w:id="8">
    <w:p>
      <w:pPr>
        <w:pStyle w:val="FootnoteText"/>
      </w:pPr>
      <w:r>
        <w:rPr>
          <w:rStyle w:val="FootnoteReference"/>
        </w:rPr>
        <w:footnoteRef/>
      </w:r>
      <w:r>
        <w:tab/>
        <w:t>OJ L 169, 30.6.2009, p. 24.</w:t>
      </w:r>
    </w:p>
  </w:footnote>
  <w:footnote w:id="9">
    <w:p>
      <w:pPr>
        <w:pStyle w:val="FootnoteText"/>
      </w:pPr>
      <w:r>
        <w:rPr>
          <w:rStyle w:val="FootnoteReference"/>
        </w:rPr>
        <w:footnoteRef/>
      </w:r>
      <w:r>
        <w:tab/>
        <w:t>OJ L 169, 30.6.2009, p. 10.</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17.</w:t>
      </w:r>
    </w:p>
  </w:footnote>
  <w:footnote w:id="12">
    <w:p>
      <w:pPr>
        <w:pStyle w:val="FootnoteText"/>
        <w:rPr>
          <w:lang w:val="pl-PL"/>
        </w:rPr>
      </w:pPr>
      <w:r>
        <w:rPr>
          <w:rStyle w:val="FootnoteReference"/>
        </w:rPr>
        <w:footnoteRef/>
      </w:r>
      <w:r>
        <w:rPr>
          <w:lang w:val="pl-PL"/>
        </w:rPr>
        <w:tab/>
        <w:t>OJ L 169, 30.6.2009, p. 38.</w:t>
      </w:r>
    </w:p>
  </w:footnote>
  <w:footnote w:id="13">
    <w:p>
      <w:pPr>
        <w:pStyle w:val="FootnoteText"/>
        <w:rPr>
          <w:lang w:val="pl-PL"/>
        </w:rPr>
      </w:pPr>
      <w:r>
        <w:rPr>
          <w:rStyle w:val="FootnoteReference"/>
        </w:rPr>
        <w:footnoteRef/>
      </w:r>
      <w:r>
        <w:rPr>
          <w:lang w:val="pl-PL"/>
        </w:rPr>
        <w:tab/>
        <w:t>OJ L 169, 30.6.2009, p. 31.</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 xml:space="preserve">COM(2014) 468 final. </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19">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0">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7: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45551DB7BB44F9CB86525C5A7F88B5B"/>
    <w:docVar w:name="LW_CROSSREFERENCE" w:val="&lt;UNUSED&gt;"/>
    <w:docVar w:name="LW_DocType" w:val="COM"/>
    <w:docVar w:name="LW_EMISSION" w:val="27.7.2017"/>
    <w:docVar w:name="LW_EMISSION_ISODATE" w:val="2017-07-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78"/>
    <w:docVar w:name="LW_REF.II.NEW.CP_YEAR" w:val="2017"/>
    <w:docVar w:name="LW_REF.INST.NEW" w:val="COM"/>
    <w:docVar w:name="LW_REF.INST.NEW_ADOPTED" w:val="final"/>
    <w:docVar w:name="LW_REF.INST.NEW_TEXT" w:val="(2017) 389"/>
    <w:docVar w:name="LW_REF.INTERNE" w:val="&lt;UNUSED&gt;"/>
    <w:docVar w:name="LW_SOUS.TITRE.OBJ.CP" w:val="&lt;UNUSED&gt;"/>
    <w:docVar w:name="LW_STATUT.CP" w:val="Proposal for a"/>
    <w:docVar w:name="LW_SUPERTITRE" w:val="&lt;UNUSED&gt;"/>
    <w:docVar w:name="LW_TITRE.OBJ.CP" w:val="on the signing of the Agreement between the European Union and the Republic of Mauritius amending the Agreement between the European Community and the Republic of Mauritius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1998</Words>
  <Characters>10651</Characters>
  <Application>Microsoft Office Word</Application>
  <DocSecurity>0</DocSecurity>
  <Lines>190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2017-07-03T10:34:00Z</dcterms:created>
  <dcterms:modified xsi:type="dcterms:W3CDTF">2017-07-19T07:57:00Z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