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26DD61B6434FC6913C2C7D9E1EE725"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Федерация Сейнт Китс и Невис приключиха успешно с парафирането на споразумението за изменение на 28 юли 2016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Сейнт Китс и Невис.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внася до Съвета с цел той да разреши подписването на споразумението за изменение на Споразумението между Европейската общност и Федерация Сейнт Китс и Невис за отмяна на визовия режим за краткосрочно пребиваване.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 xml:space="preserve">Съюзът няма правомощие да изменя споразумения за отмяна на визовия режим,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w:t>
      </w:r>
      <w:r>
        <w:rPr>
          <w:noProof/>
        </w:rPr>
        <w:lastRenderedPageBreak/>
        <w:t>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Сейнт Китс и Невис,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със Сейнт Китс и Невис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Федерация Сейнт Китс и Невис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Федерация Сейнт Китс и Невис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Сейнт Китс и Невис, когато пътуват до територията на другата договаряща се страна за период, не по-дълъг от 90 дни в рамките на всеки 180-дневен </w:t>
      </w:r>
      <w:r>
        <w:rPr>
          <w:noProof/>
        </w:rPr>
        <w:lastRenderedPageBreak/>
        <w:t xml:space="preserve">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между Европейския съюз и Федерация Сейнт Китс и Невис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със Сейнт Китс и Невис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Федерация Сейнт Китс и Невис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 xml:space="preserve">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w:t>
      </w:r>
      <w:r>
        <w:rPr>
          <w:noProof/>
        </w:rPr>
        <w:lastRenderedPageBreak/>
        <w:t>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Европейската общност и Федерация Сейнт Китс и Невис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r>
        <w:rPr>
          <w:noProof/>
        </w:rPr>
        <w:tab/>
      </w:r>
    </w:p>
    <w:p>
      <w:pPr>
        <w:pStyle w:val="Rfrenceinterinstitutionnelle"/>
        <w:rPr>
          <w:noProof/>
        </w:rPr>
      </w:pPr>
      <w:r>
        <w:rPr>
          <w:noProof/>
        </w:rPr>
        <w:lastRenderedPageBreak/>
        <w:t>2017/0175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на Споразумението между Европейския съюз и Федерация Сейнт Китс и Невис за изменение на Споразумението между Европейската общност и Федерация Сейнт Китс и Невис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от 30 ноември 2009 г. Съветът сключи Споразумението между Европейската общност и Федерация Сейнт Китс и Невис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Сейнт Китс и Невис, когато пътуват до територията на другата договаряща се страна за „максимален период от три месеца в продължение на шестмесечен период“.</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8"/>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Федерация Сейнт Китс и Невис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 xml:space="preserve">На 9 октомври 2014 г. Съветът прие решение, с което упълномощи Комисията да започне преговори  по споразумение за изменение на Споразумението между Европейската общност и Федерация Сейнт Китс и Невис за отмяна на визовия режим за краткосрочно пребиваване (наричано по-нататък „Споразумението“). </w:t>
      </w:r>
    </w:p>
    <w:p>
      <w:pPr>
        <w:pStyle w:val="ManualConsidrant"/>
        <w:rPr>
          <w:noProof/>
        </w:rPr>
      </w:pPr>
      <w:r>
        <w:lastRenderedPageBreak/>
        <w:t>(5)</w:t>
      </w:r>
      <w:r>
        <w:tab/>
      </w:r>
      <w:r>
        <w:rPr>
          <w:noProof/>
        </w:rPr>
        <w:t>Преговорите с Федерация Сейнт Китс и Невис по споразумението приключиха успешно с парафирането му чрез размяна на писма на 28 юли 2016 г. от страна на главните преговарящи на ЕС и на Федерация Сейнт Китс и Невис.</w:t>
      </w:r>
    </w:p>
    <w:p>
      <w:pPr>
        <w:pStyle w:val="ManualConsidrant"/>
        <w:rPr>
          <w:noProof/>
        </w:rPr>
      </w:pPr>
      <w:r>
        <w:t>(6)</w:t>
      </w:r>
      <w:r>
        <w:tab/>
      </w:r>
      <w:r>
        <w:rPr>
          <w:noProof/>
        </w:rPr>
        <w:t>Споразумението следва да бъде подписано и декларациите, приложени към Споразумението, следва да бъдат одобрени от името на Съюза.</w:t>
      </w:r>
    </w:p>
    <w:p>
      <w:pPr>
        <w:pStyle w:val="ManualConsidrant"/>
        <w:rPr>
          <w:noProof/>
        </w:rPr>
      </w:pPr>
      <w:r>
        <w:t>(7)</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9"/>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(8)</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0"/>
      </w:r>
      <w:r>
        <w:rPr>
          <w:noProof/>
        </w:rPr>
        <w:t>. Следователно Ирландия не участва в неговото приемане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между Европейския съюз и Федерация Сейнт Китс и Невис за изменение на Споразумението между Европейската общност и Федерация Сейнт Китс и Невис за отмяна на визовия режим за краткосрочно пребиваване (наричано по-нататък „Споразумението“) , при условие че посоченото споразумение бъде сключено.</w:t>
      </w:r>
    </w:p>
    <w:p>
      <w:pPr>
        <w:rPr>
          <w:noProof/>
        </w:rPr>
      </w:pPr>
      <w:r>
        <w:rPr>
          <w:noProof/>
        </w:rPr>
        <w:t>Текстът на Споразумението е приложен към настоящото решение.</w:t>
      </w:r>
    </w:p>
    <w:p>
      <w:pPr>
        <w:pStyle w:val="Titrearticle"/>
        <w:keepNext w:val="0"/>
        <w:rPr>
          <w:noProof/>
          <w:color w:val="0000FF"/>
        </w:rPr>
      </w:pPr>
      <w:r>
        <w:rPr>
          <w:noProof/>
        </w:rPr>
        <w:t xml:space="preserve">Член 2 </w:t>
      </w:r>
    </w:p>
    <w:p>
      <w:pPr>
        <w:keepLines/>
        <w:rPr>
          <w:noProof/>
        </w:rPr>
      </w:pPr>
      <w:r>
        <w:rPr>
          <w:noProof/>
        </w:rPr>
        <w:t>Декларациите, приложени към настоящото решение, се одобряват от името на Съюза.</w:t>
      </w:r>
    </w:p>
    <w:p>
      <w:pPr>
        <w:pStyle w:val="Titrearticle"/>
        <w:keepNext w:val="0"/>
        <w:rPr>
          <w:noProof/>
          <w:color w:val="0000FF"/>
        </w:rPr>
      </w:pPr>
      <w:r>
        <w:rPr>
          <w:noProof/>
        </w:rPr>
        <w:t>Член 3</w:t>
      </w:r>
    </w:p>
    <w:p>
      <w:pPr>
        <w:keepLines/>
        <w:rPr>
          <w:noProof/>
        </w:rPr>
      </w:pPr>
      <w:r>
        <w:rPr>
          <w:noProof/>
        </w:rPr>
        <w:t>Председателят на Съвета е оправомощен да посочи лицето(ата), упълномощено(и) да подпише(ат) Споразумението от името на Съюза.</w:t>
      </w:r>
    </w:p>
    <w:p>
      <w:pPr>
        <w:pStyle w:val="Titrearticle"/>
        <w:rPr>
          <w:noProof/>
          <w:color w:val="0000FF"/>
        </w:rPr>
      </w:pPr>
      <w:r>
        <w:rPr>
          <w:noProof/>
        </w:rPr>
        <w:t>Член 4</w:t>
      </w:r>
    </w:p>
    <w:p>
      <w:pPr>
        <w:keepNext/>
        <w:keepLines/>
        <w:rPr>
          <w:noProof/>
        </w:rPr>
      </w:pPr>
      <w:r>
        <w:rPr>
          <w:noProof/>
        </w:rPr>
        <w:t xml:space="preserve">Настоящото решение влиза в сила в деня на приемането му. </w:t>
      </w:r>
    </w:p>
    <w:p>
      <w:pPr>
        <w:pStyle w:val="Fait"/>
        <w:rPr>
          <w:noProof/>
        </w:rPr>
      </w:pPr>
      <w:r>
        <w:rPr>
          <w:noProof/>
        </w:rPr>
        <w:lastRenderedPageBreak/>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 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rPr>
          <w:lang w:val="pl-PL"/>
        </w:rPr>
        <w:tab/>
        <w:t>O</w:t>
      </w:r>
      <w:r>
        <w:t>В</w:t>
      </w:r>
      <w:r>
        <w:rPr>
          <w:lang w:val="pl-PL"/>
        </w:rPr>
        <w:t xml:space="preserve"> L 105, 13.4.2006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243, 15.9.2009 </w:t>
      </w:r>
      <w:r>
        <w:t>г</w:t>
      </w:r>
      <w:r>
        <w:rPr>
          <w:lang w:val="pl-PL"/>
        </w:rPr>
        <w:t xml:space="preserve">., </w:t>
      </w:r>
      <w:r>
        <w:t>стр</w:t>
      </w:r>
      <w:r>
        <w:rPr>
          <w:lang w:val="pl-PL"/>
        </w:rPr>
        <w:t>. 1.</w:t>
      </w:r>
    </w:p>
  </w:footnote>
  <w:footnote w:id="6">
    <w:p>
      <w:pPr>
        <w:pStyle w:val="FootnoteText"/>
        <w:rPr>
          <w:lang w:val="pl-PL"/>
        </w:rPr>
      </w:pPr>
      <w:r>
        <w:rPr>
          <w:rStyle w:val="FootnoteReference"/>
        </w:rPr>
        <w:footnoteRef/>
      </w:r>
      <w:r>
        <w:rPr>
          <w:lang w:val="pl-PL"/>
        </w:rPr>
        <w:tab/>
        <w:t>O</w:t>
      </w:r>
      <w:r>
        <w:t>В</w:t>
      </w:r>
      <w:r>
        <w:rPr>
          <w:lang w:val="pl-PL"/>
        </w:rPr>
        <w:t xml:space="preserve"> L 081, 21.3.2001 </w:t>
      </w:r>
      <w:r>
        <w:t>г</w:t>
      </w:r>
      <w:r>
        <w:rPr>
          <w:lang w:val="pl-PL"/>
        </w:rPr>
        <w:t xml:space="preserve">., </w:t>
      </w:r>
      <w:r>
        <w:t>стр</w:t>
      </w:r>
      <w:r>
        <w:rPr>
          <w:lang w:val="pl-PL"/>
        </w:rPr>
        <w:t>.1.</w:t>
      </w:r>
    </w:p>
  </w:footnote>
  <w:footnote w:id="7">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w:t>
      </w:r>
    </w:p>
  </w:footnote>
  <w:footnote w:id="8">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24.</w:t>
      </w:r>
    </w:p>
  </w:footnote>
  <w:footnote w:id="9">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10.</w:t>
      </w:r>
    </w:p>
  </w:footnote>
  <w:footnote w:id="10">
    <w:p>
      <w:pPr>
        <w:pStyle w:val="FootnoteText"/>
        <w:rPr>
          <w:lang w:val="pl-PL"/>
        </w:rPr>
      </w:pPr>
      <w:r>
        <w:rPr>
          <w:rStyle w:val="FootnoteReference"/>
        </w:rPr>
        <w:footnoteRef/>
      </w:r>
      <w:r>
        <w:rPr>
          <w:lang w:val="pl-PL"/>
        </w:rPr>
        <w:tab/>
      </w:r>
      <w:r>
        <w:t>С</w:t>
      </w:r>
      <w:r>
        <w:rPr>
          <w:lang w:val="pl-PL"/>
        </w:rPr>
        <w:t xml:space="preserve"> </w:t>
      </w:r>
      <w:r>
        <w:t>Бразилия</w:t>
      </w:r>
      <w:r>
        <w:rPr>
          <w:lang w:val="pl-PL"/>
        </w:rPr>
        <w:t xml:space="preserve"> </w:t>
      </w:r>
      <w:r>
        <w:t>ЕС</w:t>
      </w:r>
      <w:r>
        <w:rPr>
          <w:lang w:val="pl-PL"/>
        </w:rPr>
        <w:t xml:space="preserve"> </w:t>
      </w:r>
      <w:r>
        <w:t>е</w:t>
      </w:r>
      <w:r>
        <w:rPr>
          <w:lang w:val="pl-PL"/>
        </w:rPr>
        <w:t xml:space="preserve"> </w:t>
      </w:r>
      <w:r>
        <w:t>сключил</w:t>
      </w:r>
      <w:r>
        <w:rPr>
          <w:lang w:val="pl-PL"/>
        </w:rPr>
        <w:t xml:space="preserve"> </w:t>
      </w:r>
      <w:r>
        <w:t>две</w:t>
      </w:r>
      <w:r>
        <w:rPr>
          <w:lang w:val="pl-PL"/>
        </w:rPr>
        <w:t xml:space="preserve"> </w:t>
      </w:r>
      <w:r>
        <w:t>споразумения</w:t>
      </w:r>
      <w:r>
        <w:rPr>
          <w:lang w:val="pl-PL"/>
        </w:rPr>
        <w:t xml:space="preserve"> — </w:t>
      </w:r>
      <w:r>
        <w:t>едното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обикновени</w:t>
      </w:r>
      <w:r>
        <w:rPr>
          <w:lang w:val="pl-PL"/>
        </w:rPr>
        <w:t xml:space="preserve"> </w:t>
      </w:r>
      <w:r>
        <w:t>паспорти</w:t>
      </w:r>
      <w:r>
        <w:rPr>
          <w:lang w:val="pl-PL"/>
        </w:rPr>
        <w:t xml:space="preserve"> (</w:t>
      </w:r>
      <w:r>
        <w:t>ОВ</w:t>
      </w:r>
      <w:r>
        <w:rPr>
          <w:lang w:val="pl-PL"/>
        </w:rPr>
        <w:t xml:space="preserve"> L 255, 21.9.2012 </w:t>
      </w:r>
      <w:r>
        <w:t>г</w:t>
      </w:r>
      <w:r>
        <w:rPr>
          <w:lang w:val="pl-PL"/>
        </w:rPr>
        <w:t xml:space="preserve">., </w:t>
      </w:r>
      <w:r>
        <w:t>стр</w:t>
      </w:r>
      <w:r>
        <w:rPr>
          <w:lang w:val="pl-PL"/>
        </w:rPr>
        <w:t xml:space="preserve">. 4), </w:t>
      </w:r>
      <w:r>
        <w:t>а</w:t>
      </w:r>
      <w:r>
        <w:rPr>
          <w:lang w:val="pl-PL"/>
        </w:rPr>
        <w:t xml:space="preserve"> </w:t>
      </w:r>
      <w:r>
        <w:t>другото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дипломатически</w:t>
      </w:r>
      <w:r>
        <w:rPr>
          <w:lang w:val="pl-PL"/>
        </w:rPr>
        <w:t xml:space="preserve">, </w:t>
      </w:r>
      <w:r>
        <w:t>служебни</w:t>
      </w:r>
      <w:r>
        <w:rPr>
          <w:lang w:val="pl-PL"/>
        </w:rPr>
        <w:t xml:space="preserve"> </w:t>
      </w:r>
      <w:r>
        <w:t>и</w:t>
      </w:r>
      <w:r>
        <w:rPr>
          <w:lang w:val="pl-PL"/>
        </w:rPr>
        <w:t xml:space="preserve"> </w:t>
      </w:r>
      <w:r>
        <w:t>официални</w:t>
      </w:r>
      <w:r>
        <w:rPr>
          <w:lang w:val="pl-PL"/>
        </w:rPr>
        <w:t xml:space="preserve"> </w:t>
      </w:r>
      <w:r>
        <w:t>паспорти</w:t>
      </w:r>
      <w:r>
        <w:rPr>
          <w:lang w:val="pl-PL"/>
        </w:rPr>
        <w:t xml:space="preserve"> (</w:t>
      </w:r>
      <w:r>
        <w:t>ОВ</w:t>
      </w:r>
      <w:r>
        <w:rPr>
          <w:lang w:val="pl-PL"/>
        </w:rPr>
        <w:t xml:space="preserve"> L 66, 12.3.2011 </w:t>
      </w:r>
      <w:r>
        <w:t>г</w:t>
      </w:r>
      <w:r>
        <w:rPr>
          <w:lang w:val="pl-PL"/>
        </w:rPr>
        <w:t xml:space="preserve">., </w:t>
      </w:r>
      <w:r>
        <w:t>стр</w:t>
      </w:r>
      <w:r>
        <w:rPr>
          <w:lang w:val="pl-PL"/>
        </w:rPr>
        <w:t>. 2).</w:t>
      </w:r>
    </w:p>
  </w:footnote>
  <w:footnote w:id="11">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17.</w:t>
      </w:r>
    </w:p>
  </w:footnote>
  <w:footnote w:id="12">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38.</w:t>
      </w:r>
    </w:p>
  </w:footnote>
  <w:footnote w:id="13">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31.</w:t>
      </w:r>
    </w:p>
  </w:footnote>
  <w:footnote w:id="14">
    <w:p>
      <w:pPr>
        <w:pStyle w:val="FootnoteText"/>
        <w:rPr>
          <w:lang w:val="pl-PL"/>
        </w:rPr>
      </w:pPr>
      <w:r>
        <w:rPr>
          <w:rStyle w:val="FootnoteReference"/>
        </w:rPr>
        <w:footnoteRef/>
      </w:r>
      <w:r>
        <w:rPr>
          <w:lang w:val="pl-PL"/>
        </w:rPr>
        <w:tab/>
      </w:r>
      <w:r>
        <w:t>Вж</w:t>
      </w:r>
      <w:r>
        <w:rPr>
          <w:lang w:val="pl-PL"/>
        </w:rPr>
        <w:t xml:space="preserve">. </w:t>
      </w:r>
      <w:r>
        <w:t>разпоредбите</w:t>
      </w:r>
      <w:r>
        <w:rPr>
          <w:lang w:val="pl-PL"/>
        </w:rPr>
        <w:t xml:space="preserve"> </w:t>
      </w:r>
      <w:r>
        <w:t>за</w:t>
      </w:r>
      <w:r>
        <w:rPr>
          <w:lang w:val="pl-PL"/>
        </w:rPr>
        <w:t xml:space="preserve"> „</w:t>
      </w:r>
      <w:r>
        <w:t>Цел</w:t>
      </w:r>
      <w:r>
        <w:rPr>
          <w:lang w:val="pl-PL"/>
        </w:rPr>
        <w:t xml:space="preserve">“ </w:t>
      </w:r>
      <w:r>
        <w:t>и</w:t>
      </w:r>
      <w:r>
        <w:rPr>
          <w:lang w:val="pl-PL"/>
        </w:rPr>
        <w:t xml:space="preserve"> „</w:t>
      </w:r>
      <w:r>
        <w:t>Продължителност</w:t>
      </w:r>
      <w:r>
        <w:rPr>
          <w:lang w:val="pl-PL"/>
        </w:rPr>
        <w:t xml:space="preserve"> </w:t>
      </w:r>
      <w:r>
        <w:t>на</w:t>
      </w:r>
      <w:r>
        <w:rPr>
          <w:lang w:val="pl-PL"/>
        </w:rPr>
        <w:t xml:space="preserve"> </w:t>
      </w:r>
      <w:r>
        <w:t>престоя</w:t>
      </w:r>
      <w:r>
        <w:rPr>
          <w:lang w:val="pl-PL"/>
        </w:rPr>
        <w:t xml:space="preserve">“ </w:t>
      </w:r>
      <w:r>
        <w:t>в</w:t>
      </w:r>
      <w:r>
        <w:rPr>
          <w:lang w:val="pl-PL"/>
        </w:rPr>
        <w:t xml:space="preserve"> </w:t>
      </w:r>
      <w:r>
        <w:t>споразуменията</w:t>
      </w:r>
      <w:r>
        <w:rPr>
          <w:lang w:val="pl-PL"/>
        </w:rPr>
        <w:t>.</w:t>
      </w:r>
    </w:p>
  </w:footnote>
  <w:footnote w:id="15">
    <w:p>
      <w:pPr>
        <w:pStyle w:val="FootnoteText"/>
        <w:rPr>
          <w:lang w:val="pl-PL"/>
        </w:rPr>
      </w:pPr>
      <w:r>
        <w:rPr>
          <w:rStyle w:val="FootnoteReference"/>
        </w:rPr>
        <w:footnoteRef/>
      </w:r>
      <w:r>
        <w:rPr>
          <w:lang w:val="pl-PL"/>
        </w:rPr>
        <w:tab/>
        <w:t xml:space="preserve">COM(2014) 468 final. </w:t>
      </w:r>
    </w:p>
  </w:footnote>
  <w:footnote w:id="16">
    <w:p>
      <w:pPr>
        <w:pStyle w:val="FootnoteText"/>
        <w:rPr>
          <w:lang w:val="pl-PL"/>
        </w:rPr>
      </w:pPr>
      <w:r>
        <w:rPr>
          <w:rStyle w:val="FootnoteReference"/>
        </w:rPr>
        <w:footnoteRef/>
      </w:r>
      <w:r>
        <w:rPr>
          <w:lang w:val="pl-PL"/>
        </w:rPr>
        <w:tab/>
      </w:r>
      <w:r>
        <w:t>Решение</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разрешаване</w:t>
      </w:r>
      <w:r>
        <w:rPr>
          <w:lang w:val="pl-PL"/>
        </w:rPr>
        <w:t xml:space="preserve"> </w:t>
      </w:r>
      <w:r>
        <w:t>на</w:t>
      </w:r>
      <w:r>
        <w:rPr>
          <w:lang w:val="pl-PL"/>
        </w:rPr>
        <w:t xml:space="preserve"> </w:t>
      </w:r>
      <w:r>
        <w:t>Комисията</w:t>
      </w:r>
      <w:r>
        <w:rPr>
          <w:lang w:val="pl-PL"/>
        </w:rPr>
        <w:t xml:space="preserve"> </w:t>
      </w:r>
      <w:r>
        <w:t>да</w:t>
      </w:r>
      <w:r>
        <w:rPr>
          <w:lang w:val="pl-PL"/>
        </w:rPr>
        <w:t xml:space="preserve"> </w:t>
      </w:r>
      <w:r>
        <w:t>започне</w:t>
      </w:r>
      <w:r>
        <w:rPr>
          <w:lang w:val="pl-PL"/>
        </w:rPr>
        <w:t xml:space="preserve"> </w:t>
      </w:r>
      <w:r>
        <w:t>преговори</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споразуменията</w:t>
      </w:r>
      <w:r>
        <w:rPr>
          <w:lang w:val="pl-PL"/>
        </w:rPr>
        <w:t xml:space="preserve"> </w:t>
      </w:r>
      <w:r>
        <w:t>относно</w:t>
      </w:r>
      <w:r>
        <w:rPr>
          <w:lang w:val="pl-PL"/>
        </w:rPr>
        <w:t xml:space="preserve"> </w:t>
      </w:r>
      <w:r>
        <w:t>отмяна</w:t>
      </w:r>
      <w:r>
        <w:rPr>
          <w:lang w:val="pl-PL"/>
        </w:rPr>
        <w:t xml:space="preserve"> </w:t>
      </w:r>
      <w:r>
        <w:t>на</w:t>
      </w:r>
      <w:r>
        <w:rPr>
          <w:lang w:val="pl-PL"/>
        </w:rPr>
        <w:t xml:space="preserve"> </w:t>
      </w:r>
      <w:r>
        <w:t>визовия</w:t>
      </w:r>
      <w:r>
        <w:rPr>
          <w:lang w:val="pl-PL"/>
        </w:rPr>
        <w:t xml:space="preserve"> </w:t>
      </w:r>
      <w:r>
        <w:t>режим</w:t>
      </w:r>
      <w:r>
        <w:rPr>
          <w:lang w:val="pl-PL"/>
        </w:rPr>
        <w:t xml:space="preserve"> </w:t>
      </w:r>
      <w:r>
        <w:t>за</w:t>
      </w:r>
      <w:r>
        <w:rPr>
          <w:lang w:val="pl-PL"/>
        </w:rPr>
        <w:t xml:space="preserve"> </w:t>
      </w:r>
      <w:r>
        <w:t>краткосрочно</w:t>
      </w:r>
      <w:r>
        <w:rPr>
          <w:lang w:val="pl-PL"/>
        </w:rPr>
        <w:t xml:space="preserve"> </w:t>
      </w:r>
      <w:r>
        <w:t>пребиваване</w:t>
      </w:r>
      <w:r>
        <w:rPr>
          <w:lang w:val="pl-PL"/>
        </w:rPr>
        <w:t xml:space="preserve">, </w:t>
      </w:r>
      <w:r>
        <w:t>сключени</w:t>
      </w:r>
      <w:r>
        <w:rPr>
          <w:lang w:val="pl-PL"/>
        </w:rPr>
        <w:t xml:space="preserve"> </w:t>
      </w:r>
      <w:r>
        <w:t>между</w:t>
      </w:r>
      <w:r>
        <w:rPr>
          <w:lang w:val="pl-PL"/>
        </w:rPr>
        <w:t xml:space="preserve"> </w:t>
      </w:r>
      <w:r>
        <w:t>Европейския</w:t>
      </w:r>
      <w:r>
        <w:rPr>
          <w:lang w:val="pl-PL"/>
        </w:rPr>
        <w:t xml:space="preserve"> </w:t>
      </w:r>
      <w:r>
        <w:t>съюз</w:t>
      </w:r>
      <w:r>
        <w:rPr>
          <w:lang w:val="pl-PL"/>
        </w:rPr>
        <w:t>/</w:t>
      </w:r>
      <w:r>
        <w:t>Европейската</w:t>
      </w:r>
      <w:r>
        <w:rPr>
          <w:lang w:val="pl-PL"/>
        </w:rPr>
        <w:t xml:space="preserve"> </w:t>
      </w:r>
      <w:r>
        <w:t>общност</w:t>
      </w:r>
      <w:r>
        <w:rPr>
          <w:lang w:val="pl-PL"/>
        </w:rPr>
        <w:t xml:space="preserve"> </w:t>
      </w:r>
      <w:r>
        <w:t>и</w:t>
      </w:r>
      <w:r>
        <w:rPr>
          <w:lang w:val="pl-PL"/>
        </w:rPr>
        <w:t xml:space="preserve"> </w:t>
      </w:r>
      <w:r>
        <w:t>Антигуа</w:t>
      </w:r>
      <w:r>
        <w:rPr>
          <w:lang w:val="pl-PL"/>
        </w:rPr>
        <w:t xml:space="preserve"> </w:t>
      </w:r>
      <w:r>
        <w:t>и</w:t>
      </w:r>
      <w:r>
        <w:rPr>
          <w:lang w:val="pl-PL"/>
        </w:rPr>
        <w:t xml:space="preserve"> </w:t>
      </w:r>
      <w:r>
        <w:t>Барбуда</w:t>
      </w:r>
      <w:r>
        <w:rPr>
          <w:lang w:val="pl-PL"/>
        </w:rPr>
        <w:t xml:space="preserve">, </w:t>
      </w:r>
      <w:r>
        <w:t>Бахамската</w:t>
      </w:r>
      <w:r>
        <w:rPr>
          <w:lang w:val="pl-PL"/>
        </w:rPr>
        <w:t xml:space="preserve"> </w:t>
      </w:r>
      <w:r>
        <w:t>общност</w:t>
      </w:r>
      <w:r>
        <w:rPr>
          <w:lang w:val="pl-PL"/>
        </w:rPr>
        <w:t xml:space="preserve">, </w:t>
      </w:r>
      <w:r>
        <w:t>Барбадос</w:t>
      </w:r>
      <w:r>
        <w:rPr>
          <w:lang w:val="pl-PL"/>
        </w:rPr>
        <w:t xml:space="preserve">, </w:t>
      </w:r>
      <w:r>
        <w:t>Федеративна</w:t>
      </w:r>
      <w:r>
        <w:rPr>
          <w:lang w:val="pl-PL"/>
        </w:rPr>
        <w:t xml:space="preserve"> </w:t>
      </w:r>
      <w:r>
        <w:t>република</w:t>
      </w:r>
      <w:r>
        <w:rPr>
          <w:lang w:val="pl-PL"/>
        </w:rPr>
        <w:t xml:space="preserve"> </w:t>
      </w:r>
      <w:r>
        <w:t>Бразилия</w:t>
      </w:r>
      <w:r>
        <w:rPr>
          <w:lang w:val="pl-PL"/>
        </w:rPr>
        <w:t xml:space="preserve">, </w:t>
      </w:r>
      <w:r>
        <w:t>Република</w:t>
      </w:r>
      <w:r>
        <w:rPr>
          <w:lang w:val="pl-PL"/>
        </w:rPr>
        <w:t xml:space="preserve"> </w:t>
      </w:r>
      <w:r>
        <w:t>Мавриций</w:t>
      </w:r>
      <w:r>
        <w:rPr>
          <w:lang w:val="pl-PL"/>
        </w:rPr>
        <w:t xml:space="preserve">, </w:t>
      </w:r>
      <w:r>
        <w:t>Федерация</w:t>
      </w:r>
      <w:r>
        <w:rPr>
          <w:lang w:val="pl-PL"/>
        </w:rPr>
        <w:t xml:space="preserve"> </w:t>
      </w:r>
      <w:r>
        <w:t>Сейнт</w:t>
      </w:r>
      <w:r>
        <w:rPr>
          <w:lang w:val="pl-PL"/>
        </w:rPr>
        <w:t xml:space="preserve"> </w:t>
      </w:r>
      <w:r>
        <w:t>Китс</w:t>
      </w:r>
      <w:r>
        <w:rPr>
          <w:lang w:val="pl-PL"/>
        </w:rPr>
        <w:t xml:space="preserve"> </w:t>
      </w:r>
      <w:r>
        <w:t>и</w:t>
      </w:r>
      <w:r>
        <w:rPr>
          <w:lang w:val="pl-PL"/>
        </w:rPr>
        <w:t xml:space="preserve"> </w:t>
      </w:r>
      <w:r>
        <w:t>Невис</w:t>
      </w:r>
      <w:r>
        <w:rPr>
          <w:lang w:val="pl-PL"/>
        </w:rPr>
        <w:t xml:space="preserve"> </w:t>
      </w:r>
      <w:r>
        <w:t>и</w:t>
      </w:r>
      <w:r>
        <w:rPr>
          <w:lang w:val="pl-PL"/>
        </w:rPr>
        <w:t xml:space="preserve"> </w:t>
      </w:r>
      <w:r>
        <w:t>Република</w:t>
      </w:r>
      <w:r>
        <w:rPr>
          <w:lang w:val="pl-PL"/>
        </w:rPr>
        <w:t xml:space="preserve"> </w:t>
      </w:r>
      <w:r>
        <w:t>Сейшели</w:t>
      </w:r>
      <w:r>
        <w:rPr>
          <w:lang w:val="pl-PL"/>
        </w:rPr>
        <w:t xml:space="preserve">, </w:t>
      </w:r>
      <w:r>
        <w:t>прието</w:t>
      </w:r>
      <w:r>
        <w:rPr>
          <w:lang w:val="pl-PL"/>
        </w:rPr>
        <w:t xml:space="preserve"> </w:t>
      </w:r>
      <w:r>
        <w:t>от</w:t>
      </w:r>
      <w:r>
        <w:rPr>
          <w:lang w:val="pl-PL"/>
        </w:rPr>
        <w:t xml:space="preserve"> </w:t>
      </w:r>
      <w:r>
        <w:t>Съвета</w:t>
      </w:r>
      <w:r>
        <w:rPr>
          <w:lang w:val="pl-PL"/>
        </w:rPr>
        <w:t xml:space="preserve"> </w:t>
      </w:r>
      <w:r>
        <w:t>на</w:t>
      </w:r>
      <w:r>
        <w:rPr>
          <w:lang w:val="pl-PL"/>
        </w:rPr>
        <w:t xml:space="preserve"> 9.10.2014 </w:t>
      </w:r>
      <w:r>
        <w:t>г</w:t>
      </w:r>
      <w:r>
        <w:rPr>
          <w:lang w:val="pl-PL"/>
        </w:rPr>
        <w:t>.</w:t>
      </w:r>
    </w:p>
  </w:footnote>
  <w:footnote w:id="17">
    <w:p>
      <w:pPr>
        <w:pStyle w:val="FootnoteText"/>
        <w:rPr>
          <w:lang w:val="pl-PL"/>
        </w:rPr>
      </w:pPr>
      <w:r>
        <w:rPr>
          <w:rStyle w:val="FootnoteReference"/>
        </w:rPr>
        <w:footnoteRef/>
      </w:r>
      <w:r>
        <w:rPr>
          <w:lang w:val="pl-PL"/>
        </w:rPr>
        <w:tab/>
        <w:t>COM(2016)194 final.</w:t>
      </w:r>
    </w:p>
  </w:footnote>
  <w:footnote w:id="18">
    <w:p>
      <w:pPr>
        <w:pStyle w:val="FootnoteText"/>
        <w:rPr>
          <w:rStyle w:val="FootnoteReference"/>
          <w:b/>
          <w:lang w:val="pl-PL"/>
        </w:rPr>
      </w:pPr>
      <w:r>
        <w:rPr>
          <w:rStyle w:val="FootnoteReference"/>
        </w:rPr>
        <w:footnoteRef/>
      </w:r>
      <w:r>
        <w:rPr>
          <w:lang w:val="pl-PL"/>
        </w:rPr>
        <w:tab/>
      </w:r>
      <w:r>
        <w:t>Регламент</w:t>
      </w:r>
      <w:r>
        <w:rPr>
          <w:lang w:val="pl-PL"/>
        </w:rPr>
        <w:t xml:space="preserve"> (</w:t>
      </w:r>
      <w:r>
        <w:t>ЕС</w:t>
      </w:r>
      <w:r>
        <w:rPr>
          <w:lang w:val="pl-PL"/>
        </w:rPr>
        <w:t xml:space="preserve">) № 610/2013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от</w:t>
      </w:r>
      <w:r>
        <w:rPr>
          <w:lang w:val="pl-PL"/>
        </w:rPr>
        <w:t xml:space="preserve"> 26 </w:t>
      </w:r>
      <w:r>
        <w:t>юни</w:t>
      </w:r>
      <w:r>
        <w:rPr>
          <w:lang w:val="pl-PL"/>
        </w:rPr>
        <w:t xml:space="preserve"> 2013 </w:t>
      </w:r>
      <w:r>
        <w:t>година</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Регламент</w:t>
      </w:r>
      <w:r>
        <w:rPr>
          <w:lang w:val="pl-PL"/>
        </w:rPr>
        <w:t xml:space="preserve"> (</w:t>
      </w:r>
      <w:r>
        <w:t>ЕО</w:t>
      </w:r>
      <w:r>
        <w:rPr>
          <w:lang w:val="pl-PL"/>
        </w:rPr>
        <w:t xml:space="preserve">) № 562/2006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създаване</w:t>
      </w:r>
      <w:r>
        <w:rPr>
          <w:lang w:val="pl-PL"/>
        </w:rPr>
        <w:t xml:space="preserve"> </w:t>
      </w:r>
      <w:r>
        <w:t>на</w:t>
      </w:r>
      <w:r>
        <w:rPr>
          <w:lang w:val="pl-PL"/>
        </w:rPr>
        <w:t xml:space="preserve"> </w:t>
      </w:r>
      <w:r>
        <w:t>Кодекс</w:t>
      </w:r>
      <w:r>
        <w:rPr>
          <w:lang w:val="pl-PL"/>
        </w:rPr>
        <w:t xml:space="preserve"> </w:t>
      </w:r>
      <w:r>
        <w:t>на</w:t>
      </w:r>
      <w:r>
        <w:rPr>
          <w:lang w:val="pl-PL"/>
        </w:rPr>
        <w:t xml:space="preserve"> </w:t>
      </w:r>
      <w:r>
        <w:t>Общността</w:t>
      </w:r>
      <w:r>
        <w:rPr>
          <w:lang w:val="pl-PL"/>
        </w:rPr>
        <w:t xml:space="preserve"> </w:t>
      </w:r>
      <w:r>
        <w:t>за</w:t>
      </w:r>
      <w:r>
        <w:rPr>
          <w:lang w:val="pl-PL"/>
        </w:rPr>
        <w:t xml:space="preserve"> </w:t>
      </w:r>
      <w:r>
        <w:t>режима</w:t>
      </w:r>
      <w:r>
        <w:rPr>
          <w:lang w:val="pl-PL"/>
        </w:rPr>
        <w:t xml:space="preserve"> </w:t>
      </w:r>
      <w:r>
        <w:t>на</w:t>
      </w:r>
      <w:r>
        <w:rPr>
          <w:lang w:val="pl-PL"/>
        </w:rPr>
        <w:t xml:space="preserve"> </w:t>
      </w:r>
      <w:r>
        <w:t>движение</w:t>
      </w:r>
      <w:r>
        <w:rPr>
          <w:lang w:val="pl-PL"/>
        </w:rPr>
        <w:t xml:space="preserve"> </w:t>
      </w:r>
      <w:r>
        <w:t>на</w:t>
      </w:r>
      <w:r>
        <w:rPr>
          <w:lang w:val="pl-PL"/>
        </w:rPr>
        <w:t xml:space="preserve"> </w:t>
      </w:r>
      <w:r>
        <w:t>лица</w:t>
      </w:r>
      <w:r>
        <w:rPr>
          <w:lang w:val="pl-PL"/>
        </w:rPr>
        <w:t xml:space="preserve"> </w:t>
      </w:r>
      <w:r>
        <w:t>през</w:t>
      </w:r>
      <w:r>
        <w:rPr>
          <w:lang w:val="pl-PL"/>
        </w:rPr>
        <w:t xml:space="preserve"> </w:t>
      </w:r>
      <w:r>
        <w:t>границите</w:t>
      </w:r>
      <w:r>
        <w:rPr>
          <w:lang w:val="pl-PL"/>
        </w:rPr>
        <w:t xml:space="preserve"> (</w:t>
      </w:r>
      <w:r>
        <w:t>Кодекс</w:t>
      </w:r>
      <w:r>
        <w:rPr>
          <w:lang w:val="pl-PL"/>
        </w:rPr>
        <w:t xml:space="preserve"> </w:t>
      </w:r>
      <w:r>
        <w:t>на</w:t>
      </w:r>
      <w:r>
        <w:rPr>
          <w:lang w:val="pl-PL"/>
        </w:rPr>
        <w:t xml:space="preserve"> </w:t>
      </w:r>
      <w:r>
        <w:t>шенгенските</w:t>
      </w:r>
      <w:r>
        <w:rPr>
          <w:lang w:val="pl-PL"/>
        </w:rPr>
        <w:t xml:space="preserve"> </w:t>
      </w:r>
      <w:r>
        <w:t>граници</w:t>
      </w:r>
      <w:r>
        <w:rPr>
          <w:lang w:val="pl-PL"/>
        </w:rPr>
        <w:t xml:space="preserve">), </w:t>
      </w:r>
      <w:r>
        <w:t>Конвенцията</w:t>
      </w:r>
      <w:r>
        <w:rPr>
          <w:lang w:val="pl-PL"/>
        </w:rPr>
        <w:t xml:space="preserve"> </w:t>
      </w:r>
      <w:r>
        <w:t>за</w:t>
      </w:r>
      <w:r>
        <w:rPr>
          <w:lang w:val="pl-PL"/>
        </w:rPr>
        <w:t xml:space="preserve"> </w:t>
      </w:r>
      <w:r>
        <w:t>прилагане</w:t>
      </w:r>
      <w:r>
        <w:rPr>
          <w:lang w:val="pl-PL"/>
        </w:rPr>
        <w:t xml:space="preserve"> </w:t>
      </w:r>
      <w:r>
        <w:t>на</w:t>
      </w:r>
      <w:r>
        <w:rPr>
          <w:lang w:val="pl-PL"/>
        </w:rPr>
        <w:t xml:space="preserve"> </w:t>
      </w:r>
      <w:r>
        <w:t>Споразумението</w:t>
      </w:r>
      <w:r>
        <w:rPr>
          <w:lang w:val="pl-PL"/>
        </w:rPr>
        <w:t xml:space="preserve"> </w:t>
      </w:r>
      <w:r>
        <w:t>от</w:t>
      </w:r>
      <w:r>
        <w:rPr>
          <w:lang w:val="pl-PL"/>
        </w:rPr>
        <w:t xml:space="preserve"> </w:t>
      </w:r>
      <w:r>
        <w:t>Шенген</w:t>
      </w:r>
      <w:r>
        <w:rPr>
          <w:lang w:val="pl-PL"/>
        </w:rPr>
        <w:t xml:space="preserve">, </w:t>
      </w:r>
      <w:r>
        <w:t>регламенти</w:t>
      </w:r>
      <w:r>
        <w:rPr>
          <w:lang w:val="pl-PL"/>
        </w:rPr>
        <w:t xml:space="preserve"> (</w:t>
      </w:r>
      <w:r>
        <w:t>ЕО</w:t>
      </w:r>
      <w:r>
        <w:rPr>
          <w:lang w:val="pl-PL"/>
        </w:rPr>
        <w:t xml:space="preserve">) № 1683/95 </w:t>
      </w:r>
      <w:r>
        <w:t>и</w:t>
      </w:r>
      <w:r>
        <w:rPr>
          <w:lang w:val="pl-PL"/>
        </w:rPr>
        <w:t xml:space="preserve"> (</w:t>
      </w:r>
      <w:r>
        <w:t>ЕО</w:t>
      </w:r>
      <w:r>
        <w:rPr>
          <w:lang w:val="pl-PL"/>
        </w:rPr>
        <w:t xml:space="preserve">) № 539/2001 </w:t>
      </w:r>
      <w:r>
        <w:t>на</w:t>
      </w:r>
      <w:r>
        <w:rPr>
          <w:lang w:val="pl-PL"/>
        </w:rPr>
        <w:t xml:space="preserve"> </w:t>
      </w:r>
      <w:r>
        <w:t>Съвета</w:t>
      </w:r>
      <w:r>
        <w:rPr>
          <w:lang w:val="pl-PL"/>
        </w:rPr>
        <w:t xml:space="preserve"> </w:t>
      </w:r>
      <w:r>
        <w:t>и</w:t>
      </w:r>
      <w:r>
        <w:rPr>
          <w:lang w:val="pl-PL"/>
        </w:rPr>
        <w:t xml:space="preserve"> </w:t>
      </w:r>
      <w:r>
        <w:t>регламенти</w:t>
      </w:r>
      <w:r>
        <w:rPr>
          <w:lang w:val="pl-PL"/>
        </w:rPr>
        <w:t xml:space="preserve"> (</w:t>
      </w:r>
      <w:r>
        <w:t>ЕО</w:t>
      </w:r>
      <w:r>
        <w:rPr>
          <w:lang w:val="pl-PL"/>
        </w:rPr>
        <w:t xml:space="preserve">) № 767/2008 </w:t>
      </w:r>
      <w:r>
        <w:t>и</w:t>
      </w:r>
      <w:r>
        <w:rPr>
          <w:lang w:val="pl-PL"/>
        </w:rPr>
        <w:t xml:space="preserve"> (</w:t>
      </w:r>
      <w:r>
        <w:t>ЕО</w:t>
      </w:r>
      <w:r>
        <w:rPr>
          <w:lang w:val="pl-PL"/>
        </w:rPr>
        <w:t xml:space="preserve">) № 810/2009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ОВ</w:t>
      </w:r>
      <w:r>
        <w:rPr>
          <w:lang w:val="pl-PL"/>
        </w:rPr>
        <w:t xml:space="preserve"> L 182, 29.6.2013 </w:t>
      </w:r>
      <w:r>
        <w:t>г</w:t>
      </w:r>
      <w:r>
        <w:rPr>
          <w:lang w:val="pl-PL"/>
        </w:rPr>
        <w:t xml:space="preserve">., </w:t>
      </w:r>
      <w:r>
        <w:t>стр</w:t>
      </w:r>
      <w:r>
        <w:rPr>
          <w:lang w:val="pl-PL"/>
        </w:rPr>
        <w:t>. 1.</w:t>
      </w:r>
    </w:p>
  </w:footnote>
  <w:footnote w:id="19">
    <w:p>
      <w:pPr>
        <w:pStyle w:val="FootnoteText"/>
        <w:rPr>
          <w:lang w:val="pl-PL"/>
        </w:rPr>
      </w:pPr>
      <w:r>
        <w:rPr>
          <w:rStyle w:val="FootnoteReference"/>
        </w:rPr>
        <w:footnoteRef/>
      </w:r>
      <w:r>
        <w:rPr>
          <w:lang w:val="pl-PL"/>
        </w:rPr>
        <w:tab/>
      </w:r>
      <w:r>
        <w:t>Решение</w:t>
      </w:r>
      <w:r>
        <w:rPr>
          <w:lang w:val="pl-PL"/>
        </w:rPr>
        <w:t xml:space="preserve"> 2000/365/</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29 </w:t>
      </w:r>
      <w:r>
        <w:t>май</w:t>
      </w:r>
      <w:r>
        <w:rPr>
          <w:lang w:val="pl-PL"/>
        </w:rPr>
        <w:t xml:space="preserve"> 2000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Обединеното</w:t>
      </w:r>
      <w:r>
        <w:rPr>
          <w:lang w:val="pl-PL"/>
        </w:rPr>
        <w:t xml:space="preserve"> </w:t>
      </w:r>
      <w:r>
        <w:t>кралство</w:t>
      </w:r>
      <w:r>
        <w:rPr>
          <w:lang w:val="pl-PL"/>
        </w:rPr>
        <w:t xml:space="preserve"> </w:t>
      </w:r>
      <w:r>
        <w:t>Великобритания</w:t>
      </w:r>
      <w:r>
        <w:rPr>
          <w:lang w:val="pl-PL"/>
        </w:rPr>
        <w:t xml:space="preserve"> </w:t>
      </w:r>
      <w:r>
        <w:t>и</w:t>
      </w:r>
      <w:r>
        <w:rPr>
          <w:lang w:val="pl-PL"/>
        </w:rPr>
        <w:t xml:space="preserve"> </w:t>
      </w:r>
      <w:r>
        <w:t>Северна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131, 1.6.2000 </w:t>
      </w:r>
      <w:r>
        <w:t>г</w:t>
      </w:r>
      <w:r>
        <w:rPr>
          <w:lang w:val="pl-PL"/>
        </w:rPr>
        <w:t xml:space="preserve">., </w:t>
      </w:r>
      <w:r>
        <w:t>стр</w:t>
      </w:r>
      <w:r>
        <w:rPr>
          <w:lang w:val="pl-PL"/>
        </w:rPr>
        <w:t>. 43).</w:t>
      </w:r>
    </w:p>
  </w:footnote>
  <w:footnote w:id="20">
    <w:p>
      <w:pPr>
        <w:pStyle w:val="FootnoteText"/>
        <w:rPr>
          <w:lang w:val="pl-PL"/>
        </w:rPr>
      </w:pPr>
      <w:r>
        <w:rPr>
          <w:rStyle w:val="FootnoteReference"/>
        </w:rPr>
        <w:footnoteRef/>
      </w:r>
      <w:r>
        <w:rPr>
          <w:lang w:val="pl-PL"/>
        </w:rPr>
        <w:tab/>
      </w:r>
      <w:r>
        <w:t>Решение</w:t>
      </w:r>
      <w:r>
        <w:rPr>
          <w:lang w:val="pl-PL"/>
        </w:rPr>
        <w:t xml:space="preserve"> 2002/192/</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28 </w:t>
      </w:r>
      <w:r>
        <w:t>февруари</w:t>
      </w:r>
      <w:r>
        <w:rPr>
          <w:lang w:val="pl-PL"/>
        </w:rPr>
        <w:t xml:space="preserve"> 2002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64, 7.3.2002 </w:t>
      </w:r>
      <w:r>
        <w:t>г</w:t>
      </w:r>
      <w:r>
        <w:rPr>
          <w:lang w:val="pl-PL"/>
        </w:rPr>
        <w:t xml:space="preserve">., </w:t>
      </w:r>
      <w:r>
        <w:t>стр</w:t>
      </w:r>
      <w:r>
        <w:rPr>
          <w:lang w:val="pl-PL"/>
        </w:rPr>
        <w:t>.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7:31: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226DD61B6434FC6913C2C7D9E1EE725"/>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5"/>
    <w:docVar w:name="LW_REF.II.NEW.CP_YEAR" w:val="2017"/>
    <w:docVar w:name="LW_REF.INST.NEW" w:val="COM"/>
    <w:docVar w:name="LW_REF.INST.NEW_ADOPTED" w:val="final"/>
    <w:docVar w:name="LW_REF.INST.NEW_TEXT" w:val="(2017) 397"/>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5?\u1072? \u1057?\u1087?\u1086?\u1088?\u1072?\u1079?\u1091?\u1084?\u1077?\u1085?\u1080?\u1077?\u1090?\u1086? \u1084?\u1077?\u1078?\u1076?\u1091? \u1045?\u1074?\u1088?\u1086?\u1087?\u1077?\u1081?\u1089?\u1082?\u1080?\u1103? \u1089?\u1098?\u1102?\u1079? \u1080? \u1060?\u1077?\u1076?\u1077?\u1088?\u1072?\u1094?\u1080?\u1103? \u1057?\u1077?\u1081?\u1085?\u1090? \u1050?\u1080?\u1090?\u1089? \u1080? \u1053?\u1077?\u1074?\u1080?\u1089? \u1079?\u1072? \u1080?\u1079?\u1084?\u1077?\u1085?\u1077?\u1085?\u1080?\u1077? \u1085?\u1072? \u1057?\u1087?\u1086?\u1088?\u1072?\u1079?\u1091?\u1084?\u1077?\u1085?\u1080?\u1077?\u1090?\u1086? \u1084?\u1077?\u1078?\u1076?\u1091? \u1045?\u1074?\u1088?\u1086?\u1087?\u1077?\u1081?\u1089?\u1082?\u1072?\u1090?\u1072? \u1086?\u1073?\u1097?\u1085?\u1086?\u1089?\u1090? \u1080? \u1060?\u1077?\u1076?\u1077?\u1088?\u1072?\u1094?\u1080?\u1103? \u1057?\u1077?\u1081?\u1085?\u1090? \u1050?\u1080?\u1090?\u1089? \u1080? \u1053?\u1077?\u1074?\u1080?\u1089?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4965-9CF0-436F-AE5D-30256AFE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2068</Words>
  <Characters>11939</Characters>
  <Application>Microsoft Office Word</Application>
  <DocSecurity>0</DocSecurity>
  <Lines>225</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2017-07-10T14:37:00Z</dcterms:created>
  <dcterms:modified xsi:type="dcterms:W3CDTF">2017-07-19T15:31:00Z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