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2B" w:rsidRDefault="00546F8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7C18597260F4844A74FA8327AEFF6EE" style="width:450.75pt;height:397.5pt">
            <v:imagedata r:id="rId9" o:title=""/>
          </v:shape>
        </w:pict>
      </w:r>
    </w:p>
    <w:p w:rsidR="00CE242B" w:rsidRDefault="00CE242B">
      <w:pPr>
        <w:rPr>
          <w:noProof/>
        </w:rPr>
        <w:sectPr w:rsidR="00CE242B">
          <w:footerReference w:type="default" r:id="rId10"/>
          <w:pgSz w:w="11907" w:h="16839"/>
          <w:pgMar w:top="1134" w:right="1417" w:bottom="1134" w:left="1417" w:header="709" w:footer="709" w:gutter="0"/>
          <w:pgNumType w:start="1"/>
          <w:cols w:space="720"/>
          <w:docGrid w:linePitch="360"/>
        </w:sectPr>
      </w:pPr>
    </w:p>
    <w:p w:rsidR="00CE242B" w:rsidRDefault="00546F8E">
      <w:pPr>
        <w:pStyle w:val="Typedudocument"/>
        <w:rPr>
          <w:noProof/>
        </w:rPr>
      </w:pPr>
      <w:r>
        <w:rPr>
          <w:noProof/>
        </w:rPr>
        <w:lastRenderedPageBreak/>
        <w:t>ПРИЛОЖЕНИЕ</w:t>
      </w:r>
    </w:p>
    <w:p w:rsidR="00CE242B" w:rsidRDefault="00CE242B">
      <w:pPr>
        <w:rPr>
          <w:noProof/>
        </w:rPr>
      </w:pPr>
      <w:bookmarkStart w:id="0" w:name="_GoBack"/>
      <w:bookmarkEnd w:id="0"/>
    </w:p>
    <w:p w:rsidR="00CE242B" w:rsidRDefault="00546F8E">
      <w:pPr>
        <w:jc w:val="center"/>
        <w:rPr>
          <w:b/>
          <w:noProof/>
          <w:szCs w:val="24"/>
        </w:rPr>
      </w:pPr>
      <w:r>
        <w:rPr>
          <w:b/>
          <w:noProof/>
        </w:rPr>
        <w:lastRenderedPageBreak/>
        <w:t>СПОРАЗУМЕНИЕ</w:t>
      </w:r>
    </w:p>
    <w:p w:rsidR="00CE242B" w:rsidRDefault="00546F8E">
      <w:pPr>
        <w:jc w:val="center"/>
        <w:rPr>
          <w:b/>
          <w:noProof/>
          <w:szCs w:val="24"/>
        </w:rPr>
      </w:pPr>
      <w:r>
        <w:rPr>
          <w:b/>
          <w:noProof/>
        </w:rPr>
        <w:t xml:space="preserve">между Европейския съюз и </w:t>
      </w:r>
      <w:r>
        <w:rPr>
          <w:rStyle w:val="Strong"/>
          <w:noProof/>
        </w:rPr>
        <w:t>Антигуа и Барбуда</w:t>
      </w:r>
      <w:r>
        <w:rPr>
          <w:b/>
          <w:noProof/>
        </w:rPr>
        <w:t xml:space="preserve"> за изменение на Споразумението между Ев</w:t>
      </w:r>
      <w:r>
        <w:rPr>
          <w:b/>
          <w:noProof/>
        </w:rPr>
        <w:t xml:space="preserve">ропейската общност и </w:t>
      </w:r>
      <w:r>
        <w:rPr>
          <w:rStyle w:val="Strong"/>
          <w:noProof/>
        </w:rPr>
        <w:t>Антигуа и Барбуда</w:t>
      </w:r>
      <w:r>
        <w:rPr>
          <w:b/>
          <w:noProof/>
        </w:rPr>
        <w:t xml:space="preserve"> за отмяна на визовия режим за краткосрочно пребиваване</w:t>
      </w:r>
    </w:p>
    <w:p w:rsidR="00CE242B" w:rsidRDefault="00546F8E">
      <w:pPr>
        <w:rPr>
          <w:noProof/>
          <w:szCs w:val="24"/>
        </w:rPr>
      </w:pPr>
      <w:r>
        <w:rPr>
          <w:noProof/>
        </w:rPr>
        <w:t>ЕВРОПЕЙСКИЯТ СЪЮЗ,</w:t>
      </w:r>
    </w:p>
    <w:p w:rsidR="00CE242B" w:rsidRDefault="00546F8E">
      <w:pPr>
        <w:rPr>
          <w:noProof/>
          <w:szCs w:val="24"/>
        </w:rPr>
      </w:pPr>
      <w:r>
        <w:rPr>
          <w:noProof/>
        </w:rPr>
        <w:t xml:space="preserve">от една страна, и </w:t>
      </w:r>
    </w:p>
    <w:p w:rsidR="00CE242B" w:rsidRDefault="00546F8E">
      <w:pPr>
        <w:rPr>
          <w:noProof/>
          <w:szCs w:val="24"/>
        </w:rPr>
      </w:pPr>
      <w:r>
        <w:rPr>
          <w:noProof/>
        </w:rPr>
        <w:t>АНТИГУА И БАРБУДА,</w:t>
      </w:r>
    </w:p>
    <w:p w:rsidR="00CE242B" w:rsidRDefault="00546F8E">
      <w:pPr>
        <w:rPr>
          <w:noProof/>
          <w:szCs w:val="24"/>
        </w:rPr>
      </w:pPr>
      <w:r>
        <w:rPr>
          <w:noProof/>
        </w:rPr>
        <w:t xml:space="preserve">от друга страна, </w:t>
      </w:r>
    </w:p>
    <w:p w:rsidR="00CE242B" w:rsidRDefault="00546F8E">
      <w:pPr>
        <w:rPr>
          <w:noProof/>
          <w:szCs w:val="24"/>
        </w:rPr>
      </w:pPr>
      <w:r>
        <w:rPr>
          <w:noProof/>
        </w:rPr>
        <w:t>заедно наричани по-нататък „договарящите се страни“,</w:t>
      </w:r>
    </w:p>
    <w:p w:rsidR="00CE242B" w:rsidRDefault="00546F8E">
      <w:pPr>
        <w:rPr>
          <w:noProof/>
          <w:szCs w:val="24"/>
        </w:rPr>
      </w:pPr>
      <w:r>
        <w:rPr>
          <w:noProof/>
        </w:rPr>
        <w:t xml:space="preserve">КАТО ВЗЕХА ПРЕДВИД Споразумението между Европейската общност и </w:t>
      </w:r>
      <w:r>
        <w:rPr>
          <w:rStyle w:val="Strong"/>
          <w:b w:val="0"/>
          <w:noProof/>
        </w:rPr>
        <w:t>Антигуа и Барбуда</w:t>
      </w:r>
      <w:r>
        <w:rPr>
          <w:noProof/>
        </w:rPr>
        <w:t xml:space="preserve"> за отмяна на визовия режим за краткосрочно пребиваване (наричано по-нататък „Споразумението“), което влезе в сила на 1 май 2010 г.,</w:t>
      </w:r>
    </w:p>
    <w:p w:rsidR="00CE242B" w:rsidRDefault="00546F8E">
      <w:pPr>
        <w:rPr>
          <w:noProof/>
          <w:szCs w:val="24"/>
        </w:rPr>
      </w:pPr>
      <w:r>
        <w:rPr>
          <w:noProof/>
        </w:rPr>
        <w:t>КАТО ПОТВЪРЖДАВАТ ОТНОВО значението на улес</w:t>
      </w:r>
      <w:r>
        <w:rPr>
          <w:noProof/>
        </w:rPr>
        <w:t xml:space="preserve">няването на контактите между хората, </w:t>
      </w:r>
    </w:p>
    <w:p w:rsidR="00CE242B" w:rsidRDefault="00546F8E">
      <w:pPr>
        <w:rPr>
          <w:noProof/>
          <w:szCs w:val="24"/>
        </w:rPr>
      </w:pPr>
      <w:r>
        <w:rPr>
          <w:noProof/>
        </w:rPr>
        <w:t>КАТО ОТБЕЛЯЗВАТ, че Споразумението действа в полза на гражданите на договарящите се страни,</w:t>
      </w:r>
    </w:p>
    <w:p w:rsidR="00CE242B" w:rsidRDefault="00546F8E">
      <w:pPr>
        <w:rPr>
          <w:noProof/>
          <w:szCs w:val="24"/>
        </w:rPr>
      </w:pPr>
      <w:r>
        <w:rPr>
          <w:noProof/>
        </w:rPr>
        <w:t>КАТО ВЗЕМАТ ПРЕДВИД, че определението за краткосрочно пребиваване, предвидено в Споразумението (три месеца в продължение на ше</w:t>
      </w:r>
      <w:r>
        <w:rPr>
          <w:noProof/>
        </w:rPr>
        <w:t xml:space="preserve">стмесечен период след датата на първото влизане) не е достатъчно точно и по-специално, че формулировката „датата на първото влизане“ може да породи неясноти и въпроси,  </w:t>
      </w:r>
    </w:p>
    <w:p w:rsidR="00CE242B" w:rsidRDefault="00546F8E">
      <w:pPr>
        <w:rPr>
          <w:noProof/>
          <w:szCs w:val="24"/>
        </w:rPr>
      </w:pPr>
      <w:r>
        <w:rPr>
          <w:noProof/>
        </w:rPr>
        <w:t>КАТО ИМАТ ПРЕДВИД, че с Регламент (ЕС) № 610/2013 от 26 юни 2013 г. бяха въведени хори</w:t>
      </w:r>
      <w:r>
        <w:rPr>
          <w:noProof/>
        </w:rPr>
        <w:t xml:space="preserve">зонтални промени в достиженията на вътрешното право на ЕС в областта на визите и границите и краткосрочното пребиваване бе определено на „90 дни в рамките на всеки 180-дневен период“, </w:t>
      </w:r>
    </w:p>
    <w:p w:rsidR="00CE242B" w:rsidRDefault="00546F8E">
      <w:pPr>
        <w:rPr>
          <w:noProof/>
          <w:szCs w:val="24"/>
        </w:rPr>
      </w:pPr>
      <w:r>
        <w:rPr>
          <w:noProof/>
        </w:rPr>
        <w:t>КАТО ВЗЕМАТ ПРЕДВИД, че Системата за влизане/излизане, която предстои д</w:t>
      </w:r>
      <w:r>
        <w:rPr>
          <w:noProof/>
        </w:rPr>
        <w:t>а бъде създадена от Европейския съюз, изкисва използването на еднакво и ясно определение за краткосрочно пребиваване, което е приложимо за всички граждани на трети държави,</w:t>
      </w:r>
    </w:p>
    <w:p w:rsidR="00CE242B" w:rsidRDefault="00546F8E">
      <w:pPr>
        <w:rPr>
          <w:noProof/>
          <w:szCs w:val="24"/>
        </w:rPr>
      </w:pPr>
      <w:r>
        <w:rPr>
          <w:noProof/>
        </w:rPr>
        <w:t>КАТО ЖЕЛАЯТ да гарантират плавен поток на пътниците на гранично-пропускателните пун</w:t>
      </w:r>
      <w:r>
        <w:rPr>
          <w:noProof/>
        </w:rPr>
        <w:t>ктове на договарящите се страни,</w:t>
      </w:r>
    </w:p>
    <w:p w:rsidR="00CE242B" w:rsidRDefault="00546F8E">
      <w:pPr>
        <w:rPr>
          <w:noProof/>
          <w:szCs w:val="24"/>
        </w:rPr>
      </w:pPr>
      <w:r>
        <w:rPr>
          <w:noProof/>
        </w:rPr>
        <w:t>КАТО ПОТВЪРЖДАВАТ ОТНОВО, че Споразумението обхваща гражданите на всички държави — членки на Европейския съюз, с изключение на Обединеното кралство и Ирландия,</w:t>
      </w:r>
    </w:p>
    <w:p w:rsidR="00CE242B" w:rsidRDefault="00546F8E">
      <w:pPr>
        <w:rPr>
          <w:noProof/>
          <w:szCs w:val="24"/>
        </w:rPr>
      </w:pPr>
      <w:r>
        <w:rPr>
          <w:noProof/>
        </w:rPr>
        <w:t xml:space="preserve">КАТО ВЗЕМАТ ПРЕДВИД Протокола относно позицията на Обединеното </w:t>
      </w:r>
      <w:r>
        <w:rPr>
          <w:noProof/>
        </w:rPr>
        <w:t>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w:t>
      </w:r>
      <w:r>
        <w:rPr>
          <w:noProof/>
        </w:rPr>
        <w:t xml:space="preserve">о на Европейския съюз, и като потвърждават, че разпоредбите на настоящото споразумение не се прилагат по отношение на Обединеното кралство и Ирландия, </w:t>
      </w:r>
    </w:p>
    <w:p w:rsidR="00CE242B" w:rsidRDefault="00546F8E">
      <w:pPr>
        <w:rPr>
          <w:noProof/>
          <w:szCs w:val="24"/>
        </w:rPr>
      </w:pPr>
      <w:r>
        <w:rPr>
          <w:noProof/>
        </w:rPr>
        <w:t>СЕ СПОРАЗУМЯХА ЗА СЛЕДНОТО:</w:t>
      </w:r>
    </w:p>
    <w:p w:rsidR="00CE242B" w:rsidRDefault="00546F8E">
      <w:pPr>
        <w:pStyle w:val="Titrearticle"/>
        <w:rPr>
          <w:noProof/>
        </w:rPr>
      </w:pPr>
      <w:r>
        <w:rPr>
          <w:noProof/>
        </w:rPr>
        <w:lastRenderedPageBreak/>
        <w:t>Член 1</w:t>
      </w:r>
    </w:p>
    <w:p w:rsidR="00CE242B" w:rsidRDefault="00546F8E">
      <w:pPr>
        <w:rPr>
          <w:noProof/>
          <w:szCs w:val="24"/>
        </w:rPr>
      </w:pPr>
      <w:r>
        <w:rPr>
          <w:noProof/>
        </w:rPr>
        <w:t xml:space="preserve">Споразумението се изменя в съответствие с разпоредбите на настоящия </w:t>
      </w:r>
      <w:r>
        <w:rPr>
          <w:noProof/>
        </w:rPr>
        <w:t>член:</w:t>
      </w:r>
    </w:p>
    <w:p w:rsidR="00CE242B" w:rsidRDefault="00546F8E">
      <w:pPr>
        <w:pStyle w:val="Point0number"/>
        <w:numPr>
          <w:ilvl w:val="0"/>
          <w:numId w:val="8"/>
        </w:numPr>
        <w:spacing w:after="240"/>
        <w:ind w:left="851" w:hanging="851"/>
        <w:rPr>
          <w:noProof/>
        </w:rPr>
      </w:pPr>
      <w:r>
        <w:rPr>
          <w:noProof/>
        </w:rPr>
        <w:t>В заглавието думите „Европейската общност“ се заменят с думите „Европейския съюз“, в член 3, параграф 5 думите „общностното право“ се заменят с думите „правото на Съюза“, в член 6, параграф 1 думите „Европейската общност“ и „Общността“ се заменят съо</w:t>
      </w:r>
      <w:r>
        <w:rPr>
          <w:noProof/>
        </w:rPr>
        <w:t>тветно с думите „Европейския съюз“ и „Съюзът“, и в член 8, параграф 7 думата „Общността“ се заменя с думата „Съюзът“.</w:t>
      </w:r>
    </w:p>
    <w:p w:rsidR="00CE242B" w:rsidRDefault="00546F8E">
      <w:pPr>
        <w:pStyle w:val="Point0number"/>
        <w:numPr>
          <w:ilvl w:val="0"/>
          <w:numId w:val="7"/>
        </w:numPr>
        <w:spacing w:after="240"/>
        <w:ind w:left="851" w:hanging="851"/>
        <w:rPr>
          <w:noProof/>
        </w:rPr>
      </w:pPr>
      <w:r>
        <w:rPr>
          <w:noProof/>
        </w:rPr>
        <w:t>В член 1 думите „три месеца в продължение на шестмесечен период“ се заменят с думите „90 дни в рамките на всеки 180-дневен период“.</w:t>
      </w:r>
    </w:p>
    <w:p w:rsidR="00CE242B" w:rsidRDefault="00546F8E">
      <w:pPr>
        <w:pStyle w:val="Point0number"/>
        <w:numPr>
          <w:ilvl w:val="0"/>
          <w:numId w:val="7"/>
        </w:numPr>
        <w:rPr>
          <w:noProof/>
        </w:rPr>
      </w:pPr>
      <w:r>
        <w:rPr>
          <w:noProof/>
        </w:rPr>
        <w:t>Член 4</w:t>
      </w:r>
      <w:r>
        <w:rPr>
          <w:noProof/>
        </w:rPr>
        <w:t>, параграф 1 се заменя със следното:</w:t>
      </w:r>
    </w:p>
    <w:p w:rsidR="00CE242B" w:rsidRDefault="00546F8E">
      <w:pPr>
        <w:ind w:left="850"/>
        <w:rPr>
          <w:noProof/>
          <w:szCs w:val="24"/>
        </w:rPr>
      </w:pPr>
      <w:r>
        <w:rPr>
          <w:noProof/>
        </w:rPr>
        <w:t>„Гражданите на Европейския съюз могат да пребивават на територията на Антигуа и Барбуда за максимален срок от 90 дни в рамките на всеки 180-дневен период.“</w:t>
      </w:r>
    </w:p>
    <w:p w:rsidR="00CE242B" w:rsidRDefault="00546F8E">
      <w:pPr>
        <w:pStyle w:val="Point0number"/>
        <w:rPr>
          <w:noProof/>
        </w:rPr>
      </w:pPr>
      <w:r>
        <w:rPr>
          <w:noProof/>
        </w:rPr>
        <w:t>Член 4, параграф 2 се заменя със следното:</w:t>
      </w:r>
    </w:p>
    <w:p w:rsidR="00CE242B" w:rsidRDefault="00546F8E">
      <w:pPr>
        <w:pStyle w:val="CM4"/>
        <w:spacing w:before="60" w:after="60"/>
        <w:ind w:left="850"/>
        <w:jc w:val="both"/>
        <w:rPr>
          <w:rFonts w:ascii="Times New Roman" w:hAnsi="Times New Roman"/>
          <w:noProof/>
          <w:color w:val="000000"/>
        </w:rPr>
      </w:pPr>
      <w:r>
        <w:rPr>
          <w:rFonts w:ascii="Times New Roman" w:hAnsi="Times New Roman"/>
          <w:noProof/>
          <w:color w:val="000000"/>
        </w:rPr>
        <w:t>„Гражданите на Антиг</w:t>
      </w:r>
      <w:r>
        <w:rPr>
          <w:rFonts w:ascii="Times New Roman" w:hAnsi="Times New Roman"/>
          <w:noProof/>
          <w:color w:val="000000"/>
        </w:rPr>
        <w:t>уа и Барбуда могат да пребивават на територията на държавите членки, прилагащи изцяло достиженията на правото от Шенген, за максимален срок от 90 дни в рамките на всеки 180-дневен период. Този срок се изчислява независимо от пребиваването в държава членка,</w:t>
      </w:r>
      <w:r>
        <w:rPr>
          <w:rFonts w:ascii="Times New Roman" w:hAnsi="Times New Roman"/>
          <w:noProof/>
          <w:color w:val="000000"/>
        </w:rPr>
        <w:t xml:space="preserve"> която все още не прилага изцяло достиженията на правото от Шенген. </w:t>
      </w:r>
    </w:p>
    <w:p w:rsidR="00CE242B" w:rsidRDefault="00546F8E">
      <w:pPr>
        <w:ind w:left="850"/>
        <w:rPr>
          <w:noProof/>
          <w:szCs w:val="24"/>
        </w:rPr>
      </w:pPr>
      <w:r>
        <w:rPr>
          <w:noProof/>
        </w:rPr>
        <w:t>Гражданите на Антигуа и Барбуда могат да пребивават за максимален срок от 90 дни в рамките на всеки 180-дневен период на територията на всяка от държавите членки, които все още не прилага</w:t>
      </w:r>
      <w:r>
        <w:rPr>
          <w:noProof/>
        </w:rPr>
        <w:t>т изцяло достиженията на правото от Шенген, независимо от продължителността на пребиването, изчислена за територията на държавите членки, които прилагат изцяло достиженията на правото от Шенген.“</w:t>
      </w:r>
    </w:p>
    <w:p w:rsidR="00CE242B" w:rsidRDefault="00546F8E">
      <w:pPr>
        <w:pStyle w:val="Point0number"/>
        <w:rPr>
          <w:noProof/>
        </w:rPr>
      </w:pPr>
      <w:r>
        <w:rPr>
          <w:noProof/>
        </w:rPr>
        <w:t>В член 4, параграф 3 думите „три месеца“ се заменят с думите</w:t>
      </w:r>
      <w:r>
        <w:rPr>
          <w:noProof/>
        </w:rPr>
        <w:t xml:space="preserve"> „90 дни“ и думите „общностното право“ се заменят с думите „правото на Съюза“.</w:t>
      </w:r>
    </w:p>
    <w:p w:rsidR="00CE242B" w:rsidRDefault="00546F8E">
      <w:pPr>
        <w:pStyle w:val="Point0number"/>
        <w:rPr>
          <w:noProof/>
        </w:rPr>
      </w:pPr>
      <w:r>
        <w:rPr>
          <w:noProof/>
        </w:rPr>
        <w:t>Последното изречение в член 8, параграф 4 се заменя със следното:</w:t>
      </w:r>
    </w:p>
    <w:p w:rsidR="00CE242B" w:rsidRDefault="00546F8E">
      <w:pPr>
        <w:pStyle w:val="CM4"/>
        <w:spacing w:before="60" w:after="60"/>
        <w:ind w:left="850"/>
        <w:jc w:val="both"/>
        <w:rPr>
          <w:rFonts w:ascii="Times New Roman" w:hAnsi="Times New Roman"/>
          <w:noProof/>
          <w:color w:val="000000"/>
        </w:rPr>
      </w:pPr>
      <w:r>
        <w:rPr>
          <w:rFonts w:ascii="Times New Roman" w:hAnsi="Times New Roman"/>
          <w:noProof/>
          <w:color w:val="000000"/>
        </w:rPr>
        <w:t xml:space="preserve">„Договарящата се страна, която временно е спряла изпълнението на настоящото споразумение, незабавно информира </w:t>
      </w:r>
      <w:r>
        <w:rPr>
          <w:rFonts w:ascii="Times New Roman" w:hAnsi="Times New Roman"/>
          <w:noProof/>
          <w:color w:val="000000"/>
        </w:rPr>
        <w:t>другата договаряща се страна, ако причините за това временно спиране отпаднат, и възобновява изпълнението.“</w:t>
      </w:r>
    </w:p>
    <w:p w:rsidR="00CE242B" w:rsidRDefault="00546F8E">
      <w:pPr>
        <w:pStyle w:val="Titrearticle"/>
        <w:rPr>
          <w:noProof/>
        </w:rPr>
      </w:pPr>
      <w:r>
        <w:rPr>
          <w:noProof/>
        </w:rPr>
        <w:t>Член 2</w:t>
      </w:r>
    </w:p>
    <w:p w:rsidR="00CE242B" w:rsidRDefault="00546F8E">
      <w:pPr>
        <w:rPr>
          <w:noProof/>
          <w:szCs w:val="24"/>
        </w:rPr>
      </w:pPr>
      <w:r>
        <w:rPr>
          <w:noProof/>
        </w:rPr>
        <w:t xml:space="preserve">Настоящото споразумение се ратифицира или одобрява от договарящите се страни в съответствие с техните съответни вътрешни процедури и влиза в </w:t>
      </w:r>
      <w:r>
        <w:rPr>
          <w:noProof/>
        </w:rPr>
        <w:t>сила на първия ден от шестия месец след датата, на която последната договаряща се страна уведоми другата за приключването на горепосочените процедури.</w:t>
      </w:r>
    </w:p>
    <w:p w:rsidR="00CE242B" w:rsidRDefault="00CE242B">
      <w:pPr>
        <w:rPr>
          <w:noProof/>
          <w:szCs w:val="24"/>
        </w:rPr>
      </w:pPr>
    </w:p>
    <w:p w:rsidR="00CE242B" w:rsidRDefault="00546F8E">
      <w:pPr>
        <w:rPr>
          <w:noProof/>
          <w:szCs w:val="24"/>
        </w:rPr>
      </w:pPr>
      <w:r>
        <w:rPr>
          <w:noProof/>
        </w:rPr>
        <w:t>Съставено в [</w:t>
      </w:r>
      <w:r>
        <w:rPr>
          <w:noProof/>
          <w:highlight w:val="yellow"/>
        </w:rPr>
        <w:t>…</w:t>
      </w:r>
      <w:r>
        <w:rPr>
          <w:noProof/>
        </w:rPr>
        <w:t>] на [</w:t>
      </w:r>
      <w:r>
        <w:rPr>
          <w:noProof/>
          <w:highlight w:val="yellow"/>
        </w:rPr>
        <w:t>…</w:t>
      </w:r>
      <w:r>
        <w:rPr>
          <w:noProof/>
        </w:rPr>
        <w:t>] ден от месец [</w:t>
      </w:r>
      <w:r>
        <w:rPr>
          <w:noProof/>
          <w:highlight w:val="yellow"/>
        </w:rPr>
        <w:t>…</w:t>
      </w:r>
      <w:r>
        <w:rPr>
          <w:noProof/>
        </w:rPr>
        <w:t>] на две хиляди и седемнадесета година в два еднообразни екземпляр</w:t>
      </w:r>
      <w:r>
        <w:rPr>
          <w:noProof/>
        </w:rPr>
        <w:t>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език, като текстовете</w:t>
      </w:r>
      <w:r>
        <w:rPr>
          <w:noProof/>
        </w:rPr>
        <w:t xml:space="preserve"> на всички езици са еднакво автентични.</w:t>
      </w:r>
    </w:p>
    <w:p w:rsidR="00CE242B" w:rsidRDefault="00CE242B">
      <w:pPr>
        <w:rPr>
          <w:noProof/>
          <w:szCs w:val="24"/>
        </w:rPr>
      </w:pPr>
    </w:p>
    <w:p w:rsidR="00CE242B" w:rsidRDefault="00546F8E">
      <w:pPr>
        <w:rPr>
          <w:noProof/>
          <w:szCs w:val="24"/>
        </w:rPr>
      </w:pPr>
      <w:r>
        <w:rPr>
          <w:noProof/>
        </w:rPr>
        <w:t>За Европейския съюз</w:t>
      </w:r>
    </w:p>
    <w:p w:rsidR="00CE242B" w:rsidRDefault="00CE242B">
      <w:pPr>
        <w:rPr>
          <w:noProof/>
          <w:szCs w:val="24"/>
        </w:rPr>
      </w:pPr>
    </w:p>
    <w:p w:rsidR="00CE242B" w:rsidRDefault="00546F8E">
      <w:pPr>
        <w:rPr>
          <w:noProof/>
        </w:rPr>
      </w:pPr>
      <w:r>
        <w:rPr>
          <w:noProof/>
        </w:rPr>
        <w:t>За Антигуа и Барбуда,</w:t>
      </w:r>
      <w:r>
        <w:rPr>
          <w:noProof/>
        </w:rPr>
        <w:br w:type="page"/>
      </w:r>
    </w:p>
    <w:p w:rsidR="00CE242B" w:rsidRDefault="00546F8E">
      <w:pPr>
        <w:rPr>
          <w:b/>
          <w:noProof/>
          <w:szCs w:val="24"/>
        </w:rPr>
      </w:pPr>
      <w:r>
        <w:rPr>
          <w:b/>
          <w:noProof/>
        </w:rPr>
        <w:t>СЪВМЕСТНА ДЕКЛАРАЦИЯ ОТНОСНО ИСЛАНДИЯ, НОРВЕГИЯ, ШВЕЙЦАРИЯ И ЛИХТЕНЩАЙН</w:t>
      </w:r>
    </w:p>
    <w:p w:rsidR="00CE242B" w:rsidRDefault="00546F8E">
      <w:pPr>
        <w:rPr>
          <w:noProof/>
          <w:color w:val="000000"/>
          <w:szCs w:val="24"/>
        </w:rPr>
      </w:pPr>
      <w:r>
        <w:rPr>
          <w:noProof/>
        </w:rPr>
        <w:t xml:space="preserve">Желателно е властите на Норвегия, Исландия, Швейцария и Лихтенщайн, от една страна, и на Антигуа и </w:t>
      </w:r>
      <w:r>
        <w:rPr>
          <w:noProof/>
        </w:rPr>
        <w:t>Барбуда, от друга страна, незабавно да изменят съществуващите двустранни споразумения за премахване на визите за краткосрочно пребиваване в съответствие с условията на настоящото споразумение.</w:t>
      </w:r>
    </w:p>
    <w:p w:rsidR="00CE242B" w:rsidRDefault="00546F8E">
      <w:pPr>
        <w:rPr>
          <w:b/>
          <w:caps/>
          <w:noProof/>
          <w:szCs w:val="24"/>
        </w:rPr>
      </w:pPr>
      <w:r>
        <w:rPr>
          <w:b/>
          <w:caps/>
          <w:noProof/>
        </w:rPr>
        <w:t>Съвместна декларация относно тълкуването на 90 дни в рамките на</w:t>
      </w:r>
      <w:r>
        <w:rPr>
          <w:b/>
          <w:caps/>
          <w:noProof/>
        </w:rPr>
        <w:t xml:space="preserve"> всеки 180-дневен период</w:t>
      </w:r>
    </w:p>
    <w:p w:rsidR="00CE242B" w:rsidRDefault="00546F8E">
      <w:pPr>
        <w:rPr>
          <w:noProof/>
        </w:rPr>
      </w:pPr>
      <w:r>
        <w:rPr>
          <w:noProof/>
        </w:rPr>
        <w:t>Договарящите се страни приемат, че максималният срок от 90 дни в рамките на всеки 180-дневен период, предвиден в член 4 от Споразумението, означава или непрекъснато посещение, или няколко последователни посещения, чиято продължител</w:t>
      </w:r>
      <w:r>
        <w:rPr>
          <w:noProof/>
        </w:rPr>
        <w:t>ност не надвишава общо 90 дни в рамките на всеки 180-дневен период.</w:t>
      </w:r>
    </w:p>
    <w:p w:rsidR="00CE242B" w:rsidRDefault="00546F8E">
      <w:pPr>
        <w:pStyle w:val="Default"/>
        <w:jc w:val="both"/>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w:t>
      </w:r>
      <w:r>
        <w:rPr>
          <w:noProof/>
        </w:rPr>
        <w:t>ва да бъде изпълнявано изискването за 90 дни в рамките на всеки 180-дневен период. Наред с другото това означава, че липсата на непрекъснат период от 90 дни позволява нов престой до 90 дни.</w:t>
      </w:r>
    </w:p>
    <w:p w:rsidR="00CE242B" w:rsidRDefault="00546F8E">
      <w:pPr>
        <w:jc w:val="center"/>
        <w:rPr>
          <w:b/>
          <w:noProof/>
          <w:szCs w:val="24"/>
        </w:rPr>
      </w:pPr>
      <w:r>
        <w:rPr>
          <w:b/>
          <w:noProof/>
        </w:rPr>
        <w:t>________</w:t>
      </w:r>
    </w:p>
    <w:p w:rsidR="00CE242B" w:rsidRDefault="00CE242B">
      <w:pPr>
        <w:spacing w:after="100" w:afterAutospacing="1"/>
        <w:ind w:left="-284"/>
        <w:rPr>
          <w:noProof/>
        </w:rPr>
      </w:pPr>
    </w:p>
    <w:p w:rsidR="00CE242B" w:rsidRDefault="00CE242B">
      <w:pPr>
        <w:pStyle w:val="Objetacteprincipal"/>
        <w:rPr>
          <w:noProof/>
        </w:rPr>
      </w:pPr>
    </w:p>
    <w:p w:rsidR="00CE242B" w:rsidRDefault="00CE242B">
      <w:pPr>
        <w:rPr>
          <w:noProof/>
        </w:rPr>
      </w:pPr>
    </w:p>
    <w:sectPr w:rsidR="00CE242B">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2B" w:rsidRDefault="00546F8E">
      <w:pPr>
        <w:spacing w:before="0" w:after="0"/>
      </w:pPr>
      <w:r>
        <w:separator/>
      </w:r>
    </w:p>
  </w:endnote>
  <w:endnote w:type="continuationSeparator" w:id="0">
    <w:p w:rsidR="00CE242B" w:rsidRDefault="00546F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2B" w:rsidRDefault="00546F8E">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2B" w:rsidRDefault="00546F8E">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2B" w:rsidRDefault="00CE2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2B" w:rsidRDefault="00546F8E">
      <w:pPr>
        <w:spacing w:before="0" w:after="0"/>
      </w:pPr>
      <w:r>
        <w:separator/>
      </w:r>
    </w:p>
  </w:footnote>
  <w:footnote w:type="continuationSeparator" w:id="0">
    <w:p w:rsidR="00CE242B" w:rsidRDefault="00546F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CEA71AE"/>
    <w:lvl w:ilvl="0">
      <w:start w:val="1"/>
      <w:numFmt w:val="decimal"/>
      <w:pStyle w:val="ListNumber3"/>
      <w:lvlText w:val="%1."/>
      <w:lvlJc w:val="left"/>
      <w:pPr>
        <w:tabs>
          <w:tab w:val="num" w:pos="926"/>
        </w:tabs>
        <w:ind w:left="926" w:hanging="360"/>
      </w:pPr>
    </w:lvl>
  </w:abstractNum>
  <w:abstractNum w:abstractNumId="1">
    <w:nsid w:val="FFFFFF7F"/>
    <w:multiLevelType w:val="singleLevel"/>
    <w:tmpl w:val="4E4ADA30"/>
    <w:lvl w:ilvl="0">
      <w:start w:val="1"/>
      <w:numFmt w:val="decimal"/>
      <w:pStyle w:val="ListNumber2"/>
      <w:lvlText w:val="%1."/>
      <w:lvlJc w:val="left"/>
      <w:pPr>
        <w:tabs>
          <w:tab w:val="num" w:pos="643"/>
        </w:tabs>
        <w:ind w:left="643" w:hanging="360"/>
      </w:pPr>
    </w:lvl>
  </w:abstractNum>
  <w:abstractNum w:abstractNumId="2">
    <w:nsid w:val="FFFFFF81"/>
    <w:multiLevelType w:val="singleLevel"/>
    <w:tmpl w:val="DEAC116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B60A172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8EFE40E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B350ACA8"/>
    <w:lvl w:ilvl="0">
      <w:start w:val="1"/>
      <w:numFmt w:val="decimal"/>
      <w:pStyle w:val="ListNumber"/>
      <w:lvlText w:val="%1."/>
      <w:lvlJc w:val="left"/>
      <w:pPr>
        <w:tabs>
          <w:tab w:val="num" w:pos="360"/>
        </w:tabs>
        <w:ind w:left="360" w:hanging="360"/>
      </w:pPr>
    </w:lvl>
  </w:abstractNum>
  <w:abstractNum w:abstractNumId="6">
    <w:nsid w:val="FFFFFF89"/>
    <w:multiLevelType w:val="singleLevel"/>
    <w:tmpl w:val="71DEE1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 w:numId="26">
    <w:abstractNumId w:val="19"/>
  </w:num>
  <w:num w:numId="27">
    <w:abstractNumId w:val="11"/>
  </w:num>
  <w:num w:numId="28">
    <w:abstractNumId w:val="21"/>
  </w:num>
  <w:num w:numId="29">
    <w:abstractNumId w:val="10"/>
  </w:num>
  <w:num w:numId="30">
    <w:abstractNumId w:val="12"/>
  </w:num>
  <w:num w:numId="31">
    <w:abstractNumId w:val="8"/>
  </w:num>
  <w:num w:numId="32">
    <w:abstractNumId w:val="20"/>
  </w:num>
  <w:num w:numId="33">
    <w:abstractNumId w:val="7"/>
  </w:num>
  <w:num w:numId="34">
    <w:abstractNumId w:val="13"/>
  </w:num>
  <w:num w:numId="35">
    <w:abstractNumId w:val="17"/>
  </w:num>
  <w:num w:numId="36">
    <w:abstractNumId w:val="18"/>
  </w:num>
  <w:num w:numId="37">
    <w:abstractNumId w:val="9"/>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21: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3"/>
    <w:docVar w:name="DQCStatus" w:val="Yellow"/>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27C18597260F4844A74FA8327AEFF6EE"/>
    <w:docVar w:name="LW_CROSSREFERENCE" w:val="&lt;UNUSED&gt;"/>
    <w:docVar w:name="LW_DocType" w:val="ANNEX"/>
    <w:docVar w:name="LW_EMISSION" w:val="27.7.2017"/>
    <w:docVar w:name="LW_EMISSION_ISODATE" w:val="2017-07-27"/>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5?\u1072? \u1057?\u1087?\u1086?\u1088?\u1072?\u1079?\u1091?\u1084?\u1077?\u1085?\u1080?\u1077?\u1090?\u1086? \u1084?\u1077?\u1078?\u1076?\u1091? \u1045?\u1074?\u1088?\u1086?\u1087?\u1077?\u1081?\u1089?\u1082?\u1080?\u1103? \u1089?\u1098?\u1102?\u1079? \u1080? \u1040?\u1085?\u1090?\u1080?\u1075?\u1091?\u1072? \u1080? \u1041?\u1072?\u1088?\u1073?\u1091?\u1076?\u1072? \u1079?\u1072? \u1080?\u1079?\u1084?\u1077?\u1085?\u1077?\u1085?\u1080?\u1077? \u1085?\u1072? \u1057?\u1087?\u1086?\u1088?\u1072?\u1079?\u1091?\u1084?\u1077?\u1085?\u1080?\u1077?\u1090?\u1086? \u1084?\u1077?\u1078?\u1076?\u1091? \u1045?\u1074?\u1088?\u1086?\u1087?\u1077?\u1081?\u1089?\u1082?\u1072?\u1090?\u1072? \u1086?\u1073?\u1097?\u1085?\u1086?\u1089?\u1090? \u1080? \u1040?\u1085?\u1090?\u1080?\u1075?\u1091?\u1072? \u1080? \u1041?\u1072?\u1088?\u1073?\u1091?\u1076?\u1072? \u1079?\u1072? \u1086?\u1090?\u1084?\u1103?\u1085?\u1072? \u1085?\u1072? \u1074?\u1080?\u1079?\u1086?\u1074?\u1080?\u1103? \u1088?\u1077?\u1078?\u1080?\u1084?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7) 393"/>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u1090?\u1086? \u1079?\u1072? \u1088?\u1077?\u1096?\u1077?\u1085?\u1080?\u1077? \u1085?\u1072? \u1057?\u1098?\u1074?\u1077?\u1090?\u1072?"/>
  </w:docVars>
  <w:rsids>
    <w:rsidRoot w:val="00CE242B"/>
    <w:rsid w:val="00546F8E"/>
    <w:rsid w:val="00CE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901B-4DA5-4281-B45C-191486FE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5</Pages>
  <Words>946</Words>
  <Characters>5218</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JANSEN Colette (SG)</cp:lastModifiedBy>
  <cp:revision>9</cp:revision>
  <dcterms:created xsi:type="dcterms:W3CDTF">2017-07-10T13:41:00Z</dcterms:created>
  <dcterms:modified xsi:type="dcterms:W3CDTF">2017-07-26T13:14:00Z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