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04B3EA167CF4901AE2193068718D27A" style="width:450.8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1"/>
      </w:r>
      <w:r>
        <w:rPr>
          <w:noProof/>
        </w:rPr>
        <w:t xml:space="preserve"> (наричан по-нататък „изменението на КШГ“) бяха изменени Конвенцията за прилагане на Споразумението от Шенген</w:t>
      </w:r>
      <w:r>
        <w:rPr>
          <w:rStyle w:val="FootnoteReference"/>
          <w:noProof/>
        </w:rPr>
        <w:footnoteReference w:id="2"/>
      </w:r>
      <w:r>
        <w:rPr>
          <w:noProof/>
        </w:rPr>
        <w:t xml:space="preserve"> (CISA), </w:t>
      </w:r>
      <w:r>
        <w:rPr>
          <w:rStyle w:val="Strong"/>
          <w:b w:val="0"/>
          <w:noProof/>
        </w:rPr>
        <w:t>Регламент (ЕО) № 562/2006</w:t>
      </w:r>
      <w:r>
        <w:rPr>
          <w:rStyle w:val="FootnoteReference"/>
          <w:noProof/>
        </w:rPr>
        <w:footnoteReference w:id="3"/>
      </w:r>
      <w:r>
        <w:rPr>
          <w:rStyle w:val="Strong"/>
          <w:noProof/>
          <w:sz w:val="20"/>
        </w:rPr>
        <w:t xml:space="preserve"> </w:t>
      </w:r>
      <w:r>
        <w:rPr>
          <w:noProof/>
        </w:rPr>
        <w:t>(Кодекс на шенгенските граници [КШГ]) и Регламент (ЕО) № 810/2009</w:t>
      </w:r>
      <w:r>
        <w:rPr>
          <w:rStyle w:val="FootnoteReference"/>
          <w:noProof/>
        </w:rPr>
        <w:footnoteReference w:id="4"/>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5"/>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6"/>
      </w:r>
      <w:r>
        <w:rPr>
          <w:noProof/>
        </w:rPr>
        <w:t>, Бахамските острови</w:t>
      </w:r>
      <w:r>
        <w:rPr>
          <w:rStyle w:val="FootnoteReference"/>
          <w:noProof/>
        </w:rPr>
        <w:footnoteReference w:id="7"/>
      </w:r>
      <w:r>
        <w:rPr>
          <w:noProof/>
        </w:rPr>
        <w:t>, Барбадос</w:t>
      </w:r>
      <w:r>
        <w:rPr>
          <w:rStyle w:val="FootnoteReference"/>
          <w:noProof/>
        </w:rPr>
        <w:footnoteReference w:id="8"/>
      </w:r>
      <w:r>
        <w:rPr>
          <w:noProof/>
        </w:rPr>
        <w:t>, Бразилия</w:t>
      </w:r>
      <w:r>
        <w:rPr>
          <w:rStyle w:val="FootnoteReference"/>
          <w:noProof/>
        </w:rPr>
        <w:footnoteReference w:id="9"/>
      </w:r>
      <w:r>
        <w:rPr>
          <w:noProof/>
        </w:rPr>
        <w:t>, Република Мавриций</w:t>
      </w:r>
      <w:r>
        <w:rPr>
          <w:rStyle w:val="FootnoteReference"/>
          <w:noProof/>
        </w:rPr>
        <w:footnoteReference w:id="10"/>
      </w:r>
      <w:r>
        <w:rPr>
          <w:noProof/>
        </w:rPr>
        <w:t>, Сейнт Китс и Невис</w:t>
      </w:r>
      <w:r>
        <w:rPr>
          <w:rStyle w:val="FootnoteReference"/>
          <w:noProof/>
        </w:rPr>
        <w:footnoteReference w:id="11"/>
      </w:r>
      <w:r>
        <w:rPr>
          <w:noProof/>
        </w:rPr>
        <w:t xml:space="preserve"> и Република Сейшели</w:t>
      </w:r>
      <w:r>
        <w:rPr>
          <w:rStyle w:val="FootnoteReference"/>
          <w:noProof/>
        </w:rPr>
        <w:footnoteReference w:id="12"/>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3"/>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споразумението за отмяна на визовия режим за краткосрочно пребиваване между Европейския съюз и горепосочените държави</w:t>
      </w:r>
      <w:r>
        <w:rPr>
          <w:rStyle w:val="FootnoteReference"/>
          <w:noProof/>
        </w:rPr>
        <w:footnoteReference w:id="14"/>
      </w:r>
      <w:r>
        <w:rPr>
          <w:noProof/>
        </w:rPr>
        <w:t>, което беше прието от Съвета на 9 октомври 2014 г.</w:t>
      </w:r>
      <w:r>
        <w:rPr>
          <w:rStyle w:val="FootnoteReference"/>
          <w:noProof/>
        </w:rPr>
        <w:footnoteReference w:id="15"/>
      </w:r>
      <w:r>
        <w:rPr>
          <w:noProof/>
        </w:rPr>
        <w:t xml:space="preserve">. Целта бе по отношение на тези </w:t>
      </w:r>
      <w:r>
        <w:rPr>
          <w:noProof/>
        </w:rPr>
        <w:lastRenderedPageBreak/>
        <w:t xml:space="preserve">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6"/>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Преговорите с Антигуа и Барбуда приключиха успешно с парафирането на споразумението за изменение на 28 октомври 2016 г. Двете страни се съгласиха да възприемат новото определение за „краткосрочно пребиваване“ в целия текст на Споразумението за отмяна на визовия режим между ЕС и Антигуа и Барбуда. Освен това споразумението включва изменение на някои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rPr>
          <w:noProof/>
        </w:rPr>
      </w:pPr>
      <w:r>
        <w:rPr>
          <w:noProof/>
        </w:rPr>
        <w:t xml:space="preserve">Настоящото предложение се внася до Съвета с цел той да разреши подписването на споразумението за изменение на Споразумението между Европейската общност и Антигуа и Барбуда за отмяна на визовия режим за краткосрочно пребиваване. </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 </w:t>
      </w:r>
    </w:p>
    <w:p>
      <w:pPr>
        <w:rPr>
          <w:noProof/>
        </w:rPr>
      </w:pPr>
      <w:r>
        <w:rPr>
          <w:noProof/>
        </w:rPr>
        <w:t xml:space="preserve">Съюзът няма правомощие да изменя споразумения за отмяна на визовия режим,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престой в Шенгенското пространство, в споразумението е включена съвместна декларация, в която се посочва, че е желателно Антигуа и Барбуда, от една страна, и </w:t>
      </w:r>
      <w:r>
        <w:rPr>
          <w:noProof/>
        </w:rPr>
        <w:lastRenderedPageBreak/>
        <w:t>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u w:color="000000"/>
          <w:bdr w:val="nil"/>
        </w:rPr>
      </w:pPr>
      <w:r>
        <w:rPr>
          <w:noProof/>
        </w:rPr>
        <w:t>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Споразумението за отмяна на визовия режим с Антигуа и Барбуда беше сключено от Европейския съюз. Следователно е необходимо действие на равнище на Съюза.</w:t>
      </w:r>
    </w:p>
    <w:p>
      <w:pPr>
        <w:rPr>
          <w:noProof/>
          <w:u w:color="000000"/>
          <w:bdr w:val="nil"/>
        </w:rPr>
      </w:pPr>
      <w:r>
        <w:rPr>
          <w:noProof/>
        </w:rPr>
        <w:t>Освен това сключването на споразумения за отмяна на визовия режим от страна на държавите членки би засегнало достиженията на правото на Съюза в областта на визите (член 3, параграф 2 от ДФЕС).</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u w:color="000000"/>
          <w:bdr w:val="nil"/>
        </w:rPr>
      </w:pPr>
      <w:r>
        <w:rPr>
          <w:noProof/>
        </w:rPr>
        <w:t>Настоящото предложение не надхвърля необходимото за постигане на поставените цели, а именно за изменение на съществуващото споразумение за отмяна на визовия режим между Антигуа и Барбуда и Съюза.</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Антигуа и Барбуда за изменение на споразумението за отмяна на визовия режим между двете страни. Държавите членки бяха уведомени за напредъка по преговорите по време на заседанията на работна група „Визи“ на Съвета.</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и за гражданите на Антигуа и Барбуда, когато пътуват до територията на другата договаряща се страна за период, не по-дълъг от 90 дни в рамките на всеки 180-дневен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w:t>
      </w:r>
      <w:r>
        <w:rPr>
          <w:noProof/>
        </w:rPr>
        <w:lastRenderedPageBreak/>
        <w:t xml:space="preserve">текст на Споразумението между Европейския съюз и Антигуа и Барбуда за отмяна на визовия режим за краткосрочно пребиваване.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измененото споразумение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Антигуа и Барбуда за отмяна на визовия режим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Замяна на думата „</w:t>
      </w:r>
      <w:r>
        <w:rPr>
          <w:i/>
          <w:noProof/>
        </w:rPr>
        <w:t>Общност</w:t>
      </w:r>
      <w:r>
        <w:rPr>
          <w:noProof/>
        </w:rPr>
        <w:t>“ с думата</w:t>
      </w:r>
      <w:r>
        <w:rPr>
          <w:i/>
          <w:noProof/>
        </w:rPr>
        <w:t xml:space="preserve"> </w:t>
      </w:r>
      <w:r>
        <w:rPr>
          <w:noProof/>
        </w:rPr>
        <w:t>„</w:t>
      </w:r>
      <w:r>
        <w:rPr>
          <w:i/>
          <w:noProof/>
        </w:rPr>
        <w:t>Съюз</w:t>
      </w:r>
      <w:r>
        <w:rPr>
          <w:noProof/>
        </w:rPr>
        <w:t>“</w:t>
      </w:r>
    </w:p>
    <w:p>
      <w:pPr>
        <w:pBdr>
          <w:top w:val="nil"/>
          <w:left w:val="nil"/>
          <w:bottom w:val="nil"/>
          <w:right w:val="nil"/>
          <w:between w:val="nil"/>
          <w:bar w:val="nil"/>
        </w:pBdr>
        <w:spacing w:before="0" w:after="240"/>
        <w:rPr>
          <w:noProof/>
        </w:rPr>
      </w:pPr>
      <w:r>
        <w:rPr>
          <w:noProof/>
        </w:rPr>
        <w:t>След влизането в сила на Договора от Лисабон на 1 декември 2009 г. Европейският съюз сам по себе си придоби консолидирана правосубектност. Въпреки това „Европейската общност“ все още е фигурира в международни споразумения, влезли в сила преди Договора от Лисабон, какъвто е в случаят със Споразумението между Европейската общност и Антигуа и Барбуда за отмяна на визовия режим за краткосрочно пребиваване. Поради това със споразумението за изменение думата</w:t>
      </w:r>
      <w:r>
        <w:rPr>
          <w:i/>
          <w:noProof/>
        </w:rPr>
        <w:t xml:space="preserve"> </w:t>
      </w:r>
      <w:r>
        <w:rPr>
          <w:noProof/>
        </w:rPr>
        <w:t>„</w:t>
      </w:r>
      <w:r>
        <w:rPr>
          <w:i/>
          <w:noProof/>
        </w:rPr>
        <w:t>Общност</w:t>
      </w:r>
      <w:r>
        <w:rPr>
          <w:noProof/>
        </w:rPr>
        <w:t>“ се заменя с думата „</w:t>
      </w:r>
      <w:r>
        <w:rPr>
          <w:i/>
          <w:noProof/>
        </w:rPr>
        <w:t>Съюз</w:t>
      </w:r>
      <w:r>
        <w:rPr>
          <w:noProof/>
        </w:rPr>
        <w:t xml:space="preserve">“ в целия текст на споразумението за отмяна на визовия режим. </w:t>
      </w:r>
    </w:p>
    <w:p>
      <w:pPr>
        <w:pBdr>
          <w:top w:val="nil"/>
          <w:left w:val="nil"/>
          <w:bottom w:val="nil"/>
          <w:right w:val="nil"/>
          <w:between w:val="nil"/>
          <w:bar w:val="nil"/>
        </w:pBdr>
        <w:spacing w:before="0" w:after="240"/>
        <w:rPr>
          <w:noProof/>
        </w:rPr>
      </w:pPr>
      <w:r>
        <w:rPr>
          <w:noProof/>
        </w:rPr>
        <w:t>г.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lastRenderedPageBreak/>
        <w:t xml:space="preserve">Останалите разпоредби на действащото споразумение между Европейската общност и Антигуа и Барбуда за отмяна на визовия режим за краткосрочно пребиваване остават незасегнати от споразумението за изменение,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С оглед на горепосочените резултати Комисията предлага Съветът да реши Споразумението да бъде подписано от името на Съюза и да упълномощи председателя на Съвета да назначи лицето(ата), надлежно упълномощено(и) да го подпише(ат) от името на Съюза.</w:t>
      </w:r>
      <w:r>
        <w:rPr>
          <w:noProof/>
        </w:rPr>
        <w:tab/>
      </w:r>
      <w:r>
        <w:rPr>
          <w:noProof/>
        </w:rPr>
        <w:br/>
      </w:r>
    </w:p>
    <w:p>
      <w:pPr>
        <w:pStyle w:val="Rfrenceinterinstitutionnelle"/>
        <w:rPr>
          <w:noProof/>
        </w:rPr>
      </w:pPr>
      <w:r>
        <w:rPr>
          <w:noProof/>
        </w:rPr>
        <w:lastRenderedPageBreak/>
        <w:t>2017/0174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на Споразумението между Европейския съюз и Антигуа и Барбуда за изменение на Споразумението между Европейската общност и Антигуа и Барбуда за отмяна на визовия режим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от 30 ноември 2009 г. Съветът сключи Споразумението между Европейската общност и Антигуа и Барбуда за отмяна на визовия режим за краткосрочно пребиваване. В Споразумението се предвижда безвизово пътуване за гражданите на Европейския съюз и за гражданите на Антигуа и Барбуда, когато пътуват до територията на другата договаряща се страна за „максимален период от три месеца в продължение на шестмесечен период“.</w:t>
      </w:r>
    </w:p>
    <w:p>
      <w:pPr>
        <w:pStyle w:val="ManualConsidrant"/>
        <w:rPr>
          <w:noProof/>
        </w:rPr>
      </w:pPr>
      <w:r>
        <w:t>(2)</w:t>
      </w:r>
      <w:r>
        <w:tab/>
      </w:r>
      <w:r>
        <w:rPr>
          <w:noProof/>
        </w:rPr>
        <w:t>С Регламент (ЕС) № 610/2013 на Европейския парламент и на Съвета</w:t>
      </w:r>
      <w:r>
        <w:rPr>
          <w:rStyle w:val="FootnoteReference"/>
          <w:noProof/>
        </w:rPr>
        <w:footnoteReference w:id="17"/>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(3)</w:t>
      </w:r>
      <w:r>
        <w:tab/>
      </w:r>
      <w:r>
        <w:rPr>
          <w:noProof/>
        </w:rPr>
        <w:t>Необходимо е това ново определение да бъде включено в Споразумението между Съюза и Антигуа и Барбуда за отмяна на визовия режим за краткосрочно пребиваване с цел постигането на пълно хармонизиране на режима на Съюза за краткосрочно пребиваване.</w:t>
      </w:r>
    </w:p>
    <w:p>
      <w:pPr>
        <w:pStyle w:val="ManualConsidrant"/>
        <w:rPr>
          <w:noProof/>
        </w:rPr>
      </w:pPr>
      <w:r>
        <w:t>(4)</w:t>
      </w:r>
      <w:r>
        <w:tab/>
      </w:r>
      <w:r>
        <w:rPr>
          <w:noProof/>
        </w:rPr>
        <w:t xml:space="preserve">На 9 октомври 2014 г. Съветът прие решение, с което упълномощи Комисията да започне преговори по споразумение за изменение на Споразумението между Европейската общност и Антигуа и Барбуда за отмяна на визовия режим за краткосрочно пребиваване (наричано по-нататък „Споразумението“). </w:t>
      </w:r>
    </w:p>
    <w:p>
      <w:pPr>
        <w:pStyle w:val="ManualConsidrant"/>
        <w:rPr>
          <w:noProof/>
        </w:rPr>
      </w:pPr>
      <w:r>
        <w:t>(5)</w:t>
      </w:r>
      <w:r>
        <w:tab/>
      </w:r>
      <w:r>
        <w:rPr>
          <w:noProof/>
        </w:rPr>
        <w:t>Преговорите с Антигуа и Барбуда по споразумението приключиха успешно с парафирането му чрез размяна на писма на 28 октомври 2016 г. от страна на главните преговарящи на ЕС и на Антигуа и Барбуда.</w:t>
      </w:r>
    </w:p>
    <w:p>
      <w:pPr>
        <w:pStyle w:val="ManualConsidrant"/>
        <w:rPr>
          <w:noProof/>
        </w:rPr>
      </w:pPr>
      <w:r>
        <w:t>(6)</w:t>
      </w:r>
      <w:r>
        <w:tab/>
      </w:r>
      <w:r>
        <w:rPr>
          <w:noProof/>
        </w:rPr>
        <w:t>Споразумението следва да бъде подписано и декларациите, приложени към Споразумението, следва да бъдат одобрени от името на Съюза.</w:t>
      </w:r>
    </w:p>
    <w:p>
      <w:pPr>
        <w:pStyle w:val="ManualConsidrant"/>
        <w:rPr>
          <w:noProof/>
        </w:rPr>
      </w:pPr>
      <w:r>
        <w:lastRenderedPageBreak/>
        <w:t>(7)</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8"/>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(8)</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19"/>
      </w:r>
      <w:r>
        <w:rPr>
          <w:noProof/>
        </w:rPr>
        <w:t>. Следователно Ирландия не участва в неговото приемане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Споразумението между Европейския съюз и Антигуа и Барбуда за изменение на Споразумението между Европейската общност и Антигуа и Барбуда за отмяна на визовия режим за краткосрочно пребиваване (наричано по-нататък „Споразумението“), при условие че посоченото споразумение бъде сключено.</w:t>
      </w:r>
    </w:p>
    <w:p>
      <w:pPr>
        <w:rPr>
          <w:noProof/>
        </w:rPr>
      </w:pPr>
      <w:r>
        <w:rPr>
          <w:noProof/>
        </w:rPr>
        <w:t>Текстът на Споразумението е приложен към настоящото решение.</w:t>
      </w:r>
    </w:p>
    <w:p>
      <w:pPr>
        <w:pStyle w:val="Titrearticle"/>
        <w:keepNext w:val="0"/>
        <w:rPr>
          <w:noProof/>
          <w:color w:val="0000FF"/>
        </w:rPr>
      </w:pPr>
      <w:r>
        <w:rPr>
          <w:noProof/>
        </w:rPr>
        <w:t xml:space="preserve">Член 2 </w:t>
      </w:r>
    </w:p>
    <w:p>
      <w:pPr>
        <w:keepLines/>
        <w:rPr>
          <w:noProof/>
        </w:rPr>
      </w:pPr>
      <w:r>
        <w:rPr>
          <w:noProof/>
        </w:rPr>
        <w:t>Декларациите, приложени към настоящото решение, се одобряват от името на Съюза.</w:t>
      </w:r>
    </w:p>
    <w:p>
      <w:pPr>
        <w:pStyle w:val="Titrearticle"/>
        <w:keepNext w:val="0"/>
        <w:rPr>
          <w:noProof/>
          <w:color w:val="0000FF"/>
        </w:rPr>
      </w:pPr>
      <w:r>
        <w:rPr>
          <w:noProof/>
        </w:rPr>
        <w:t>Член 3</w:t>
      </w:r>
    </w:p>
    <w:p>
      <w:pPr>
        <w:keepLines/>
        <w:rPr>
          <w:noProof/>
        </w:rPr>
      </w:pPr>
      <w:r>
        <w:rPr>
          <w:noProof/>
        </w:rPr>
        <w:t>Председателят на Съвета е оправомощен да посочи лицето(ата), упълномощено(и) да подпише(ат) Споразумението от името на Съюза.</w:t>
      </w:r>
    </w:p>
    <w:p>
      <w:pPr>
        <w:pStyle w:val="Titrearticle"/>
        <w:rPr>
          <w:noProof/>
          <w:color w:val="0000FF"/>
        </w:rPr>
      </w:pPr>
      <w:r>
        <w:rPr>
          <w:noProof/>
        </w:rPr>
        <w:t>Член 4</w:t>
      </w:r>
    </w:p>
    <w:p>
      <w:pPr>
        <w:keepLines/>
        <w:rPr>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lang w:val="pl-PL"/>
        </w:rPr>
      </w:pPr>
      <w:r>
        <w:rPr>
          <w:rStyle w:val="FootnoteReference"/>
        </w:rPr>
        <w:footnoteRef/>
      </w:r>
      <w:r>
        <w:tab/>
        <w:t>ОВ L 182, 29.6. 2013 г., стр. 1.</w:t>
      </w:r>
    </w:p>
  </w:footnote>
  <w:footnote w:id="2">
    <w:p>
      <w:pPr>
        <w:pStyle w:val="FootnoteText"/>
        <w:rPr>
          <w:lang w:val="pl-PL"/>
        </w:rPr>
      </w:pPr>
      <w:r>
        <w:rPr>
          <w:rStyle w:val="FootnoteReference"/>
        </w:rPr>
        <w:footnoteRef/>
      </w:r>
      <w:r>
        <w:tab/>
        <w:t>ОВ L 239, 22.9.2000 г., стр. 19.</w:t>
      </w:r>
    </w:p>
  </w:footnote>
  <w:footnote w:id="3">
    <w:p>
      <w:pPr>
        <w:pStyle w:val="FootnoteText"/>
        <w:rPr>
          <w:lang w:val="pl-PL"/>
        </w:rPr>
      </w:pPr>
      <w:r>
        <w:rPr>
          <w:rStyle w:val="FootnoteReference"/>
        </w:rPr>
        <w:footnoteRef/>
      </w:r>
      <w:r>
        <w:tab/>
        <w:t>OВ L 105, 13.4.2006 г., стр. 1.</w:t>
      </w:r>
    </w:p>
  </w:footnote>
  <w:footnote w:id="4">
    <w:p>
      <w:pPr>
        <w:pStyle w:val="FootnoteText"/>
        <w:rPr>
          <w:lang w:val="pl-PL"/>
        </w:rPr>
      </w:pPr>
      <w:r>
        <w:rPr>
          <w:rStyle w:val="FootnoteReference"/>
        </w:rPr>
        <w:footnoteRef/>
      </w:r>
      <w:r>
        <w:tab/>
        <w:t>ОВ L 243, 15.9.2009 г., стр. 1.</w:t>
      </w:r>
    </w:p>
  </w:footnote>
  <w:footnote w:id="5">
    <w:p>
      <w:pPr>
        <w:pStyle w:val="FootnoteText"/>
        <w:rPr>
          <w:lang w:val="pl-PL"/>
        </w:rPr>
      </w:pPr>
      <w:r>
        <w:rPr>
          <w:rStyle w:val="FootnoteReference"/>
        </w:rPr>
        <w:footnoteRef/>
      </w:r>
      <w:r>
        <w:tab/>
        <w:t>OВ L 081, 21.3.2001 г., стр.1.</w:t>
      </w:r>
    </w:p>
  </w:footnote>
  <w:footnote w:id="6">
    <w:p>
      <w:pPr>
        <w:pStyle w:val="FootnoteText"/>
        <w:rPr>
          <w:lang w:val="pl-PL"/>
        </w:rPr>
      </w:pPr>
      <w:r>
        <w:rPr>
          <w:rStyle w:val="FootnoteReference"/>
        </w:rPr>
        <w:footnoteRef/>
      </w:r>
      <w:r>
        <w:tab/>
        <w:t>OВ L 169, 30.6.2009 г., стр. 3.</w:t>
      </w:r>
    </w:p>
  </w:footnote>
  <w:footnote w:id="7">
    <w:p>
      <w:pPr>
        <w:pStyle w:val="FootnoteText"/>
      </w:pPr>
      <w:r>
        <w:rPr>
          <w:rStyle w:val="FootnoteReference"/>
        </w:rPr>
        <w:footnoteRef/>
      </w:r>
      <w:r>
        <w:tab/>
        <w:t>OВ L 169, 30.6.2009 г., стр. 24.</w:t>
      </w:r>
    </w:p>
  </w:footnote>
  <w:footnote w:id="8">
    <w:p>
      <w:pPr>
        <w:pStyle w:val="FootnoteText"/>
      </w:pPr>
      <w:r>
        <w:rPr>
          <w:rStyle w:val="FootnoteReference"/>
        </w:rPr>
        <w:footnoteRef/>
      </w:r>
      <w:r>
        <w:tab/>
        <w:t>OВ L 169, 30.6.2009 г., стр. 10.</w:t>
      </w:r>
    </w:p>
  </w:footnote>
  <w:footnote w:id="9">
    <w:p>
      <w:pPr>
        <w:pStyle w:val="FootnoteText"/>
      </w:pPr>
      <w:r>
        <w:rPr>
          <w:rStyle w:val="FootnoteReference"/>
        </w:rPr>
        <w:footnoteRef/>
      </w:r>
      <w:r>
        <w:tab/>
        <w:t>С Бразилия ЕС е сключил две споразумения — едното за притежателите на обикновени паспорти (ОВ L 255, 21.9.2012 г., стр. 4), а другото за притежателите на дипломатически, служебни и официални паспорти (ОВ L 66, 12.3.2011 г., стр. 2).</w:t>
      </w:r>
    </w:p>
  </w:footnote>
  <w:footnote w:id="10">
    <w:p>
      <w:pPr>
        <w:pStyle w:val="FootnoteText"/>
      </w:pPr>
      <w:r>
        <w:rPr>
          <w:rStyle w:val="FootnoteReference"/>
        </w:rPr>
        <w:footnoteRef/>
      </w:r>
      <w:r>
        <w:tab/>
        <w:t>OВ L 169, 30.6.2009 г., стр. 17.</w:t>
      </w:r>
    </w:p>
  </w:footnote>
  <w:footnote w:id="11">
    <w:p>
      <w:pPr>
        <w:pStyle w:val="FootnoteText"/>
      </w:pPr>
      <w:r>
        <w:rPr>
          <w:rStyle w:val="FootnoteReference"/>
        </w:rPr>
        <w:footnoteRef/>
      </w:r>
      <w:r>
        <w:tab/>
        <w:t>OВ L 169, 30.6.2009 г., стр. 38.</w:t>
      </w:r>
    </w:p>
  </w:footnote>
  <w:footnote w:id="12">
    <w:p>
      <w:pPr>
        <w:pStyle w:val="FootnoteText"/>
      </w:pPr>
      <w:r>
        <w:rPr>
          <w:rStyle w:val="FootnoteReference"/>
        </w:rPr>
        <w:footnoteRef/>
      </w:r>
      <w:r>
        <w:tab/>
        <w:t>OВ L 169, 30.6.2009 г., стр. 31.</w:t>
      </w:r>
    </w:p>
  </w:footnote>
  <w:footnote w:id="13">
    <w:p>
      <w:pPr>
        <w:pStyle w:val="FootnoteText"/>
      </w:pPr>
      <w:r>
        <w:rPr>
          <w:rStyle w:val="FootnoteReference"/>
        </w:rPr>
        <w:footnoteRef/>
      </w:r>
      <w:r>
        <w:tab/>
        <w:t>Вж. разпоредбите за „Цел“ и „Продължителност на престоя“ в споразуменията.</w:t>
      </w:r>
    </w:p>
  </w:footnote>
  <w:footnote w:id="14">
    <w:p>
      <w:pPr>
        <w:pStyle w:val="FootnoteText"/>
      </w:pPr>
      <w:r>
        <w:rPr>
          <w:rStyle w:val="FootnoteReference"/>
        </w:rPr>
        <w:footnoteRef/>
      </w:r>
      <w:r>
        <w:tab/>
        <w:t xml:space="preserve">COM(2014) 468 final. </w:t>
      </w:r>
    </w:p>
  </w:footnote>
  <w:footnote w:id="15">
    <w:p>
      <w:pPr>
        <w:pStyle w:val="FootnoteText"/>
      </w:pPr>
      <w:r>
        <w:rPr>
          <w:rStyle w:val="FootnoteReference"/>
        </w:rPr>
        <w:footnoteRef/>
      </w:r>
      <w:r>
        <w:tab/>
        <w:t>Решение на Съвета за разрешаване на Комисията да започне преговори за изменение на споразуменията относно отмяна на визовия режим за краткосрочно пребиваване, сключени между Европейския съюз/Европейската общност и Антигуа и Барбуда, Бахамската общност, Барбадос, Федеративна република Бразилия, Република Мавриций, Федерация Сейнт Китс и Невис и Република Сейшели, прието от Съвета на 9.10.2014 г.</w:t>
      </w:r>
    </w:p>
  </w:footnote>
  <w:footnote w:id="16">
    <w:p>
      <w:pPr>
        <w:pStyle w:val="FootnoteText"/>
      </w:pPr>
      <w:r>
        <w:rPr>
          <w:rStyle w:val="FootnoteReference"/>
        </w:rPr>
        <w:footnoteRef/>
      </w:r>
      <w:r>
        <w:tab/>
        <w:t>COM(2016)194 final.</w:t>
      </w:r>
    </w:p>
  </w:footnote>
  <w:footnote w:id="17">
    <w:p>
      <w:pPr>
        <w:pStyle w:val="FootnoteText"/>
        <w:rPr>
          <w:rStyle w:val="FootnoteReference"/>
          <w:b/>
        </w:rPr>
      </w:pPr>
      <w:r>
        <w:rPr>
          <w:rStyle w:val="FootnoteReference"/>
        </w:rPr>
        <w:footnoteRef/>
      </w:r>
      <w:r>
        <w:tab/>
        <w:t>Регламент (ЕС) № 610/2013 на Европейския парламент и на Съвета от 26 юни 2013 година за изменение на Регламент (ЕО) № 562/2006 на Европейския парламент и на Съвета за създаване на Кодекс на Общността за режима на движение на лица през границите (Кодекс на шенгенските граници), Конвенцията за прилагане на Споразумението от Шенген, регламенти (ЕО) № 1683/95 и (ЕО) № 539/2001 на Съвета и регламенти (ЕО) № 767/2008 и (ЕО) № 810/2009 на Европейския парламент и на Съвета, ОВ L 182, 29.6.2013 г., стр. 1.</w:t>
      </w:r>
    </w:p>
  </w:footnote>
  <w:footnote w:id="18">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19">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9: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04B3EA167CF4901AE2193068718D27A"/>
    <w:docVar w:name="LW_CROSSREFERENCE" w:val="&lt;UNUSED&gt;"/>
    <w:docVar w:name="LW_DocType" w:val="COM"/>
    <w:docVar w:name="LW_EMISSION" w:val="27.7.2017"/>
    <w:docVar w:name="LW_EMISSION_ISODATE" w:val="2017-07-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4"/>
    <w:docVar w:name="LW_REF.II.NEW.CP_YEAR" w:val="2017"/>
    <w:docVar w:name="LW_REF.INST.NEW" w:val="COM"/>
    <w:docVar w:name="LW_REF.INST.NEW_ADOPTED" w:val="final"/>
    <w:docVar w:name="LW_REF.INST.NEW_TEXT" w:val="(2017) 393"/>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5?\u1072? \u1057?\u1087?\u1086?\u1088?\u1072?\u1079?\u1091?\u1084?\u1077?\u1085?\u1080?\u1077?\u1090?\u1086? \u1084?\u1077?\u1078?\u1076?\u1091? \u1045?\u1074?\u1088?\u1086?\u1087?\u1077?\u1081?\u1089?\u1082?\u1080?\u1103? \u1089?\u1098?\u1102?\u1079? \u1080? \u1040?\u1085?\u1090?\u1080?\u1075?\u1091?\u1072? \u1080? \u1041?\u1072?\u1088?\u1073?\u1091?\u1076?\u1072? \u1079?\u1072? \u1080?\u1079?\u1084?\u1077?\u1085?\u1077?\u1085?\u1080?\u1077? \u1085?\u1072? \u1057?\u1087?\u1086?\u1088?\u1072?\u1079?\u1091?\u1084?\u1077?\u1085?\u1080?\u1077?\u1090?\u1086? \u1084?\u1077?\u1078?\u1076?\u1091? \u1045?\u1074?\u1088?\u1086?\u1087?\u1077?\u1081?\u1089?\u1082?\u1072?\u1090?\u1072? \u1086?\u1073?\u1097?\u1085?\u1086?\u1089?\u1090? \u1080? \u1040?\u1085?\u1090?\u1080?\u1075?\u1091?\u1072? \u1080? \u1041?\u1072?\u1088?\u1073?\u1091?\u1076?\u1072? \u1079?\u1072? \u1086?\u1090?\u1084?\u1103?\u1085?\u1072? \u1085?\u1072? \u1074?\u1080?\u1079?\u1086?\u1074?\u1080?\u1103? \u1088?\u1077?\u1078?\u1080?\u1084?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E36D-5BD3-484E-A926-F170A8B6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2030</Words>
  <Characters>11796</Characters>
  <Application>Microsoft Office Word</Application>
  <DocSecurity>0</DocSecurity>
  <Lines>222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2017-07-10T13:24:00Z</dcterms:created>
  <dcterms:modified xsi:type="dcterms:W3CDTF">2017-07-19T11:19:00Z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