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243B567DCAA4E56A00753C3C33B6CD2" style="width:451pt;height:397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за сключване на Споразумението между Европейския съюз и Бахамската общност за изменение на Споразумението между Европейската общност и Бахамската общност за отмяна на визовия режим за краткосрочно пребиваване</w:t>
      </w:r>
    </w:p>
    <w:p>
      <w:pPr>
        <w:spacing w:before="0" w:after="200" w:line="276" w:lineRule="auto"/>
        <w:jc w:val="left"/>
        <w:rPr>
          <w:b/>
          <w:noProof/>
          <w:szCs w:val="24"/>
        </w:rPr>
      </w:pPr>
      <w:r>
        <w:rPr>
          <w:noProof/>
        </w:rPr>
        <w:br w:type="page"/>
      </w:r>
    </w:p>
    <w:p>
      <w:pPr>
        <w:jc w:val="center"/>
        <w:rPr>
          <w:b/>
          <w:noProof/>
          <w:szCs w:val="24"/>
        </w:rPr>
      </w:pPr>
      <w:r>
        <w:rPr>
          <w:b/>
          <w:noProof/>
        </w:rPr>
        <w:lastRenderedPageBreak/>
        <w:t>СПОРАЗУМЕНИЕ</w:t>
      </w:r>
    </w:p>
    <w:p>
      <w:pPr>
        <w:jc w:val="center"/>
        <w:rPr>
          <w:b/>
          <w:noProof/>
          <w:szCs w:val="24"/>
        </w:rPr>
      </w:pPr>
      <w:r>
        <w:rPr>
          <w:b/>
          <w:noProof/>
        </w:rPr>
        <w:t>за сключване на Споразумението между Европейския съюз и Бахамската общнос</w:t>
      </w:r>
      <w:r>
        <w:rPr>
          <w:noProof/>
        </w:rPr>
        <w:t>т</w:t>
      </w:r>
      <w:r>
        <w:rPr>
          <w:rStyle w:val="Strong"/>
          <w:noProof/>
        </w:rPr>
        <w:t xml:space="preserve"> </w:t>
      </w:r>
      <w:r>
        <w:rPr>
          <w:noProof/>
        </w:rPr>
        <w:t>з</w:t>
      </w:r>
      <w:r>
        <w:rPr>
          <w:b/>
          <w:noProof/>
        </w:rPr>
        <w:t>а изменение на Споразумението между Европейската общност и Бахамската общност</w:t>
      </w:r>
      <w:r>
        <w:rPr>
          <w:rStyle w:val="Strong"/>
          <w:noProof/>
        </w:rPr>
        <w:t xml:space="preserve"> </w:t>
      </w:r>
      <w:r>
        <w:rPr>
          <w:b/>
          <w:noProof/>
        </w:rPr>
        <w:t>за отмяна на визовия режим за краткосрочно пребиваване</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БАХАМСКАТА ОБЩНОСТ (наричана по-нататък „Бахамските острови“),</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КАТО ВЗЕХА ПРЕДВИД Споразумението между Европейската общност и Бахамската общност за отмяна на визовия режим за краткосрочно пребиваване (наричано по-нататък „Споразумението“), което влезе в сила на 1 април 2010 г.,</w:t>
      </w:r>
    </w:p>
    <w:p>
      <w:pPr>
        <w:rPr>
          <w:noProof/>
          <w:szCs w:val="24"/>
        </w:rPr>
      </w:pPr>
      <w:r>
        <w:rPr>
          <w:noProof/>
        </w:rPr>
        <w:t xml:space="preserve">КАТО ПОТВЪРЖДАВАТ ОТНОВО значението на улесняването на контактите между хората, </w:t>
      </w:r>
    </w:p>
    <w:p>
      <w:pPr>
        <w:rPr>
          <w:noProof/>
          <w:szCs w:val="24"/>
        </w:rPr>
      </w:pPr>
      <w:r>
        <w:rPr>
          <w:noProof/>
        </w:rPr>
        <w:t>КАТО ОТБЕЛЯЗВАТ, че Споразумението действа в полза на гражданите на договарящите се страни,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zCs w:val="24"/>
        </w:rPr>
      </w:pPr>
      <w:r>
        <w:rPr>
          <w:noProof/>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zCs w:val="24"/>
        </w:rPr>
      </w:pPr>
      <w:r>
        <w:rPr>
          <w:noProof/>
        </w:rPr>
        <w:t>КАТО ПОТВЪРЖДАВАТ ОТНОВО, че Споразумението обхваща гражданите на всички държави — членки на Европейския съюз, с изключение на Обединеното кралство и Ирландия,</w:t>
      </w:r>
    </w:p>
    <w:p>
      <w:pPr>
        <w:rPr>
          <w:noProof/>
          <w:szCs w:val="24"/>
        </w:rPr>
      </w:pPr>
      <w:r>
        <w:rPr>
          <w:noProof/>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rPr>
          <w:noProof/>
          <w:szCs w:val="24"/>
        </w:rPr>
      </w:pPr>
      <w:r>
        <w:rPr>
          <w:noProof/>
        </w:rPr>
        <w:t>СЕ СПОРАЗУМЯХА ЗА СЛЕДНОТО:</w:t>
      </w:r>
    </w:p>
    <w:p>
      <w:pPr>
        <w:pStyle w:val="Titrearticle"/>
        <w:rPr>
          <w:noProof/>
        </w:rPr>
      </w:pPr>
      <w:r>
        <w:rPr>
          <w:noProof/>
        </w:rPr>
        <w:lastRenderedPageBreak/>
        <w:t>Член 1</w:t>
      </w:r>
    </w:p>
    <w:p>
      <w:pPr>
        <w:rPr>
          <w:noProof/>
          <w:szCs w:val="24"/>
        </w:rPr>
      </w:pPr>
      <w:r>
        <w:rPr>
          <w:noProof/>
        </w:rPr>
        <w:t>Споразумението се изменя в съответствие с разпоредбите на настоящия член:</w:t>
      </w:r>
    </w:p>
    <w:p>
      <w:pPr>
        <w:pStyle w:val="Point0number"/>
        <w:numPr>
          <w:ilvl w:val="0"/>
          <w:numId w:val="8"/>
        </w:numPr>
        <w:spacing w:after="240"/>
        <w:ind w:left="851" w:hanging="851"/>
        <w:rPr>
          <w:noProof/>
        </w:rPr>
      </w:pPr>
      <w:r>
        <w:rPr>
          <w:noProof/>
        </w:rPr>
        <w:t>В заглавието думите „Европейската общност“ се заменят с думите „Европейския съюз“,  в член 3, параграф 5 думите „общностното право“ се заменят с думите „правото на Съюза“, в член 6, параграф 1 думите „Европейската общност“ и „Общността“ се заменят съответно с думите „Европейския съюз“ и „Съюзът“,  и в член 8, параграф 7 думата „Общността“ се заменя с думата „Съюзът“.</w:t>
      </w:r>
    </w:p>
    <w:p>
      <w:pPr>
        <w:pStyle w:val="Point0number"/>
        <w:numPr>
          <w:ilvl w:val="0"/>
          <w:numId w:val="7"/>
        </w:numPr>
        <w:spacing w:after="240"/>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7"/>
        </w:numPr>
        <w:rPr>
          <w:noProof/>
        </w:rPr>
      </w:pPr>
      <w:r>
        <w:rPr>
          <w:noProof/>
        </w:rPr>
        <w:t>Член 4, параграф 1 се заменя със следното:</w:t>
      </w:r>
    </w:p>
    <w:p>
      <w:pPr>
        <w:ind w:left="850"/>
        <w:rPr>
          <w:noProof/>
          <w:szCs w:val="24"/>
        </w:rPr>
      </w:pPr>
      <w:r>
        <w:rPr>
          <w:noProof/>
        </w:rPr>
        <w:t>„Гражданите на Европейския съюз могат да пребивават на територията на Бахамските острови за максимален срок от 90 дни в рамките на всеки 180-дневен период.“</w:t>
      </w:r>
    </w:p>
    <w:p>
      <w:pPr>
        <w:pStyle w:val="Point0number"/>
        <w:rPr>
          <w:noProof/>
        </w:rPr>
      </w:pPr>
      <w:r>
        <w:rPr>
          <w:noProof/>
        </w:rPr>
        <w:t>Член 4, параграф 2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„Гражданите на Бахамските острови</w:t>
      </w:r>
      <w:r>
        <w:rPr>
          <w:noProof/>
        </w:rPr>
        <w:t xml:space="preserve"> </w:t>
      </w:r>
      <w:r>
        <w:rPr>
          <w:rFonts w:ascii="Times New Roman" w:hAnsi="Times New Roman"/>
          <w:noProof/>
          <w:color w:val="000000"/>
        </w:rPr>
        <w:t>могат да пребивават на територията на държавите членки, прилагащи изцяло достиженията на правото от Шенген, за максимален срок от</w:t>
      </w:r>
      <w:r>
        <w:rPr>
          <w:noProof/>
        </w:rPr>
        <w:t xml:space="preserve"> </w:t>
      </w:r>
      <w:r>
        <w:rPr>
          <w:rFonts w:ascii="Times New Roman" w:hAnsi="Times New Roman"/>
          <w:noProof/>
        </w:rPr>
        <w:t>90 дни в рамките на всеки 180-дневен период.</w:t>
      </w:r>
      <w:r>
        <w:rPr>
          <w:rFonts w:ascii="Times New Roman" w:hAnsi="Times New Roman"/>
          <w:noProof/>
          <w:color w:val="000000"/>
        </w:rPr>
        <w:t xml:space="preserve"> Този срок се изчислява независимо от пребиваването в държава членка, която все още не прилага изцяло достиженията на правото от Шенген. </w:t>
      </w:r>
    </w:p>
    <w:p>
      <w:pPr>
        <w:ind w:left="850"/>
        <w:rPr>
          <w:noProof/>
          <w:szCs w:val="24"/>
        </w:rPr>
      </w:pPr>
      <w:r>
        <w:rPr>
          <w:noProof/>
        </w:rPr>
        <w:t>Гражданите на Бахамските острови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rPr>
          <w:noProof/>
        </w:rPr>
      </w:pPr>
      <w:r>
        <w:rPr>
          <w:noProof/>
        </w:rPr>
        <w:t>В член 4, параграф 3 думите „три месеца“ се заменят с думите „90 дни“ и думите „общностното право“ се заменят с думите „правото на Съюза“.</w:t>
      </w:r>
    </w:p>
    <w:p>
      <w:pPr>
        <w:pStyle w:val="Point0number"/>
        <w:rPr>
          <w:noProof/>
        </w:rPr>
      </w:pPr>
      <w:r>
        <w:rPr>
          <w:noProof/>
        </w:rPr>
        <w:t>Последното изречение в член 8, параграф 4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временно спиране отпаднат, и възобновява изпълнението.“</w:t>
      </w:r>
    </w:p>
    <w:p>
      <w:pPr>
        <w:pStyle w:val="Titrearticle"/>
        <w:rPr>
          <w:noProof/>
        </w:rPr>
      </w:pPr>
      <w:r>
        <w:rPr>
          <w:noProof/>
        </w:rPr>
        <w:t>Член 2</w:t>
      </w:r>
    </w:p>
    <w:p>
      <w:pPr>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rPr>
          <w:noProof/>
          <w:szCs w:val="24"/>
        </w:rPr>
      </w:pPr>
    </w:p>
    <w:p>
      <w:pPr>
        <w:rPr>
          <w:noProof/>
          <w:szCs w:val="24"/>
        </w:rPr>
      </w:pPr>
      <w:r>
        <w:rPr>
          <w:noProof/>
        </w:rPr>
        <w:lastRenderedPageBreak/>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r>
        <w:rPr>
          <w:noProof/>
        </w:rPr>
        <w:t>За Европейския съюз</w:t>
      </w:r>
    </w:p>
    <w:p>
      <w:pPr>
        <w:rPr>
          <w:noProof/>
          <w:szCs w:val="24"/>
        </w:rPr>
      </w:pPr>
    </w:p>
    <w:p>
      <w:pPr>
        <w:rPr>
          <w:noProof/>
        </w:rPr>
      </w:pPr>
      <w:r>
        <w:rPr>
          <w:noProof/>
        </w:rPr>
        <w:t>За Бахамската общност</w:t>
      </w:r>
      <w:r>
        <w:rPr>
          <w:noProof/>
        </w:rPr>
        <w:br w:type="page"/>
      </w:r>
    </w:p>
    <w:p>
      <w:pPr>
        <w:rPr>
          <w:b/>
          <w:noProof/>
          <w:szCs w:val="24"/>
        </w:rPr>
      </w:pPr>
      <w:r>
        <w:rPr>
          <w:b/>
          <w:noProof/>
        </w:rPr>
        <w:lastRenderedPageBreak/>
        <w:t>СЪВМЕСТНА ДЕКЛАРАЦИЯ ОТНОСНО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Бахамските острови, от друга страна, незабавно да изменят съществуващите двустранни споразумения за премахване на визите за краткосрочно пребиваване в съответствие с условията на настоящото споразумение.</w:t>
      </w:r>
    </w:p>
    <w:p>
      <w:pPr>
        <w:rPr>
          <w:b/>
          <w:caps/>
          <w:noProof/>
          <w:szCs w:val="24"/>
        </w:rPr>
      </w:pPr>
      <w:r>
        <w:rPr>
          <w:b/>
          <w:caps/>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180-дневен период.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spacing w:after="100" w:afterAutospacing="1"/>
        <w:ind w:left="-284"/>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88E190"/>
    <w:lvl w:ilvl="0">
      <w:start w:val="1"/>
      <w:numFmt w:val="decimal"/>
      <w:pStyle w:val="ListNumber3"/>
      <w:lvlText w:val="%1."/>
      <w:lvlJc w:val="left"/>
      <w:pPr>
        <w:tabs>
          <w:tab w:val="num" w:pos="926"/>
        </w:tabs>
        <w:ind w:left="926" w:hanging="360"/>
      </w:pPr>
    </w:lvl>
  </w:abstractNum>
  <w:abstractNum w:abstractNumId="1">
    <w:nsid w:val="FFFFFF7F"/>
    <w:multiLevelType w:val="singleLevel"/>
    <w:tmpl w:val="C36823CA"/>
    <w:lvl w:ilvl="0">
      <w:start w:val="1"/>
      <w:numFmt w:val="decimal"/>
      <w:pStyle w:val="ListNumber2"/>
      <w:lvlText w:val="%1."/>
      <w:lvlJc w:val="left"/>
      <w:pPr>
        <w:tabs>
          <w:tab w:val="num" w:pos="643"/>
        </w:tabs>
        <w:ind w:left="643" w:hanging="360"/>
      </w:pPr>
    </w:lvl>
  </w:abstractNum>
  <w:abstractNum w:abstractNumId="2">
    <w:nsid w:val="FFFFFF81"/>
    <w:multiLevelType w:val="singleLevel"/>
    <w:tmpl w:val="534CE0E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EB1AC42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AAC208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304AD8AA"/>
    <w:lvl w:ilvl="0">
      <w:start w:val="1"/>
      <w:numFmt w:val="decimal"/>
      <w:pStyle w:val="ListNumber"/>
      <w:lvlText w:val="%1."/>
      <w:lvlJc w:val="left"/>
      <w:pPr>
        <w:tabs>
          <w:tab w:val="num" w:pos="360"/>
        </w:tabs>
        <w:ind w:left="360" w:hanging="360"/>
      </w:pPr>
    </w:lvl>
  </w:abstractNum>
  <w:abstractNum w:abstractNumId="6">
    <w:nsid w:val="FFFFFF89"/>
    <w:multiLevelType w:val="singleLevel"/>
    <w:tmpl w:val="F31619C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8 09:26: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4243B567DCAA4E56A00753C3C33B6CD2"/>
    <w:docVar w:name="LW_CROSSREFERENCE" w:val="&lt;UNUSED&gt;"/>
    <w:docVar w:name="LW_DocType" w:val="ANNEX"/>
    <w:docVar w:name="LW_EMISSION" w:val="28.7.2017"/>
    <w:docVar w:name="LW_EMISSION_ISODATE" w:val="2017-07-2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84?\u1077?\u1078?\u1076?\u1091? \u1045?\u1074?\u1088?\u1086?\u1087?\u1077?\u1081?\u1089?\u1082?\u1080?\u1103? \u1089?\u1098?\u1102?\u1079? \u1080? \u1041?\u1072?\u1093?\u1072?\u1084?\u1089?\u1082?\u1072?\u1090?\u1072? \u1086?\u1073?\u1097?\u1085?\u1086?\u1089?\u1090? \u1079?\u1072? \u1080?\u1079?\u1084?\u1077?\u1085?\u1077?\u1085?\u1080?\u1077? \u1085?\u1072? \u1057?\u1087?\u1086?\u1088?\u1072?\u1079?\u1091?\u1084?\u1077?\u1085?\u1080?\u1077?\u1090?\u1086? \u1084?\u1077?\u1078?\u1076?\u1091? \u1045?\u1074?\u1088?\u1086?\u1087?\u1077?\u1081?\u1089?\u1082?\u1072?\u1090?\u1072? \u1086?\u1073?\u1097?\u1085?\u1086?\u1089?\u1090? \u1080? \u1041?\u1072?\u1093?\u1072?\u1084?\u1089?\u1082?\u1072?\u1090?\u1072? \u1086?\u1073?\u1097?\u1085?\u1086?\u1089?\u1090? \u1079?\u1072? \u1086?\u1090?\u1084?\u1103?\u1085?\u1072? \u1085?\u1072? \u1074?\u1080?\u1079?\u1086?\u1074?\u1080?\u1103? \u1088?\u1077?\u1078?\u1080?\u1084?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7) 394"/>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944</Words>
  <Characters>5555</Characters>
  <Application>Microsoft Office Word</Application>
  <DocSecurity>0</DocSecurity>
  <Lines>118</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2017-07-11T07:17:00Z</dcterms:created>
  <dcterms:modified xsi:type="dcterms:W3CDTF">2017-07-28T07:26:00Z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