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D787E68326849AEBA85EC67B311F5C6"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rPr>
          <w:noProof/>
          <w:szCs w:val="24"/>
        </w:rPr>
      </w:pPr>
      <w:r>
        <w:rPr>
          <w:noProof/>
        </w:rPr>
        <w:t>С Регламент (ЕС) № 610/2013 от 26 юни 2013 г.</w:t>
      </w:r>
      <w:r>
        <w:rPr>
          <w:rStyle w:val="FootnoteReference"/>
          <w:noProof/>
        </w:rPr>
        <w:footnoteReference w:id="2"/>
      </w:r>
      <w:r>
        <w:rPr>
          <w:noProof/>
        </w:rPr>
        <w:t xml:space="preserve"> (наричан по-нататък „изменението на КШГ“) бяха изменени Конвенцията за прилагане на Споразумението от Шенген</w:t>
      </w:r>
      <w:r>
        <w:rPr>
          <w:rStyle w:val="FootnoteReference"/>
          <w:noProof/>
        </w:rPr>
        <w:footnoteReference w:id="3"/>
      </w:r>
      <w:r>
        <w:rPr>
          <w:noProof/>
        </w:rPr>
        <w:t xml:space="preserve"> (CISA), </w:t>
      </w:r>
      <w:r>
        <w:rPr>
          <w:rStyle w:val="Strong"/>
          <w:b w:val="0"/>
          <w:noProof/>
        </w:rPr>
        <w:t>Регламент (ЕО) № 562/2006</w:t>
      </w:r>
      <w:r>
        <w:rPr>
          <w:rStyle w:val="FootnoteReference"/>
          <w:noProof/>
        </w:rPr>
        <w:footnoteReference w:id="4"/>
      </w:r>
      <w:r>
        <w:rPr>
          <w:rStyle w:val="Strong"/>
          <w:noProof/>
          <w:sz w:val="20"/>
        </w:rPr>
        <w:t xml:space="preserve"> </w:t>
      </w:r>
      <w:r>
        <w:rPr>
          <w:noProof/>
        </w:rPr>
        <w:t>(Кодекс на шенгенските граници [КШГ]) и Регламент (ЕО) № 810/2009</w:t>
      </w:r>
      <w:r>
        <w:rPr>
          <w:rStyle w:val="FootnoteReference"/>
          <w:noProof/>
        </w:rPr>
        <w:footnoteReference w:id="5"/>
      </w:r>
      <w:r>
        <w:rPr>
          <w:noProof/>
        </w:rPr>
        <w:t xml:space="preserve"> (Визов кодекс) и, наред с другото, бе дадено ново определение на понятието „краткосрочно пребиваване“ за граждани на трети държави в Шенгенското пространство. Считано от 18 октомври 2013 г. за граждани на трети държави — независимо дали са освободени от изискването за виза или не — които възнамеряват да пътуват до Шенгенското пространство с цел краткосрочно пребиваване, максималната продължителност на разрешения престой се определя като „90 дни в рамките на всеки 180-дневен период“.</w:t>
      </w:r>
      <w:r>
        <w:rPr>
          <w:b/>
          <w:i/>
          <w:noProof/>
        </w:rPr>
        <w:t xml:space="preserve"> </w:t>
      </w:r>
      <w:r>
        <w:rPr>
          <w:noProof/>
        </w:rPr>
        <w:t>За разлика от определението, което бе в сила до 18 октомври 2013 г. (три месеца в продължение на шестмесечен период след датата на първото влизане), новото понятие е по-точно, тъй като срокът се определя в дни, вместо в месеци. Освен това думите „след датата на първото влизане“, които породиха много неясноти и въпроси, бяха заличени от определението.</w:t>
      </w:r>
    </w:p>
    <w:p>
      <w:pPr>
        <w:rPr>
          <w:noProof/>
          <w:szCs w:val="24"/>
        </w:rPr>
      </w:pPr>
      <w:r>
        <w:rPr>
          <w:noProof/>
        </w:rPr>
        <w:t>С изменението на КШГ всички необходими промени бяха внесени в правните актове на ЕС в областта на визите и границите, т.е. CISA, КШГ, Визовия кодекс и Регламент (ЕО) № 539/2001</w:t>
      </w:r>
      <w:r>
        <w:rPr>
          <w:rStyle w:val="FootnoteReference"/>
          <w:noProof/>
        </w:rPr>
        <w:footnoteReference w:id="6"/>
      </w:r>
      <w:r>
        <w:rPr>
          <w:noProof/>
        </w:rPr>
        <w:t>. Понятието за краткосрочно пребиваване обаче е залегнало и в международни споразумения, сключени от Европейския съюз. Споразуменията за отмяна на визовия режим, сключени с Антигуа и Барбуда</w:t>
      </w:r>
      <w:r>
        <w:rPr>
          <w:rStyle w:val="FootnoteReference"/>
          <w:noProof/>
        </w:rPr>
        <w:footnoteReference w:id="7"/>
      </w:r>
      <w:r>
        <w:rPr>
          <w:noProof/>
        </w:rPr>
        <w:t>, Бахамските острови</w:t>
      </w:r>
      <w:r>
        <w:rPr>
          <w:rStyle w:val="FootnoteReference"/>
          <w:noProof/>
        </w:rPr>
        <w:footnoteReference w:id="8"/>
      </w:r>
      <w:r>
        <w:rPr>
          <w:noProof/>
        </w:rPr>
        <w:t>, Барбадос</w:t>
      </w:r>
      <w:r>
        <w:rPr>
          <w:rStyle w:val="FootnoteReference"/>
          <w:noProof/>
        </w:rPr>
        <w:footnoteReference w:id="9"/>
      </w:r>
      <w:r>
        <w:rPr>
          <w:noProof/>
        </w:rPr>
        <w:t>, Бразилия</w:t>
      </w:r>
      <w:r>
        <w:rPr>
          <w:rStyle w:val="FootnoteReference"/>
          <w:noProof/>
        </w:rPr>
        <w:footnoteReference w:id="10"/>
      </w:r>
      <w:r>
        <w:rPr>
          <w:noProof/>
        </w:rPr>
        <w:t>, Република Мавриций</w:t>
      </w:r>
      <w:r>
        <w:rPr>
          <w:rStyle w:val="FootnoteReference"/>
          <w:noProof/>
        </w:rPr>
        <w:footnoteReference w:id="11"/>
      </w:r>
      <w:r>
        <w:rPr>
          <w:noProof/>
        </w:rPr>
        <w:t>, Сейнт Китс и Невис</w:t>
      </w:r>
      <w:r>
        <w:rPr>
          <w:rStyle w:val="FootnoteReference"/>
          <w:noProof/>
        </w:rPr>
        <w:footnoteReference w:id="12"/>
      </w:r>
      <w:r>
        <w:rPr>
          <w:noProof/>
        </w:rPr>
        <w:t xml:space="preserve"> и Република Сейшели</w:t>
      </w:r>
      <w:r>
        <w:rPr>
          <w:rStyle w:val="FootnoteReference"/>
          <w:noProof/>
        </w:rPr>
        <w:footnoteReference w:id="13"/>
      </w:r>
      <w:r>
        <w:rPr>
          <w:noProof/>
        </w:rPr>
        <w:t xml:space="preserve"> все още се позовават на старото определение („три месеца в продължение на шестмесечен период след  датата на първото влизане“</w:t>
      </w:r>
      <w:r>
        <w:rPr>
          <w:rStyle w:val="FootnoteReference"/>
          <w:noProof/>
        </w:rPr>
        <w:footnoteReference w:id="14"/>
      </w:r>
      <w:r>
        <w:rPr>
          <w:noProof/>
        </w:rPr>
        <w:t xml:space="preserve">) при определянето на продължителността на безвизовия престой. </w:t>
      </w:r>
    </w:p>
    <w:p>
      <w:pPr>
        <w:pStyle w:val="Text1"/>
        <w:ind w:left="0"/>
        <w:rPr>
          <w:noProof/>
        </w:rPr>
      </w:pPr>
      <w:r>
        <w:rPr>
          <w:noProof/>
        </w:rPr>
        <w:t>На 16 юли 2014 г. Комисията прие препоръка за решение на Съвета за разрешаване на започването на преговори за изменение на споразумението за  отмяна на визовия режим за краткосрочно пребиваване между Европейския съюз и горепосочените държави</w:t>
      </w:r>
      <w:r>
        <w:rPr>
          <w:rStyle w:val="FootnoteReference"/>
          <w:noProof/>
        </w:rPr>
        <w:footnoteReference w:id="15"/>
      </w:r>
      <w:r>
        <w:rPr>
          <w:noProof/>
        </w:rPr>
        <w:t>, което беше прието от Съвета на 9 октомври 2014 г.</w:t>
      </w:r>
      <w:r>
        <w:rPr>
          <w:rStyle w:val="FootnoteReference"/>
          <w:noProof/>
        </w:rPr>
        <w:footnoteReference w:id="16"/>
      </w:r>
      <w:r>
        <w:rPr>
          <w:noProof/>
        </w:rPr>
        <w:t xml:space="preserve">. Целта бе по отношение на тези седем държави да се приложи новото определение за краткосрочно пребиваване, както е посочено в изменението на КШГ. Освен това определянето в споразуменията за отмяна на визовия режим на продължителността на краткосрочното пребиваване в </w:t>
      </w:r>
      <w:r>
        <w:rPr>
          <w:i/>
          <w:noProof/>
        </w:rPr>
        <w:t>дни</w:t>
      </w:r>
      <w:r>
        <w:rPr>
          <w:noProof/>
        </w:rPr>
        <w:t xml:space="preserve">, вместо в </w:t>
      </w:r>
      <w:r>
        <w:rPr>
          <w:i/>
          <w:noProof/>
        </w:rPr>
        <w:t>месеци</w:t>
      </w:r>
      <w:r>
        <w:rPr>
          <w:noProof/>
        </w:rPr>
        <w:t>, дава възможност за по-лесна проверка и изчисляване чрез електронни/информационни средства и по този начин е по-подходящо за централизираните системи за управление на границите, като например предложената Система за влизане/излизане (EES)</w:t>
      </w:r>
      <w:r>
        <w:rPr>
          <w:rStyle w:val="FootnoteReference"/>
          <w:noProof/>
        </w:rPr>
        <w:footnoteReference w:id="17"/>
      </w:r>
      <w:r>
        <w:rPr>
          <w:noProof/>
        </w:rPr>
        <w:t>.</w:t>
      </w:r>
    </w:p>
    <w:p>
      <w:pPr>
        <w:pStyle w:val="Text1"/>
        <w:ind w:left="0"/>
        <w:rPr>
          <w:noProof/>
        </w:rPr>
      </w:pPr>
      <w:r>
        <w:rPr>
          <w:noProof/>
        </w:rPr>
        <w:t xml:space="preserve">След разрешението на Съвета Комисията започна преговори за изменение на споразуменията за отмяна на визовия режим със седемте държави (Антигуа и Барбуда, Бахамските острови, Барбадос, Бразилия, Мавриций, Сейнт Китс и Невис и Република Сейшели). </w:t>
      </w:r>
    </w:p>
    <w:p>
      <w:pPr>
        <w:pStyle w:val="Text1"/>
        <w:ind w:left="0"/>
        <w:rPr>
          <w:noProof/>
          <w:szCs w:val="24"/>
        </w:rPr>
      </w:pPr>
      <w:r>
        <w:rPr>
          <w:noProof/>
        </w:rPr>
        <w:t xml:space="preserve">Преговорите с Бахамската общност приключиха успешно с парафирането на споразумението за изменение на 30 август 2016 г. Двете страни се съгласиха да възприемат новото определение за „краткосрочно пребиваване“ в целия текст на Споразумението за отмяна на визовия режим между ЕС и Бахамските острови. Освен това споразумението включва изменение на някои технически аспекти (вж. по-долу), но нито едно от измененията не поражда съществени последици за пътуващите лица. </w:t>
      </w:r>
    </w:p>
    <w:p>
      <w:pPr>
        <w:pBdr>
          <w:top w:val="nil"/>
          <w:left w:val="nil"/>
          <w:bottom w:val="nil"/>
          <w:right w:val="nil"/>
          <w:between w:val="nil"/>
          <w:bar w:val="nil"/>
        </w:pBdr>
        <w:spacing w:before="0" w:after="240"/>
        <w:rPr>
          <w:noProof/>
        </w:rPr>
      </w:pPr>
      <w:r>
        <w:rPr>
          <w:noProof/>
        </w:rPr>
        <w:t xml:space="preserve">Специфичното положение на Обединеното кралство и Ирландия е отразено в преамбюла на споразумението.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ind w:left="0"/>
        <w:rPr>
          <w:noProof/>
        </w:rPr>
      </w:pPr>
      <w:r>
        <w:rPr>
          <w:noProof/>
        </w:rPr>
        <w:t>Споразумението изисква съгласието и на двете договарящи се страни съгласно съответните им процедури. От страна на Съюза това изисква решения на Съвета относно подписването и сключването на споразумението.</w:t>
      </w:r>
    </w:p>
    <w:p>
      <w:pPr>
        <w:pStyle w:val="Text1"/>
        <w:ind w:left="0"/>
        <w:rPr>
          <w:noProof/>
        </w:rPr>
      </w:pPr>
      <w:r>
        <w:rPr>
          <w:noProof/>
        </w:rPr>
        <w:t>Настоящото предложение се внася до Съвета с цел той да разреши сключването на споразумението за изменение на Споразумението между Европейската общност и Бахамската общност за отмяна на визовия режим за краткосрочно пребиваване.</w:t>
      </w:r>
    </w:p>
    <w:p>
      <w:pPr>
        <w:rPr>
          <w:noProof/>
          <w:szCs w:val="24"/>
        </w:rPr>
      </w:pPr>
      <w:r>
        <w:rPr>
          <w:noProof/>
        </w:rPr>
        <w:t xml:space="preserve">Със споразумението се гарантира правната съгласуваност, както и хармонизацията между държавите членки чрез придържане към новото определение за краткосрочно пребиваване, както е предвидено в изменението на КШГ, с което се дава ясно тълкуване на понятието „краткосрочно пребиваване“. </w:t>
      </w:r>
    </w:p>
    <w:p>
      <w:pPr>
        <w:pStyle w:val="Text1"/>
        <w:ind w:left="0"/>
        <w:rPr>
          <w:noProof/>
        </w:rPr>
      </w:pPr>
      <w:r>
        <w:rPr>
          <w:noProof/>
        </w:rPr>
        <w:t>Правното основание за настоящото предложение е член 77, параграф 2, буква а) от Договора за функционирането на Европейския съюз (ДФЕС) във връзка с член 218 от него.</w:t>
      </w:r>
    </w:p>
    <w:p>
      <w:pPr>
        <w:rPr>
          <w:noProof/>
        </w:rPr>
      </w:pPr>
      <w:r>
        <w:rPr>
          <w:noProof/>
        </w:rPr>
        <w:t>Съюзът няма правомощие да изменя споразумения за отмяна на визовия режим , които биха обвързали четирите държави, асоциирани с прилагането на достиженията на правото от Шенген, включително общата визова политика. С цел да се гарантира хармонизиран подход и изпълнение на разпоредбите относно срока на разрешен престой в Шенгенското пространство, в споразумението е включена съвместна декларация, в която се посочва, че е желателно Бахамските острови, от една страна, и Исландия, Лихтенщайн, Норвегия и Швейцария, от друга страна, да променят по съответен начин съществуващите между тях двустранни споразумения за  отмяна на визовия режим.</w:t>
      </w:r>
    </w:p>
    <w:p>
      <w:pPr>
        <w:pStyle w:val="Text1"/>
        <w:ind w:left="0"/>
        <w:rPr>
          <w:noProof/>
        </w:rPr>
      </w:pPr>
      <w:r>
        <w:rPr>
          <w:noProof/>
        </w:rPr>
        <w:t>Приложеното предложение представлява правният инструмент за сключване на споразумението. Съветът ще вземе решение с квалифицирано мнозинство след подписването на споразумението, от името на Съюза, от назначено от председателството на Съвета лице и след като получи одобрението на Европейския парламент в съответствие с член 218, параграф 6, втора алинея, буква а) от ДФЕС.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u w:color="000000"/>
          <w:bdr w:val="nil"/>
        </w:rPr>
      </w:pPr>
      <w:r>
        <w:rPr>
          <w:noProof/>
        </w:rPr>
        <w:t>Ако Европейският съюз е една от договарящите се страни по международно споразумение, то държавите членки нямат законово правомощие да пристъпят самостоятелно към каквото и да било изменение на такова споразумение. Споразумението за отмяна на визовия режим с Бахамските острови беше сключено от Европейския съюз. Следователно е необходимо действие на равнище на Съюза.</w:t>
      </w:r>
    </w:p>
    <w:p>
      <w:pPr>
        <w:rPr>
          <w:noProof/>
          <w:u w:color="000000"/>
          <w:bdr w:val="nil"/>
        </w:rPr>
      </w:pPr>
      <w:r>
        <w:rPr>
          <w:noProof/>
        </w:rPr>
        <w:t>Освен това сключването на споразумения за отмяна на визовия режим от страна на държавите членки би засегнало достиженията на правото на Съюза в областта на визите (член 3, параграф 2 от ДФЕС).</w:t>
      </w:r>
    </w:p>
    <w:p>
      <w:pPr>
        <w:pStyle w:val="ManualHeading2"/>
        <w:rPr>
          <w:rFonts w:eastAsia="Arial Unicode MS"/>
          <w:noProof/>
          <w:u w:color="000000"/>
          <w:bdr w:val="nil"/>
        </w:rPr>
      </w:pPr>
      <w:r>
        <w:rPr>
          <w:noProof/>
        </w:rPr>
        <w:t>•</w:t>
      </w:r>
      <w:r>
        <w:rPr>
          <w:noProof/>
        </w:rPr>
        <w:tab/>
        <w:t>Пропорционалност</w:t>
      </w:r>
    </w:p>
    <w:p>
      <w:pPr>
        <w:pStyle w:val="Text1"/>
        <w:ind w:left="0"/>
        <w:rPr>
          <w:noProof/>
        </w:rPr>
      </w:pPr>
      <w:r>
        <w:rPr>
          <w:noProof/>
        </w:rPr>
        <w:t>Настоящото предложение не надхвърля необходимото за постигане на поставените цели, а именно за изменение на съществуващото споразумение за отмяна на визовия режим между Бахамските острови и Съюза.</w:t>
      </w:r>
    </w:p>
    <w:p>
      <w:pPr>
        <w:pStyle w:val="ManualHeading1"/>
        <w:rPr>
          <w:noProof/>
        </w:rPr>
      </w:pPr>
      <w:r>
        <w:rPr>
          <w:noProof/>
        </w:rPr>
        <w:t>3.</w:t>
      </w:r>
      <w:r>
        <w:rPr>
          <w:noProof/>
        </w:rPr>
        <w:tab/>
        <w:t>ОТРАЖЕНИЕ ВЪРХУ БЮДЖЕТА</w:t>
      </w:r>
    </w:p>
    <w:p>
      <w:pPr>
        <w:pStyle w:val="Text1"/>
        <w:ind w:left="0"/>
        <w:rPr>
          <w:noProof/>
        </w:rPr>
      </w:pPr>
      <w:r>
        <w:rPr>
          <w:noProof/>
        </w:rPr>
        <w:t>Предложението не води до допълнителни разходи за бюджета на ЕС.</w:t>
      </w:r>
    </w:p>
    <w:p>
      <w:pPr>
        <w:pStyle w:val="ManualHeading1"/>
        <w:rPr>
          <w:noProof/>
        </w:rPr>
      </w:pPr>
      <w:r>
        <w:rPr>
          <w:noProof/>
        </w:rPr>
        <w:t xml:space="preserve">4. </w:t>
      </w:r>
      <w:r>
        <w:rPr>
          <w:noProof/>
        </w:rPr>
        <w:tab/>
        <w:t xml:space="preserve">РЕЗУЛТАТИ ОТ ПОСЛЕДВАЩИТЕ ОЦЕНКИ, КОНСУЛТАЦИИ СЪС ЗАИНТЕРЕСОВАНИТЕ СТРАНИ И ОЦЕНКИ НА ВЪЗДЕЙСТВИЕТО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Text1"/>
        <w:ind w:left="0"/>
        <w:rPr>
          <w:noProof/>
        </w:rPr>
      </w:pPr>
      <w:r>
        <w:rPr>
          <w:noProof/>
        </w:rPr>
        <w:t>На 9 октомври 2014 г. Съветът прие указания за водене на преговори, с което упълномощи Комисията да започне преговори с Бахамската общност за изменение на споразумението за отмяна на визовия режим между двете страни. Държавите членки бяха уведомени за напредъка по преговорите по време на заседанията на работна група „Визи“ на Съвета.</w:t>
      </w:r>
    </w:p>
    <w:p>
      <w:pPr>
        <w:pStyle w:val="ManualHeading1"/>
        <w:rPr>
          <w:noProof/>
        </w:rPr>
      </w:pPr>
      <w:r>
        <w:rPr>
          <w:noProof/>
        </w:rPr>
        <w:t>5.</w:t>
      </w:r>
      <w:r>
        <w:rPr>
          <w:noProof/>
        </w:rPr>
        <w:tab/>
        <w:t xml:space="preserve">ДРУГИ ЕЛЕМЕНТИ </w:t>
      </w:r>
    </w:p>
    <w:p>
      <w:pPr>
        <w:pStyle w:val="ManualHeading2"/>
        <w:rPr>
          <w:rFonts w:eastAsia="Arial Unicode MS"/>
          <w:noProof/>
          <w:u w:color="000000"/>
          <w:bdr w:val="nil"/>
        </w:rPr>
      </w:pPr>
      <w:r>
        <w:rPr>
          <w:noProof/>
        </w:rPr>
        <w:t>•</w:t>
      </w:r>
      <w:r>
        <w:rPr>
          <w:noProof/>
        </w:rPr>
        <w:tab/>
        <w:t>Резултати от преговорите</w:t>
      </w:r>
    </w:p>
    <w:p>
      <w:pPr>
        <w:pBdr>
          <w:top w:val="nil"/>
          <w:left w:val="nil"/>
          <w:bottom w:val="nil"/>
          <w:right w:val="nil"/>
          <w:between w:val="nil"/>
          <w:bar w:val="nil"/>
        </w:pBdr>
        <w:spacing w:before="0" w:after="240"/>
        <w:rPr>
          <w:noProof/>
        </w:rPr>
      </w:pPr>
      <w:r>
        <w:rPr>
          <w:noProof/>
        </w:rPr>
        <w:t xml:space="preserve">Комисията счита, че целите, определени от Съвета в неговите указания за водене на преговорите, са постигнати и че проектът на споразумението е приемлив за Съюза. </w:t>
      </w:r>
    </w:p>
    <w:p>
      <w:pPr>
        <w:pBdr>
          <w:top w:val="nil"/>
          <w:left w:val="nil"/>
          <w:bottom w:val="nil"/>
          <w:right w:val="nil"/>
          <w:between w:val="nil"/>
          <w:bar w:val="nil"/>
        </w:pBdr>
        <w:spacing w:before="0" w:after="240"/>
        <w:rPr>
          <w:noProof/>
        </w:rPr>
      </w:pPr>
      <w:r>
        <w:rPr>
          <w:noProof/>
        </w:rPr>
        <w:t>Окончателното му съдържание може да бъде обобщено, както следва:</w:t>
      </w:r>
    </w:p>
    <w:p>
      <w:pPr>
        <w:pBdr>
          <w:top w:val="nil"/>
          <w:left w:val="nil"/>
          <w:bottom w:val="nil"/>
          <w:right w:val="nil"/>
          <w:between w:val="nil"/>
          <w:bar w:val="nil"/>
        </w:pBdr>
        <w:spacing w:before="0" w:after="240"/>
        <w:rPr>
          <w:noProof/>
        </w:rPr>
      </w:pPr>
      <w:r>
        <w:rPr>
          <w:noProof/>
        </w:rPr>
        <w:t xml:space="preserve">а. Продължителност на пребиваването </w:t>
      </w:r>
    </w:p>
    <w:p>
      <w:pPr>
        <w:pBdr>
          <w:top w:val="nil"/>
          <w:left w:val="nil"/>
          <w:bottom w:val="nil"/>
          <w:right w:val="nil"/>
          <w:between w:val="nil"/>
          <w:bar w:val="nil"/>
        </w:pBdr>
        <w:spacing w:before="0" w:after="240"/>
        <w:rPr>
          <w:noProof/>
        </w:rPr>
      </w:pPr>
      <w:r>
        <w:rPr>
          <w:noProof/>
        </w:rPr>
        <w:t xml:space="preserve">В споразумението се предвижда безвизово пътуване за гражданите на Европейския съюз и за гражданите на Бахамската общност, когато пътуват до територията на другата договаряща се страна за период, не по-дълъг от 90 дни в рамките на всеки 180-дневен период (вместо за максимален период от три месеца в продължение на шестмесечен период след датата на първото влизане). Новото определение се възприема в целия текст на Споразумението между Европейския съюз и Бахамската общност за отмяна на визовия режим за краткосрочно пребиваване. </w:t>
      </w:r>
    </w:p>
    <w:p>
      <w:pPr>
        <w:pBdr>
          <w:top w:val="nil"/>
          <w:left w:val="nil"/>
          <w:bottom w:val="nil"/>
          <w:right w:val="nil"/>
          <w:between w:val="nil"/>
          <w:bar w:val="nil"/>
        </w:pBdr>
        <w:spacing w:before="0" w:after="240"/>
        <w:rPr>
          <w:noProof/>
        </w:rPr>
      </w:pPr>
      <w:r>
        <w:rPr>
          <w:noProof/>
        </w:rPr>
        <w:t>б. Заключителна разпоредба — временно спиране на изпълнението на споразумението (член 8, параграф 4)</w:t>
      </w:r>
    </w:p>
    <w:p>
      <w:pPr>
        <w:spacing w:before="0" w:after="240"/>
        <w:rPr>
          <w:noProof/>
        </w:rPr>
      </w:pPr>
      <w:r>
        <w:rPr>
          <w:noProof/>
        </w:rPr>
        <w:t>Със споразумението се изменя последното изречение в член 8, параграф, като се добавят думите „и възобновява изпълнението.“ Следователно последното изречение в член 8, параграф 4 гласи следното: „Договарящата се страна, която временно е спряла изпълнението на настоящото споразумение, незабавно информира другата договаряща се страна, ако причините за това спиране отпаднат, и възобновява изпълнението.“ С добавянето на думите „и възобновява изпълнението“ в сегашния текст на измененото споразумение се пояснява, че временното спиране на отмяната на визовия режим следва действително да бъде прекратено, ако отпаднат причините, довели до това спиране. Във връзка с това изменението привежда формулировката в споразумението с Бахамските острови за отмяна на визовия режим в съответствие с тази във всички други споразумения за премахване на визите, подписани от Съюза през 2015 г. и 2016 г. На 14 юни 2016 г. беше проведена консултация по това изменение с работната група „Визи“ и нито една държава членка не повдигна възражения.</w:t>
      </w:r>
    </w:p>
    <w:p>
      <w:pPr>
        <w:pBdr>
          <w:top w:val="nil"/>
          <w:left w:val="nil"/>
          <w:bottom w:val="nil"/>
          <w:right w:val="nil"/>
          <w:between w:val="nil"/>
          <w:bar w:val="nil"/>
        </w:pBdr>
        <w:spacing w:before="0" w:after="240"/>
        <w:rPr>
          <w:noProof/>
        </w:rPr>
      </w:pPr>
      <w:r>
        <w:rPr>
          <w:noProof/>
        </w:rPr>
        <w:t>в. Замяна на думата „</w:t>
      </w:r>
      <w:r>
        <w:rPr>
          <w:i/>
          <w:noProof/>
        </w:rPr>
        <w:t>Общност</w:t>
      </w:r>
      <w:r>
        <w:rPr>
          <w:noProof/>
        </w:rPr>
        <w:t>“ с думата</w:t>
      </w:r>
      <w:r>
        <w:rPr>
          <w:i/>
          <w:noProof/>
        </w:rPr>
        <w:t xml:space="preserve"> </w:t>
      </w:r>
      <w:r>
        <w:rPr>
          <w:noProof/>
        </w:rPr>
        <w:t>„</w:t>
      </w:r>
      <w:r>
        <w:rPr>
          <w:i/>
          <w:noProof/>
        </w:rPr>
        <w:t>Съюз</w:t>
      </w:r>
      <w:r>
        <w:rPr>
          <w:noProof/>
        </w:rPr>
        <w:t>“</w:t>
      </w:r>
    </w:p>
    <w:p>
      <w:pPr>
        <w:pBdr>
          <w:top w:val="nil"/>
          <w:left w:val="nil"/>
          <w:bottom w:val="nil"/>
          <w:right w:val="nil"/>
          <w:between w:val="nil"/>
          <w:bar w:val="nil"/>
        </w:pBdr>
        <w:spacing w:before="0" w:after="240"/>
        <w:rPr>
          <w:noProof/>
        </w:rPr>
      </w:pPr>
      <w:r>
        <w:rPr>
          <w:noProof/>
        </w:rPr>
        <w:t>След влизането в сила на Договора от Лисабон на 1 декември 2009 г. Европейският съюз сам по себе си придоби консолидирана правосубектност. Въпреки това „Европейската общност“ все още е фигурира в международни споразумения, влезли в сила преди Договора от Лисабон, какъвто е в случаят със Споразумението между Европейската общност и Бахамската общност за отмяна на визовия режим за краткосрочно пребиваване. Поради това със споразумението за изменение думата</w:t>
      </w:r>
      <w:r>
        <w:rPr>
          <w:i/>
          <w:noProof/>
        </w:rPr>
        <w:t xml:space="preserve"> </w:t>
      </w:r>
      <w:r>
        <w:rPr>
          <w:noProof/>
        </w:rPr>
        <w:t>„</w:t>
      </w:r>
      <w:r>
        <w:rPr>
          <w:i/>
          <w:noProof/>
        </w:rPr>
        <w:t>Общност</w:t>
      </w:r>
      <w:r>
        <w:rPr>
          <w:noProof/>
        </w:rPr>
        <w:t>“ се заменя с думата „</w:t>
      </w:r>
      <w:r>
        <w:rPr>
          <w:i/>
          <w:noProof/>
        </w:rPr>
        <w:t>Съюз</w:t>
      </w:r>
      <w:r>
        <w:rPr>
          <w:noProof/>
        </w:rPr>
        <w:t xml:space="preserve">“ в целия текст на споразумението за отмяна на визовия режим. </w:t>
      </w:r>
    </w:p>
    <w:p>
      <w:pPr>
        <w:pBdr>
          <w:top w:val="nil"/>
          <w:left w:val="nil"/>
          <w:bottom w:val="nil"/>
          <w:right w:val="nil"/>
          <w:between w:val="nil"/>
          <w:bar w:val="nil"/>
        </w:pBdr>
        <w:spacing w:before="0" w:after="240"/>
        <w:rPr>
          <w:noProof/>
        </w:rPr>
      </w:pPr>
      <w:r>
        <w:rPr>
          <w:noProof/>
        </w:rPr>
        <w:t>г. Съвместни декларации</w:t>
      </w:r>
    </w:p>
    <w:p>
      <w:pPr>
        <w:pBdr>
          <w:top w:val="nil"/>
          <w:left w:val="nil"/>
          <w:bottom w:val="nil"/>
          <w:right w:val="nil"/>
          <w:between w:val="nil"/>
          <w:bar w:val="nil"/>
        </w:pBdr>
        <w:spacing w:before="0" w:after="240"/>
        <w:rPr>
          <w:noProof/>
        </w:rPr>
      </w:pPr>
      <w:r>
        <w:rPr>
          <w:noProof/>
        </w:rPr>
        <w:t>Към споразумението са приложени две съвместни декларации:</w:t>
      </w:r>
    </w:p>
    <w:p>
      <w:pPr>
        <w:pBdr>
          <w:top w:val="nil"/>
          <w:left w:val="nil"/>
          <w:bottom w:val="nil"/>
          <w:right w:val="nil"/>
          <w:between w:val="nil"/>
          <w:bar w:val="nil"/>
        </w:pBdr>
        <w:spacing w:before="0" w:after="240"/>
        <w:ind w:firstLine="720"/>
        <w:rPr>
          <w:noProof/>
        </w:rPr>
      </w:pPr>
      <w:r>
        <w:rPr>
          <w:noProof/>
        </w:rPr>
        <w:t>- относно тълкуването на 90 дни в рамките на всеки 180-дневен период и</w:t>
      </w:r>
    </w:p>
    <w:p>
      <w:pPr>
        <w:pBdr>
          <w:top w:val="nil"/>
          <w:left w:val="nil"/>
          <w:bottom w:val="nil"/>
          <w:right w:val="nil"/>
          <w:between w:val="nil"/>
          <w:bar w:val="nil"/>
        </w:pBdr>
        <w:spacing w:before="0" w:after="240"/>
        <w:ind w:firstLine="720"/>
        <w:rPr>
          <w:noProof/>
        </w:rPr>
      </w:pPr>
      <w:r>
        <w:rPr>
          <w:noProof/>
        </w:rPr>
        <w:t>- относно Исландия, Норвегия, Швейцария и Лихтенщайн.</w:t>
      </w:r>
    </w:p>
    <w:p>
      <w:pPr>
        <w:pBdr>
          <w:top w:val="nil"/>
          <w:left w:val="nil"/>
          <w:bottom w:val="nil"/>
          <w:right w:val="nil"/>
          <w:between w:val="nil"/>
          <w:bar w:val="nil"/>
        </w:pBdr>
        <w:spacing w:before="0" w:after="240"/>
        <w:rPr>
          <w:noProof/>
        </w:rPr>
      </w:pPr>
      <w:r>
        <w:rPr>
          <w:noProof/>
        </w:rPr>
        <w:t>д. Влизане в сила</w:t>
      </w:r>
    </w:p>
    <w:p>
      <w:pPr>
        <w:pBdr>
          <w:top w:val="nil"/>
          <w:left w:val="nil"/>
          <w:bottom w:val="nil"/>
          <w:right w:val="nil"/>
          <w:between w:val="nil"/>
          <w:bar w:val="nil"/>
        </w:pBdr>
        <w:spacing w:before="0" w:after="240"/>
        <w:rPr>
          <w:noProof/>
        </w:rPr>
      </w:pPr>
      <w:r>
        <w:rPr>
          <w:noProof/>
        </w:rPr>
        <w:t>Споразумението ще влезе в сила на първия ден от шестия месец след датата, на която последната договаряща се страна уведоми другата страна за приключването на процедурите за ратифициране. За да се гарантира правна сигурност и да се даде възможност на пътуващите лица да разберат закона и да се съобразят с него, е необходим достатъчно дълъг преходен период. След като приключи ратифицирането на споразумението, шестмесечният срок ще даде възможност на пътуващите лица да приключат краткосрочните пребивавания, които все още са изцяло изчислени съгласно старото определение, преди влизането в сила на новото определение за краткосрочно пребиваване и свързаното с него ретроспективно изчисляване на референтния период от 180 дни.</w:t>
      </w:r>
    </w:p>
    <w:p>
      <w:pPr>
        <w:pBdr>
          <w:top w:val="nil"/>
          <w:left w:val="nil"/>
          <w:bottom w:val="nil"/>
          <w:right w:val="nil"/>
          <w:between w:val="nil"/>
          <w:bar w:val="nil"/>
        </w:pBdr>
        <w:spacing w:before="0" w:after="240"/>
        <w:rPr>
          <w:noProof/>
        </w:rPr>
      </w:pPr>
      <w:r>
        <w:rPr>
          <w:noProof/>
        </w:rPr>
        <w:t xml:space="preserve">Останалите разпоредби на действащото споразумение между Европейската общност и Бахамската общност за отмяна на визовия режим за краткосрочно пребиваване остават незасегнати от споразумението за изменение, включително териториалното приложно поле. </w:t>
      </w:r>
    </w:p>
    <w:p>
      <w:pPr>
        <w:pStyle w:val="ManualHeading1"/>
        <w:rPr>
          <w:noProof/>
        </w:rPr>
      </w:pPr>
      <w:r>
        <w:rPr>
          <w:noProof/>
        </w:rPr>
        <w:t>6.</w:t>
      </w:r>
      <w:r>
        <w:rPr>
          <w:noProof/>
        </w:rPr>
        <w:tab/>
        <w:t>ЗАКЛЮЧЕНИЕ</w:t>
      </w:r>
    </w:p>
    <w:p>
      <w:pPr>
        <w:pStyle w:val="Text1"/>
        <w:ind w:left="0"/>
        <w:rPr>
          <w:noProof/>
        </w:rPr>
        <w:sectPr>
          <w:footerReference w:type="default" r:id="rId11"/>
          <w:footerReference w:type="first" r:id="rId12"/>
          <w:pgSz w:w="11907" w:h="16839"/>
          <w:pgMar w:top="1134" w:right="1417" w:bottom="1134" w:left="1417" w:header="709" w:footer="709" w:gutter="0"/>
          <w:cols w:space="720"/>
          <w:docGrid w:linePitch="326"/>
        </w:sectPr>
      </w:pPr>
      <w:r>
        <w:rPr>
          <w:noProof/>
        </w:rPr>
        <w:t>С оглед на горепосочените резултати Комисията предлага Съветът, след като получи одобрението на Европейския парламент, да одобри Споразумението между Европейския съюз и Бахамската общност за изменение на Споразумението между Европейската общност и Бахамската общност за отмяна на визовия режим за краткосрочно пребиваване.</w:t>
      </w:r>
      <w:r>
        <w:rPr>
          <w:noProof/>
        </w:rPr>
        <w:tab/>
      </w:r>
    </w:p>
    <w:p>
      <w:pPr>
        <w:pStyle w:val="Rfrenceinterinstitutionnelle"/>
        <w:rPr>
          <w:noProof/>
        </w:rPr>
      </w:pPr>
      <w:r>
        <w:rPr>
          <w:noProof/>
        </w:rPr>
        <w:t>2017/0169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на Споразумението между Европейския съюз и Бахамската общност за изменение на Споразумението между Европейската общност и Бахамската общност за отмяна на визовия режим за краткосрочно пребиваване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77, параграф 2, буква а) във връзка с член 218, параграф 6, втора алинея, буква а), подточка v)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id="18"/>
      </w:r>
      <w:r>
        <w:rPr>
          <w:noProof/>
        </w:rPr>
        <w:t xml:space="preserve">, </w:t>
      </w:r>
    </w:p>
    <w:p>
      <w:pPr>
        <w:rPr>
          <w:noProof/>
        </w:rPr>
      </w:pPr>
      <w:r>
        <w:rPr>
          <w:noProof/>
        </w:rPr>
        <w:t>като има предвид, че:</w:t>
      </w:r>
    </w:p>
    <w:p>
      <w:pPr>
        <w:pStyle w:val="ManualConsidrant"/>
        <w:rPr>
          <w:noProof/>
        </w:rPr>
      </w:pPr>
      <w:r>
        <w:t>(1)</w:t>
      </w:r>
      <w:r>
        <w:tab/>
      </w:r>
      <w:r>
        <w:rPr>
          <w:noProof/>
        </w:rPr>
        <w:t xml:space="preserve">С Решение от 30 ноември 2009 г. Съветът сключи Споразумението между Европейската общност и Бахамската общност за отмяна на визовия режим за краткосрочно пребиваване. В Споразумението се предвижда безвизово пътуване за гражданите на Европейския съюз и за гражданите на Бахамските острови, когато пътуват до територията на другата договаряща се страна за „максимален период от три месеца в продължение на шестмесечен период“. </w:t>
      </w:r>
    </w:p>
    <w:p>
      <w:pPr>
        <w:pStyle w:val="ManualConsidrant"/>
        <w:rPr>
          <w:noProof/>
        </w:rPr>
      </w:pPr>
      <w:r>
        <w:t>(2)</w:t>
      </w:r>
      <w:r>
        <w:tab/>
      </w:r>
      <w:r>
        <w:rPr>
          <w:noProof/>
        </w:rPr>
        <w:t>С Регламент (ЕС) № 610/2013 на Европейския парламент и на Съвета</w:t>
      </w:r>
      <w:r>
        <w:rPr>
          <w:rStyle w:val="FootnoteReference"/>
          <w:noProof/>
        </w:rPr>
        <w:footnoteReference w:id="19"/>
      </w:r>
      <w:r>
        <w:rPr>
          <w:noProof/>
        </w:rPr>
        <w:t xml:space="preserve"> бяха въведени хоризонтални промени в правните актове на Съюза в областта на визите и границите и краткосрочното пребиваване беше определено като максимален период от 90 дни в рамките на всеки 180-дневен период. </w:t>
      </w:r>
    </w:p>
    <w:p>
      <w:pPr>
        <w:pStyle w:val="ManualConsidrant"/>
        <w:rPr>
          <w:noProof/>
        </w:rPr>
      </w:pPr>
      <w:r>
        <w:t>(3)</w:t>
      </w:r>
      <w:r>
        <w:tab/>
      </w:r>
      <w:r>
        <w:rPr>
          <w:noProof/>
        </w:rPr>
        <w:t>Необходимо е това ново определение да бъде включено в Споразумението между Съюза и Бахамската общност за отмяна на визовия режим за краткосрочно пребиваване с цел постигането на пълно хармонизиране на режима на Съюза за краткосрочно пребиваване.</w:t>
      </w:r>
    </w:p>
    <w:p>
      <w:pPr>
        <w:pStyle w:val="ManualConsidrant"/>
        <w:rPr>
          <w:noProof/>
        </w:rPr>
      </w:pPr>
      <w:r>
        <w:t>(4)</w:t>
      </w:r>
      <w:r>
        <w:tab/>
      </w:r>
      <w:r>
        <w:rPr>
          <w:noProof/>
        </w:rPr>
        <w:t>Комисията договори от името на Съюза споразумение с Бахамската общност за изменение на Споразумението между Европейската общност и Бахамската общност за отмяна на визовия режим за краткосрочно пребиваване (наричано по-нататък „Споразумението“).</w:t>
      </w:r>
    </w:p>
    <w:p>
      <w:pPr>
        <w:pStyle w:val="ManualConsidrant"/>
        <w:rPr>
          <w:noProof/>
        </w:rPr>
      </w:pPr>
      <w:r>
        <w:t>(5)</w:t>
      </w:r>
      <w:r>
        <w:tab/>
      </w:r>
      <w:r>
        <w:rPr>
          <w:noProof/>
        </w:rPr>
        <w:t>В съответствие с Решение (EС) 2017/[…] на Съвета Споразумението бе подписано.</w:t>
      </w:r>
    </w:p>
    <w:p>
      <w:pPr>
        <w:pStyle w:val="ManualConsidrant"/>
        <w:rPr>
          <w:noProof/>
        </w:rPr>
      </w:pPr>
      <w:r>
        <w:t>(6)</w:t>
      </w:r>
      <w:r>
        <w:tab/>
      </w:r>
      <w:r>
        <w:rPr>
          <w:noProof/>
        </w:rPr>
        <w:t>Настоящото решение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w:t>
      </w:r>
      <w:r>
        <w:rPr>
          <w:rStyle w:val="FootnoteReference"/>
          <w:noProof/>
        </w:rPr>
        <w:footnoteReference w:id="20"/>
      </w:r>
      <w:r>
        <w:rPr>
          <w:noProof/>
        </w:rPr>
        <w:t>. Следователно Обединеното кралство не участва в неговото приемане и не е обвързано от него, нито от неговото прилагане.</w:t>
      </w:r>
    </w:p>
    <w:p>
      <w:pPr>
        <w:pStyle w:val="ManualConsidrant"/>
        <w:rPr>
          <w:noProof/>
        </w:rPr>
      </w:pPr>
      <w:r>
        <w:t>(7)</w:t>
      </w:r>
      <w:r>
        <w:tab/>
      </w:r>
      <w:r>
        <w:rPr>
          <w:noProof/>
        </w:rPr>
        <w:t>Настоящото решение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21"/>
      </w:r>
      <w:r>
        <w:rPr>
          <w:noProof/>
        </w:rPr>
        <w:t>. Следователно Ирландия не участва в неговото приемане и не е обвързана от него, нито от неговото прилагане,</w:t>
      </w:r>
    </w:p>
    <w:p>
      <w:pPr>
        <w:pStyle w:val="ManualConsidrant"/>
        <w:rPr>
          <w:noProof/>
        </w:rPr>
      </w:pPr>
      <w:r>
        <w:t>(8)</w:t>
      </w:r>
      <w:r>
        <w:tab/>
      </w:r>
      <w:r>
        <w:rPr>
          <w:noProof/>
        </w:rPr>
        <w:t>Поради това Споразумението следва да бъде одобрено,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Споразумението между Европейския съюз и Бахамската общност за изменение на Споразумението между Европейската общност и Бахамската общност за отмяна на визовия режим за краткосрочно пребиваване (наричано по-нататък „Споразумението“) се одобрява от името на Съюза.</w:t>
      </w:r>
    </w:p>
    <w:p>
      <w:pPr>
        <w:rPr>
          <w:noProof/>
        </w:rPr>
      </w:pPr>
      <w:r>
        <w:rPr>
          <w:noProof/>
        </w:rPr>
        <w:t>Текстът на Споразумението е приложен към настоящото решение.</w:t>
      </w:r>
    </w:p>
    <w:p>
      <w:pPr>
        <w:pStyle w:val="Titrearticle"/>
        <w:rPr>
          <w:noProof/>
        </w:rPr>
      </w:pPr>
      <w:r>
        <w:rPr>
          <w:noProof/>
        </w:rPr>
        <w:t>Член 2</w:t>
      </w:r>
    </w:p>
    <w:p>
      <w:pPr>
        <w:rPr>
          <w:noProof/>
        </w:rPr>
      </w:pPr>
      <w:r>
        <w:rPr>
          <w:noProof/>
        </w:rPr>
        <w:t>Председателят на Съвета извършва нотификацията, предвидена в член 2 от Споразумението, от името на Съюза</w:t>
      </w:r>
      <w:r>
        <w:rPr>
          <w:rStyle w:val="FootnoteReference"/>
          <w:noProof/>
        </w:rPr>
        <w:footnoteReference w:id="22"/>
      </w:r>
      <w:r>
        <w:rPr>
          <w:noProof/>
        </w:rPr>
        <w:t>.</w:t>
      </w:r>
    </w:p>
    <w:p>
      <w:pPr>
        <w:pStyle w:val="Titrearticle"/>
        <w:rPr>
          <w:noProof/>
        </w:rPr>
      </w:pPr>
      <w:r>
        <w:rPr>
          <w:noProof/>
        </w:rPr>
        <w:t>Член 3</w:t>
      </w:r>
    </w:p>
    <w:p>
      <w:pPr>
        <w:keepLines/>
        <w:rPr>
          <w:noProof/>
        </w:rPr>
      </w:pPr>
      <w:r>
        <w:rPr>
          <w:noProof/>
        </w:rPr>
        <w:t xml:space="preserve">Настоящото решение влиза в сила в деня на приемането му. </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lang w:val="pl-PL"/>
        </w:rPr>
      </w:pPr>
      <w:r>
        <w:rPr>
          <w:rStyle w:val="FootnoteReference"/>
        </w:rPr>
        <w:footnoteRef/>
      </w:r>
      <w:r>
        <w:tab/>
        <w:t>ОВ L 182, 29.6. 2013 г., стр. 1.</w:t>
      </w:r>
    </w:p>
  </w:footnote>
  <w:footnote w:id="3">
    <w:p>
      <w:pPr>
        <w:pStyle w:val="FootnoteText"/>
        <w:rPr>
          <w:lang w:val="pl-PL"/>
        </w:rPr>
      </w:pPr>
      <w:r>
        <w:rPr>
          <w:rStyle w:val="FootnoteReference"/>
        </w:rPr>
        <w:footnoteRef/>
      </w:r>
      <w:r>
        <w:tab/>
        <w:t>ОВ L 239, 22.9.2000 г., стр. 19.</w:t>
      </w:r>
    </w:p>
  </w:footnote>
  <w:footnote w:id="4">
    <w:p>
      <w:pPr>
        <w:pStyle w:val="FootnoteText"/>
        <w:rPr>
          <w:lang w:val="pl-PL"/>
        </w:rPr>
      </w:pPr>
      <w:r>
        <w:rPr>
          <w:rStyle w:val="FootnoteReference"/>
        </w:rPr>
        <w:footnoteRef/>
      </w:r>
      <w:r>
        <w:rPr>
          <w:lang w:val="pl-PL"/>
        </w:rPr>
        <w:tab/>
        <w:t>O</w:t>
      </w:r>
      <w:r>
        <w:t>В</w:t>
      </w:r>
      <w:r>
        <w:rPr>
          <w:lang w:val="pl-PL"/>
        </w:rPr>
        <w:t xml:space="preserve"> L 105, 13.4.2006 </w:t>
      </w:r>
      <w:r>
        <w:t>г</w:t>
      </w:r>
      <w:r>
        <w:rPr>
          <w:lang w:val="pl-PL"/>
        </w:rPr>
        <w:t xml:space="preserve">., </w:t>
      </w:r>
      <w:r>
        <w:t>стр</w:t>
      </w:r>
      <w:r>
        <w:rPr>
          <w:lang w:val="pl-PL"/>
        </w:rPr>
        <w:t>. 1.</w:t>
      </w:r>
    </w:p>
  </w:footnote>
  <w:footnote w:id="5">
    <w:p>
      <w:pPr>
        <w:pStyle w:val="FootnoteText"/>
        <w:rPr>
          <w:lang w:val="pl-PL"/>
        </w:rPr>
      </w:pPr>
      <w:r>
        <w:rPr>
          <w:rStyle w:val="FootnoteReference"/>
        </w:rPr>
        <w:footnoteRef/>
      </w:r>
      <w:r>
        <w:rPr>
          <w:lang w:val="pl-PL"/>
        </w:rPr>
        <w:tab/>
      </w:r>
      <w:r>
        <w:t>ОВ</w:t>
      </w:r>
      <w:r>
        <w:rPr>
          <w:lang w:val="pl-PL"/>
        </w:rPr>
        <w:t xml:space="preserve"> L 243, 15.9.2009 </w:t>
      </w:r>
      <w:r>
        <w:t>г</w:t>
      </w:r>
      <w:r>
        <w:rPr>
          <w:lang w:val="pl-PL"/>
        </w:rPr>
        <w:t xml:space="preserve">., </w:t>
      </w:r>
      <w:r>
        <w:t>стр</w:t>
      </w:r>
      <w:r>
        <w:rPr>
          <w:lang w:val="pl-PL"/>
        </w:rPr>
        <w:t>. 1.</w:t>
      </w:r>
    </w:p>
  </w:footnote>
  <w:footnote w:id="6">
    <w:p>
      <w:pPr>
        <w:pStyle w:val="FootnoteText"/>
        <w:rPr>
          <w:lang w:val="pl-PL"/>
        </w:rPr>
      </w:pPr>
      <w:r>
        <w:rPr>
          <w:rStyle w:val="FootnoteReference"/>
        </w:rPr>
        <w:footnoteRef/>
      </w:r>
      <w:r>
        <w:rPr>
          <w:lang w:val="pl-PL"/>
        </w:rPr>
        <w:tab/>
        <w:t>O</w:t>
      </w:r>
      <w:r>
        <w:t>В</w:t>
      </w:r>
      <w:r>
        <w:rPr>
          <w:lang w:val="pl-PL"/>
        </w:rPr>
        <w:t xml:space="preserve"> L 081, 21.3.2001 </w:t>
      </w:r>
      <w:r>
        <w:t>г</w:t>
      </w:r>
      <w:r>
        <w:rPr>
          <w:lang w:val="pl-PL"/>
        </w:rPr>
        <w:t xml:space="preserve">., </w:t>
      </w:r>
      <w:r>
        <w:t>стр</w:t>
      </w:r>
      <w:r>
        <w:rPr>
          <w:lang w:val="pl-PL"/>
        </w:rPr>
        <w:t>.1.</w:t>
      </w:r>
    </w:p>
  </w:footnote>
  <w:footnote w:id="7">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3.</w:t>
      </w:r>
    </w:p>
  </w:footnote>
  <w:footnote w:id="8">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24.</w:t>
      </w:r>
    </w:p>
  </w:footnote>
  <w:footnote w:id="9">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10.</w:t>
      </w:r>
    </w:p>
  </w:footnote>
  <w:footnote w:id="10">
    <w:p>
      <w:pPr>
        <w:pStyle w:val="FootnoteText"/>
        <w:rPr>
          <w:lang w:val="pl-PL"/>
        </w:rPr>
      </w:pPr>
      <w:r>
        <w:rPr>
          <w:rStyle w:val="FootnoteReference"/>
        </w:rPr>
        <w:footnoteRef/>
      </w:r>
      <w:r>
        <w:rPr>
          <w:lang w:val="pl-PL"/>
        </w:rPr>
        <w:tab/>
      </w:r>
      <w:r>
        <w:t>С</w:t>
      </w:r>
      <w:r>
        <w:rPr>
          <w:lang w:val="pl-PL"/>
        </w:rPr>
        <w:t xml:space="preserve"> </w:t>
      </w:r>
      <w:r>
        <w:t>Бразилия</w:t>
      </w:r>
      <w:r>
        <w:rPr>
          <w:lang w:val="pl-PL"/>
        </w:rPr>
        <w:t xml:space="preserve"> </w:t>
      </w:r>
      <w:r>
        <w:t>ЕС</w:t>
      </w:r>
      <w:r>
        <w:rPr>
          <w:lang w:val="pl-PL"/>
        </w:rPr>
        <w:t xml:space="preserve"> </w:t>
      </w:r>
      <w:r>
        <w:t>е</w:t>
      </w:r>
      <w:r>
        <w:rPr>
          <w:lang w:val="pl-PL"/>
        </w:rPr>
        <w:t xml:space="preserve"> </w:t>
      </w:r>
      <w:r>
        <w:t>сключил</w:t>
      </w:r>
      <w:r>
        <w:rPr>
          <w:lang w:val="pl-PL"/>
        </w:rPr>
        <w:t xml:space="preserve"> </w:t>
      </w:r>
      <w:r>
        <w:t>две</w:t>
      </w:r>
      <w:r>
        <w:rPr>
          <w:lang w:val="pl-PL"/>
        </w:rPr>
        <w:t xml:space="preserve"> </w:t>
      </w:r>
      <w:r>
        <w:t>споразумения</w:t>
      </w:r>
      <w:r>
        <w:rPr>
          <w:lang w:val="pl-PL"/>
        </w:rPr>
        <w:t xml:space="preserve"> — </w:t>
      </w:r>
      <w:r>
        <w:t>едното</w:t>
      </w:r>
      <w:r>
        <w:rPr>
          <w:lang w:val="pl-PL"/>
        </w:rPr>
        <w:t xml:space="preserve"> </w:t>
      </w:r>
      <w:r>
        <w:t>за</w:t>
      </w:r>
      <w:r>
        <w:rPr>
          <w:lang w:val="pl-PL"/>
        </w:rPr>
        <w:t xml:space="preserve"> </w:t>
      </w:r>
      <w:r>
        <w:t>притежателите</w:t>
      </w:r>
      <w:r>
        <w:rPr>
          <w:lang w:val="pl-PL"/>
        </w:rPr>
        <w:t xml:space="preserve"> </w:t>
      </w:r>
      <w:r>
        <w:t>на</w:t>
      </w:r>
      <w:r>
        <w:rPr>
          <w:lang w:val="pl-PL"/>
        </w:rPr>
        <w:t xml:space="preserve"> </w:t>
      </w:r>
      <w:r>
        <w:t>обикновени</w:t>
      </w:r>
      <w:r>
        <w:rPr>
          <w:lang w:val="pl-PL"/>
        </w:rPr>
        <w:t xml:space="preserve"> </w:t>
      </w:r>
      <w:r>
        <w:t>паспорти</w:t>
      </w:r>
      <w:r>
        <w:rPr>
          <w:lang w:val="pl-PL"/>
        </w:rPr>
        <w:t xml:space="preserve"> (</w:t>
      </w:r>
      <w:r>
        <w:t>ОВ</w:t>
      </w:r>
      <w:r>
        <w:rPr>
          <w:lang w:val="pl-PL"/>
        </w:rPr>
        <w:t xml:space="preserve"> L 255, 21.9.2012 </w:t>
      </w:r>
      <w:r>
        <w:t>г</w:t>
      </w:r>
      <w:r>
        <w:rPr>
          <w:lang w:val="pl-PL"/>
        </w:rPr>
        <w:t xml:space="preserve">., </w:t>
      </w:r>
      <w:r>
        <w:t>стр</w:t>
      </w:r>
      <w:r>
        <w:rPr>
          <w:lang w:val="pl-PL"/>
        </w:rPr>
        <w:t xml:space="preserve">. 4), </w:t>
      </w:r>
      <w:r>
        <w:t>а</w:t>
      </w:r>
      <w:r>
        <w:rPr>
          <w:lang w:val="pl-PL"/>
        </w:rPr>
        <w:t xml:space="preserve"> </w:t>
      </w:r>
      <w:r>
        <w:t>другото</w:t>
      </w:r>
      <w:r>
        <w:rPr>
          <w:lang w:val="pl-PL"/>
        </w:rPr>
        <w:t xml:space="preserve"> </w:t>
      </w:r>
      <w:r>
        <w:t>за</w:t>
      </w:r>
      <w:r>
        <w:rPr>
          <w:lang w:val="pl-PL"/>
        </w:rPr>
        <w:t xml:space="preserve"> </w:t>
      </w:r>
      <w:r>
        <w:t>притежателите</w:t>
      </w:r>
      <w:r>
        <w:rPr>
          <w:lang w:val="pl-PL"/>
        </w:rPr>
        <w:t xml:space="preserve"> </w:t>
      </w:r>
      <w:r>
        <w:t>на</w:t>
      </w:r>
      <w:r>
        <w:rPr>
          <w:lang w:val="pl-PL"/>
        </w:rPr>
        <w:t xml:space="preserve"> </w:t>
      </w:r>
      <w:r>
        <w:t>дипломатически</w:t>
      </w:r>
      <w:r>
        <w:rPr>
          <w:lang w:val="pl-PL"/>
        </w:rPr>
        <w:t xml:space="preserve">, </w:t>
      </w:r>
      <w:r>
        <w:t>служебни</w:t>
      </w:r>
      <w:r>
        <w:rPr>
          <w:lang w:val="pl-PL"/>
        </w:rPr>
        <w:t xml:space="preserve"> </w:t>
      </w:r>
      <w:r>
        <w:t>и</w:t>
      </w:r>
      <w:r>
        <w:rPr>
          <w:lang w:val="pl-PL"/>
        </w:rPr>
        <w:t xml:space="preserve"> </w:t>
      </w:r>
      <w:r>
        <w:t>официални</w:t>
      </w:r>
      <w:r>
        <w:rPr>
          <w:lang w:val="pl-PL"/>
        </w:rPr>
        <w:t xml:space="preserve"> </w:t>
      </w:r>
      <w:r>
        <w:t>паспорти</w:t>
      </w:r>
      <w:r>
        <w:rPr>
          <w:lang w:val="pl-PL"/>
        </w:rPr>
        <w:t xml:space="preserve"> (</w:t>
      </w:r>
      <w:r>
        <w:t>ОВ</w:t>
      </w:r>
      <w:r>
        <w:rPr>
          <w:lang w:val="pl-PL"/>
        </w:rPr>
        <w:t xml:space="preserve"> L 66, 12.3.2011 </w:t>
      </w:r>
      <w:r>
        <w:t>г</w:t>
      </w:r>
      <w:r>
        <w:rPr>
          <w:lang w:val="pl-PL"/>
        </w:rPr>
        <w:t xml:space="preserve">., </w:t>
      </w:r>
      <w:r>
        <w:t>стр</w:t>
      </w:r>
      <w:r>
        <w:rPr>
          <w:lang w:val="pl-PL"/>
        </w:rPr>
        <w:t>. 2).</w:t>
      </w:r>
    </w:p>
  </w:footnote>
  <w:footnote w:id="11">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17.</w:t>
      </w:r>
    </w:p>
  </w:footnote>
  <w:footnote w:id="12">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38.</w:t>
      </w:r>
    </w:p>
  </w:footnote>
  <w:footnote w:id="13">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31.</w:t>
      </w:r>
    </w:p>
  </w:footnote>
  <w:footnote w:id="14">
    <w:p>
      <w:pPr>
        <w:pStyle w:val="FootnoteText"/>
        <w:rPr>
          <w:lang w:val="pl-PL"/>
        </w:rPr>
      </w:pPr>
      <w:r>
        <w:rPr>
          <w:rStyle w:val="FootnoteReference"/>
        </w:rPr>
        <w:footnoteRef/>
      </w:r>
      <w:r>
        <w:rPr>
          <w:lang w:val="pl-PL"/>
        </w:rPr>
        <w:tab/>
      </w:r>
      <w:r>
        <w:t>Вж</w:t>
      </w:r>
      <w:r>
        <w:rPr>
          <w:lang w:val="pl-PL"/>
        </w:rPr>
        <w:t xml:space="preserve">. </w:t>
      </w:r>
      <w:r>
        <w:t>разпоредбите</w:t>
      </w:r>
      <w:r>
        <w:rPr>
          <w:lang w:val="pl-PL"/>
        </w:rPr>
        <w:t xml:space="preserve"> </w:t>
      </w:r>
      <w:r>
        <w:t>за</w:t>
      </w:r>
      <w:r>
        <w:rPr>
          <w:lang w:val="pl-PL"/>
        </w:rPr>
        <w:t xml:space="preserve"> „</w:t>
      </w:r>
      <w:r>
        <w:t>Цел</w:t>
      </w:r>
      <w:r>
        <w:rPr>
          <w:lang w:val="pl-PL"/>
        </w:rPr>
        <w:t xml:space="preserve">“ </w:t>
      </w:r>
      <w:r>
        <w:t>и</w:t>
      </w:r>
      <w:r>
        <w:rPr>
          <w:lang w:val="pl-PL"/>
        </w:rPr>
        <w:t xml:space="preserve"> „</w:t>
      </w:r>
      <w:r>
        <w:t>Продължителност</w:t>
      </w:r>
      <w:r>
        <w:rPr>
          <w:lang w:val="pl-PL"/>
        </w:rPr>
        <w:t xml:space="preserve"> </w:t>
      </w:r>
      <w:r>
        <w:t>на</w:t>
      </w:r>
      <w:r>
        <w:rPr>
          <w:lang w:val="pl-PL"/>
        </w:rPr>
        <w:t xml:space="preserve"> </w:t>
      </w:r>
      <w:r>
        <w:t>престоя</w:t>
      </w:r>
      <w:r>
        <w:rPr>
          <w:lang w:val="pl-PL"/>
        </w:rPr>
        <w:t xml:space="preserve">“ </w:t>
      </w:r>
      <w:r>
        <w:t>в</w:t>
      </w:r>
      <w:r>
        <w:rPr>
          <w:lang w:val="pl-PL"/>
        </w:rPr>
        <w:t xml:space="preserve"> </w:t>
      </w:r>
      <w:r>
        <w:t>споразуменията</w:t>
      </w:r>
      <w:r>
        <w:rPr>
          <w:lang w:val="pl-PL"/>
        </w:rPr>
        <w:t>.</w:t>
      </w:r>
    </w:p>
  </w:footnote>
  <w:footnote w:id="15">
    <w:p>
      <w:pPr>
        <w:pStyle w:val="FootnoteText"/>
        <w:rPr>
          <w:lang w:val="pl-PL"/>
        </w:rPr>
      </w:pPr>
      <w:r>
        <w:rPr>
          <w:rStyle w:val="FootnoteReference"/>
        </w:rPr>
        <w:footnoteRef/>
      </w:r>
      <w:r>
        <w:rPr>
          <w:lang w:val="pl-PL"/>
        </w:rPr>
        <w:tab/>
        <w:t xml:space="preserve">COM(2014) 468 final. </w:t>
      </w:r>
    </w:p>
  </w:footnote>
  <w:footnote w:id="16">
    <w:p>
      <w:pPr>
        <w:pStyle w:val="FootnoteText"/>
        <w:rPr>
          <w:lang w:val="pl-PL"/>
        </w:rPr>
      </w:pPr>
      <w:r>
        <w:rPr>
          <w:rStyle w:val="FootnoteReference"/>
        </w:rPr>
        <w:footnoteRef/>
      </w:r>
      <w:r>
        <w:rPr>
          <w:lang w:val="pl-PL"/>
        </w:rPr>
        <w:tab/>
      </w:r>
      <w:r>
        <w:t>Решение</w:t>
      </w:r>
      <w:r>
        <w:rPr>
          <w:lang w:val="pl-PL"/>
        </w:rPr>
        <w:t xml:space="preserve"> </w:t>
      </w:r>
      <w:r>
        <w:t>на</w:t>
      </w:r>
      <w:r>
        <w:rPr>
          <w:lang w:val="pl-PL"/>
        </w:rPr>
        <w:t xml:space="preserve"> </w:t>
      </w:r>
      <w:r>
        <w:t>Съвета</w:t>
      </w:r>
      <w:r>
        <w:rPr>
          <w:lang w:val="pl-PL"/>
        </w:rPr>
        <w:t xml:space="preserve"> </w:t>
      </w:r>
      <w:r>
        <w:t>за</w:t>
      </w:r>
      <w:r>
        <w:rPr>
          <w:lang w:val="pl-PL"/>
        </w:rPr>
        <w:t xml:space="preserve"> </w:t>
      </w:r>
      <w:r>
        <w:t>разрешаване</w:t>
      </w:r>
      <w:r>
        <w:rPr>
          <w:lang w:val="pl-PL"/>
        </w:rPr>
        <w:t xml:space="preserve"> </w:t>
      </w:r>
      <w:r>
        <w:t>на</w:t>
      </w:r>
      <w:r>
        <w:rPr>
          <w:lang w:val="pl-PL"/>
        </w:rPr>
        <w:t xml:space="preserve"> </w:t>
      </w:r>
      <w:r>
        <w:t>Комисията</w:t>
      </w:r>
      <w:r>
        <w:rPr>
          <w:lang w:val="pl-PL"/>
        </w:rPr>
        <w:t xml:space="preserve"> </w:t>
      </w:r>
      <w:r>
        <w:t>да</w:t>
      </w:r>
      <w:r>
        <w:rPr>
          <w:lang w:val="pl-PL"/>
        </w:rPr>
        <w:t xml:space="preserve"> </w:t>
      </w:r>
      <w:r>
        <w:t>започне</w:t>
      </w:r>
      <w:r>
        <w:rPr>
          <w:lang w:val="pl-PL"/>
        </w:rPr>
        <w:t xml:space="preserve"> </w:t>
      </w:r>
      <w:r>
        <w:t>преговори</w:t>
      </w:r>
      <w:r>
        <w:rPr>
          <w:lang w:val="pl-PL"/>
        </w:rPr>
        <w:t xml:space="preserve"> </w:t>
      </w:r>
      <w:r>
        <w:t>за</w:t>
      </w:r>
      <w:r>
        <w:rPr>
          <w:lang w:val="pl-PL"/>
        </w:rPr>
        <w:t xml:space="preserve"> </w:t>
      </w:r>
      <w:r>
        <w:t>изменение</w:t>
      </w:r>
      <w:r>
        <w:rPr>
          <w:lang w:val="pl-PL"/>
        </w:rPr>
        <w:t xml:space="preserve"> </w:t>
      </w:r>
      <w:r>
        <w:t>на</w:t>
      </w:r>
      <w:r>
        <w:rPr>
          <w:lang w:val="pl-PL"/>
        </w:rPr>
        <w:t xml:space="preserve"> </w:t>
      </w:r>
      <w:r>
        <w:t>споразуменията</w:t>
      </w:r>
      <w:r>
        <w:rPr>
          <w:lang w:val="pl-PL"/>
        </w:rPr>
        <w:t xml:space="preserve"> </w:t>
      </w:r>
      <w:r>
        <w:t>относно</w:t>
      </w:r>
      <w:r>
        <w:rPr>
          <w:lang w:val="pl-PL"/>
        </w:rPr>
        <w:t xml:space="preserve">  </w:t>
      </w:r>
      <w:r>
        <w:t>отмяна</w:t>
      </w:r>
      <w:r>
        <w:rPr>
          <w:lang w:val="pl-PL"/>
        </w:rPr>
        <w:t xml:space="preserve"> </w:t>
      </w:r>
      <w:r>
        <w:t>на</w:t>
      </w:r>
      <w:r>
        <w:rPr>
          <w:lang w:val="pl-PL"/>
        </w:rPr>
        <w:t xml:space="preserve"> </w:t>
      </w:r>
      <w:r>
        <w:t>визовия</w:t>
      </w:r>
      <w:r>
        <w:rPr>
          <w:lang w:val="pl-PL"/>
        </w:rPr>
        <w:t xml:space="preserve"> </w:t>
      </w:r>
      <w:r>
        <w:t>режим</w:t>
      </w:r>
      <w:r>
        <w:rPr>
          <w:lang w:val="pl-PL"/>
        </w:rPr>
        <w:t xml:space="preserve"> </w:t>
      </w:r>
      <w:r>
        <w:t>за</w:t>
      </w:r>
      <w:r>
        <w:rPr>
          <w:lang w:val="pl-PL"/>
        </w:rPr>
        <w:t xml:space="preserve"> </w:t>
      </w:r>
      <w:r>
        <w:t>краткосрочно</w:t>
      </w:r>
      <w:r>
        <w:rPr>
          <w:lang w:val="pl-PL"/>
        </w:rPr>
        <w:t xml:space="preserve"> </w:t>
      </w:r>
      <w:r>
        <w:t>пребиваване</w:t>
      </w:r>
      <w:r>
        <w:rPr>
          <w:lang w:val="pl-PL"/>
        </w:rPr>
        <w:t xml:space="preserve">, </w:t>
      </w:r>
      <w:r>
        <w:t>сключени</w:t>
      </w:r>
      <w:r>
        <w:rPr>
          <w:lang w:val="pl-PL"/>
        </w:rPr>
        <w:t xml:space="preserve"> </w:t>
      </w:r>
      <w:r>
        <w:t>между</w:t>
      </w:r>
      <w:r>
        <w:rPr>
          <w:lang w:val="pl-PL"/>
        </w:rPr>
        <w:t xml:space="preserve"> </w:t>
      </w:r>
      <w:r>
        <w:t>Европейския</w:t>
      </w:r>
      <w:r>
        <w:rPr>
          <w:lang w:val="pl-PL"/>
        </w:rPr>
        <w:t xml:space="preserve"> </w:t>
      </w:r>
      <w:r>
        <w:t>съюз</w:t>
      </w:r>
      <w:r>
        <w:rPr>
          <w:lang w:val="pl-PL"/>
        </w:rPr>
        <w:t>/</w:t>
      </w:r>
      <w:r>
        <w:t>Европейската</w:t>
      </w:r>
      <w:r>
        <w:rPr>
          <w:lang w:val="pl-PL"/>
        </w:rPr>
        <w:t xml:space="preserve"> </w:t>
      </w:r>
      <w:r>
        <w:t>общност</w:t>
      </w:r>
      <w:r>
        <w:rPr>
          <w:lang w:val="pl-PL"/>
        </w:rPr>
        <w:t xml:space="preserve"> </w:t>
      </w:r>
      <w:r>
        <w:t>и</w:t>
      </w:r>
      <w:r>
        <w:rPr>
          <w:lang w:val="pl-PL"/>
        </w:rPr>
        <w:t xml:space="preserve"> </w:t>
      </w:r>
      <w:r>
        <w:t>Антигуа</w:t>
      </w:r>
      <w:r>
        <w:rPr>
          <w:lang w:val="pl-PL"/>
        </w:rPr>
        <w:t xml:space="preserve"> </w:t>
      </w:r>
      <w:r>
        <w:t>и</w:t>
      </w:r>
      <w:r>
        <w:rPr>
          <w:lang w:val="pl-PL"/>
        </w:rPr>
        <w:t xml:space="preserve"> </w:t>
      </w:r>
      <w:r>
        <w:t>Барбуда</w:t>
      </w:r>
      <w:r>
        <w:rPr>
          <w:lang w:val="pl-PL"/>
        </w:rPr>
        <w:t xml:space="preserve">, </w:t>
      </w:r>
      <w:r>
        <w:t>Бахамската</w:t>
      </w:r>
      <w:r>
        <w:rPr>
          <w:lang w:val="pl-PL"/>
        </w:rPr>
        <w:t xml:space="preserve"> </w:t>
      </w:r>
      <w:r>
        <w:t>общност</w:t>
      </w:r>
      <w:r>
        <w:rPr>
          <w:lang w:val="pl-PL"/>
        </w:rPr>
        <w:t xml:space="preserve">, </w:t>
      </w:r>
      <w:r>
        <w:t>Барбадос</w:t>
      </w:r>
      <w:r>
        <w:rPr>
          <w:lang w:val="pl-PL"/>
        </w:rPr>
        <w:t xml:space="preserve">, </w:t>
      </w:r>
      <w:r>
        <w:t>Федеративна</w:t>
      </w:r>
      <w:r>
        <w:rPr>
          <w:lang w:val="pl-PL"/>
        </w:rPr>
        <w:t xml:space="preserve"> </w:t>
      </w:r>
      <w:r>
        <w:t>република</w:t>
      </w:r>
      <w:r>
        <w:rPr>
          <w:lang w:val="pl-PL"/>
        </w:rPr>
        <w:t xml:space="preserve"> </w:t>
      </w:r>
      <w:r>
        <w:t>Бразилия</w:t>
      </w:r>
      <w:r>
        <w:rPr>
          <w:lang w:val="pl-PL"/>
        </w:rPr>
        <w:t xml:space="preserve">, </w:t>
      </w:r>
      <w:r>
        <w:t>Република</w:t>
      </w:r>
      <w:r>
        <w:rPr>
          <w:lang w:val="pl-PL"/>
        </w:rPr>
        <w:t xml:space="preserve"> </w:t>
      </w:r>
      <w:r>
        <w:t>Мавриций</w:t>
      </w:r>
      <w:r>
        <w:rPr>
          <w:lang w:val="pl-PL"/>
        </w:rPr>
        <w:t xml:space="preserve">, </w:t>
      </w:r>
      <w:r>
        <w:t>Федерация</w:t>
      </w:r>
      <w:r>
        <w:rPr>
          <w:lang w:val="pl-PL"/>
        </w:rPr>
        <w:t xml:space="preserve"> </w:t>
      </w:r>
      <w:r>
        <w:t>Сейнт</w:t>
      </w:r>
      <w:r>
        <w:rPr>
          <w:lang w:val="pl-PL"/>
        </w:rPr>
        <w:t xml:space="preserve"> </w:t>
      </w:r>
      <w:r>
        <w:t>Китс</w:t>
      </w:r>
      <w:r>
        <w:rPr>
          <w:lang w:val="pl-PL"/>
        </w:rPr>
        <w:t xml:space="preserve"> </w:t>
      </w:r>
      <w:r>
        <w:t>и</w:t>
      </w:r>
      <w:r>
        <w:rPr>
          <w:lang w:val="pl-PL"/>
        </w:rPr>
        <w:t xml:space="preserve"> </w:t>
      </w:r>
      <w:r>
        <w:t>Невис</w:t>
      </w:r>
      <w:r>
        <w:rPr>
          <w:lang w:val="pl-PL"/>
        </w:rPr>
        <w:t xml:space="preserve"> </w:t>
      </w:r>
      <w:r>
        <w:t>и</w:t>
      </w:r>
      <w:r>
        <w:rPr>
          <w:lang w:val="pl-PL"/>
        </w:rPr>
        <w:t xml:space="preserve"> </w:t>
      </w:r>
      <w:r>
        <w:t>Република</w:t>
      </w:r>
      <w:r>
        <w:rPr>
          <w:lang w:val="pl-PL"/>
        </w:rPr>
        <w:t xml:space="preserve"> </w:t>
      </w:r>
      <w:r>
        <w:t>Сейшели</w:t>
      </w:r>
      <w:r>
        <w:rPr>
          <w:lang w:val="pl-PL"/>
        </w:rPr>
        <w:t xml:space="preserve">, </w:t>
      </w:r>
      <w:r>
        <w:t>прието</w:t>
      </w:r>
      <w:r>
        <w:rPr>
          <w:lang w:val="pl-PL"/>
        </w:rPr>
        <w:t xml:space="preserve"> </w:t>
      </w:r>
      <w:r>
        <w:t>от</w:t>
      </w:r>
      <w:r>
        <w:rPr>
          <w:lang w:val="pl-PL"/>
        </w:rPr>
        <w:t xml:space="preserve"> </w:t>
      </w:r>
      <w:r>
        <w:t>Съвета</w:t>
      </w:r>
      <w:r>
        <w:rPr>
          <w:lang w:val="pl-PL"/>
        </w:rPr>
        <w:t xml:space="preserve"> </w:t>
      </w:r>
      <w:r>
        <w:t>на</w:t>
      </w:r>
      <w:r>
        <w:rPr>
          <w:lang w:val="pl-PL"/>
        </w:rPr>
        <w:t xml:space="preserve"> 9.10.2014 </w:t>
      </w:r>
      <w:r>
        <w:t>г</w:t>
      </w:r>
      <w:r>
        <w:rPr>
          <w:lang w:val="pl-PL"/>
        </w:rPr>
        <w:t>.</w:t>
      </w:r>
    </w:p>
  </w:footnote>
  <w:footnote w:id="17">
    <w:p>
      <w:pPr>
        <w:pStyle w:val="FootnoteText"/>
        <w:rPr>
          <w:lang w:val="pl-PL"/>
        </w:rPr>
      </w:pPr>
      <w:r>
        <w:rPr>
          <w:rStyle w:val="FootnoteReference"/>
        </w:rPr>
        <w:footnoteRef/>
      </w:r>
      <w:r>
        <w:rPr>
          <w:lang w:val="pl-PL"/>
        </w:rPr>
        <w:tab/>
        <w:t>COM(2016)194 final.</w:t>
      </w:r>
    </w:p>
  </w:footnote>
  <w:footnote w:id="18">
    <w:p>
      <w:pPr>
        <w:pStyle w:val="FootnoteText"/>
        <w:rPr>
          <w:lang w:val="pl-PL"/>
        </w:rPr>
      </w:pPr>
      <w:r>
        <w:rPr>
          <w:rStyle w:val="FootnoteReference"/>
        </w:rPr>
        <w:footnoteRef/>
      </w:r>
      <w:r>
        <w:rPr>
          <w:lang w:val="pl-PL"/>
        </w:rPr>
        <w:tab/>
      </w:r>
      <w:r>
        <w:t>Одобрение</w:t>
      </w:r>
      <w:r>
        <w:rPr>
          <w:lang w:val="pl-PL"/>
        </w:rPr>
        <w:t xml:space="preserve">, </w:t>
      </w:r>
      <w:r>
        <w:t>дадено</w:t>
      </w:r>
      <w:r>
        <w:rPr>
          <w:lang w:val="pl-PL"/>
        </w:rPr>
        <w:t xml:space="preserve"> </w:t>
      </w:r>
      <w:r>
        <w:t>на</w:t>
      </w:r>
      <w:r>
        <w:rPr>
          <w:lang w:val="pl-PL"/>
        </w:rPr>
        <w:t xml:space="preserve"> […] </w:t>
      </w:r>
      <w:r>
        <w:t>г</w:t>
      </w:r>
      <w:r>
        <w:rPr>
          <w:lang w:val="pl-PL"/>
        </w:rPr>
        <w:t>.</w:t>
      </w:r>
    </w:p>
  </w:footnote>
  <w:footnote w:id="19">
    <w:p>
      <w:pPr>
        <w:pStyle w:val="FootnoteText"/>
        <w:rPr>
          <w:rStyle w:val="FootnoteReference"/>
          <w:b/>
          <w:lang w:val="pl-PL"/>
        </w:rPr>
      </w:pPr>
      <w:r>
        <w:rPr>
          <w:rStyle w:val="FootnoteReference"/>
        </w:rPr>
        <w:footnoteRef/>
      </w:r>
      <w:r>
        <w:rPr>
          <w:lang w:val="pl-PL"/>
        </w:rPr>
        <w:tab/>
      </w:r>
      <w:r>
        <w:t>Регламент</w:t>
      </w:r>
      <w:r>
        <w:rPr>
          <w:lang w:val="pl-PL"/>
        </w:rPr>
        <w:t xml:space="preserve"> (</w:t>
      </w:r>
      <w:r>
        <w:t>ЕС</w:t>
      </w:r>
      <w:r>
        <w:rPr>
          <w:lang w:val="pl-PL"/>
        </w:rPr>
        <w:t xml:space="preserve">) № 610/2013 </w:t>
      </w:r>
      <w:r>
        <w:t>на</w:t>
      </w:r>
      <w:r>
        <w:rPr>
          <w:lang w:val="pl-PL"/>
        </w:rPr>
        <w:t xml:space="preserve"> </w:t>
      </w:r>
      <w:r>
        <w:t>Европейския</w:t>
      </w:r>
      <w:r>
        <w:rPr>
          <w:lang w:val="pl-PL"/>
        </w:rPr>
        <w:t xml:space="preserve"> </w:t>
      </w:r>
      <w:r>
        <w:t>парламент</w:t>
      </w:r>
      <w:r>
        <w:rPr>
          <w:lang w:val="pl-PL"/>
        </w:rPr>
        <w:t xml:space="preserve"> </w:t>
      </w:r>
      <w:r>
        <w:t>и</w:t>
      </w:r>
      <w:r>
        <w:rPr>
          <w:lang w:val="pl-PL"/>
        </w:rPr>
        <w:t xml:space="preserve"> </w:t>
      </w:r>
      <w:r>
        <w:t>на</w:t>
      </w:r>
      <w:r>
        <w:rPr>
          <w:lang w:val="pl-PL"/>
        </w:rPr>
        <w:t xml:space="preserve"> </w:t>
      </w:r>
      <w:r>
        <w:t>Съвета</w:t>
      </w:r>
      <w:r>
        <w:rPr>
          <w:lang w:val="pl-PL"/>
        </w:rPr>
        <w:t xml:space="preserve"> </w:t>
      </w:r>
      <w:r>
        <w:t>от</w:t>
      </w:r>
      <w:r>
        <w:rPr>
          <w:lang w:val="pl-PL"/>
        </w:rPr>
        <w:t xml:space="preserve"> 26 </w:t>
      </w:r>
      <w:r>
        <w:t>юни</w:t>
      </w:r>
      <w:r>
        <w:rPr>
          <w:lang w:val="pl-PL"/>
        </w:rPr>
        <w:t xml:space="preserve"> 2013 </w:t>
      </w:r>
      <w:r>
        <w:t>година</w:t>
      </w:r>
      <w:r>
        <w:rPr>
          <w:lang w:val="pl-PL"/>
        </w:rPr>
        <w:t xml:space="preserve"> </w:t>
      </w:r>
      <w:r>
        <w:t>за</w:t>
      </w:r>
      <w:r>
        <w:rPr>
          <w:lang w:val="pl-PL"/>
        </w:rPr>
        <w:t xml:space="preserve"> </w:t>
      </w:r>
      <w:r>
        <w:t>изменение</w:t>
      </w:r>
      <w:r>
        <w:rPr>
          <w:lang w:val="pl-PL"/>
        </w:rPr>
        <w:t xml:space="preserve"> </w:t>
      </w:r>
      <w:r>
        <w:t>на</w:t>
      </w:r>
      <w:r>
        <w:rPr>
          <w:lang w:val="pl-PL"/>
        </w:rPr>
        <w:t xml:space="preserve"> </w:t>
      </w:r>
      <w:r>
        <w:t>Регламент</w:t>
      </w:r>
      <w:r>
        <w:rPr>
          <w:lang w:val="pl-PL"/>
        </w:rPr>
        <w:t xml:space="preserve"> (</w:t>
      </w:r>
      <w:r>
        <w:t>ЕО</w:t>
      </w:r>
      <w:r>
        <w:rPr>
          <w:lang w:val="pl-PL"/>
        </w:rPr>
        <w:t xml:space="preserve">) № 562/2006 </w:t>
      </w:r>
      <w:r>
        <w:t>на</w:t>
      </w:r>
      <w:r>
        <w:rPr>
          <w:lang w:val="pl-PL"/>
        </w:rPr>
        <w:t xml:space="preserve"> </w:t>
      </w:r>
      <w:r>
        <w:t>Европейския</w:t>
      </w:r>
      <w:r>
        <w:rPr>
          <w:lang w:val="pl-PL"/>
        </w:rPr>
        <w:t xml:space="preserve"> </w:t>
      </w:r>
      <w:r>
        <w:t>парламент</w:t>
      </w:r>
      <w:r>
        <w:rPr>
          <w:lang w:val="pl-PL"/>
        </w:rPr>
        <w:t xml:space="preserve"> </w:t>
      </w:r>
      <w:r>
        <w:t>и</w:t>
      </w:r>
      <w:r>
        <w:rPr>
          <w:lang w:val="pl-PL"/>
        </w:rPr>
        <w:t xml:space="preserve"> </w:t>
      </w:r>
      <w:r>
        <w:t>на</w:t>
      </w:r>
      <w:r>
        <w:rPr>
          <w:lang w:val="pl-PL"/>
        </w:rPr>
        <w:t xml:space="preserve"> </w:t>
      </w:r>
      <w:r>
        <w:t>Съвета</w:t>
      </w:r>
      <w:r>
        <w:rPr>
          <w:lang w:val="pl-PL"/>
        </w:rPr>
        <w:t xml:space="preserve"> </w:t>
      </w:r>
      <w:r>
        <w:t>за</w:t>
      </w:r>
      <w:r>
        <w:rPr>
          <w:lang w:val="pl-PL"/>
        </w:rPr>
        <w:t xml:space="preserve"> </w:t>
      </w:r>
      <w:r>
        <w:t>създаване</w:t>
      </w:r>
      <w:r>
        <w:rPr>
          <w:lang w:val="pl-PL"/>
        </w:rPr>
        <w:t xml:space="preserve"> </w:t>
      </w:r>
      <w:r>
        <w:t>на</w:t>
      </w:r>
      <w:r>
        <w:rPr>
          <w:lang w:val="pl-PL"/>
        </w:rPr>
        <w:t xml:space="preserve"> </w:t>
      </w:r>
      <w:r>
        <w:t>Кодекс</w:t>
      </w:r>
      <w:r>
        <w:rPr>
          <w:lang w:val="pl-PL"/>
        </w:rPr>
        <w:t xml:space="preserve"> </w:t>
      </w:r>
      <w:r>
        <w:t>на</w:t>
      </w:r>
      <w:r>
        <w:rPr>
          <w:lang w:val="pl-PL"/>
        </w:rPr>
        <w:t xml:space="preserve"> </w:t>
      </w:r>
      <w:r>
        <w:t>Общността</w:t>
      </w:r>
      <w:r>
        <w:rPr>
          <w:lang w:val="pl-PL"/>
        </w:rPr>
        <w:t xml:space="preserve"> </w:t>
      </w:r>
      <w:r>
        <w:t>за</w:t>
      </w:r>
      <w:r>
        <w:rPr>
          <w:lang w:val="pl-PL"/>
        </w:rPr>
        <w:t xml:space="preserve"> </w:t>
      </w:r>
      <w:r>
        <w:t>режима</w:t>
      </w:r>
      <w:r>
        <w:rPr>
          <w:lang w:val="pl-PL"/>
        </w:rPr>
        <w:t xml:space="preserve"> </w:t>
      </w:r>
      <w:r>
        <w:t>на</w:t>
      </w:r>
      <w:r>
        <w:rPr>
          <w:lang w:val="pl-PL"/>
        </w:rPr>
        <w:t xml:space="preserve"> </w:t>
      </w:r>
      <w:r>
        <w:t>движение</w:t>
      </w:r>
      <w:r>
        <w:rPr>
          <w:lang w:val="pl-PL"/>
        </w:rPr>
        <w:t xml:space="preserve"> </w:t>
      </w:r>
      <w:r>
        <w:t>на</w:t>
      </w:r>
      <w:r>
        <w:rPr>
          <w:lang w:val="pl-PL"/>
        </w:rPr>
        <w:t xml:space="preserve"> </w:t>
      </w:r>
      <w:r>
        <w:t>лица</w:t>
      </w:r>
      <w:r>
        <w:rPr>
          <w:lang w:val="pl-PL"/>
        </w:rPr>
        <w:t xml:space="preserve"> </w:t>
      </w:r>
      <w:r>
        <w:t>през</w:t>
      </w:r>
      <w:r>
        <w:rPr>
          <w:lang w:val="pl-PL"/>
        </w:rPr>
        <w:t xml:space="preserve"> </w:t>
      </w:r>
      <w:r>
        <w:t>границите</w:t>
      </w:r>
      <w:r>
        <w:rPr>
          <w:lang w:val="pl-PL"/>
        </w:rPr>
        <w:t xml:space="preserve"> (</w:t>
      </w:r>
      <w:r>
        <w:t>Кодекс</w:t>
      </w:r>
      <w:r>
        <w:rPr>
          <w:lang w:val="pl-PL"/>
        </w:rPr>
        <w:t xml:space="preserve"> </w:t>
      </w:r>
      <w:r>
        <w:t>на</w:t>
      </w:r>
      <w:r>
        <w:rPr>
          <w:lang w:val="pl-PL"/>
        </w:rPr>
        <w:t xml:space="preserve"> </w:t>
      </w:r>
      <w:r>
        <w:t>шенгенските</w:t>
      </w:r>
      <w:r>
        <w:rPr>
          <w:lang w:val="pl-PL"/>
        </w:rPr>
        <w:t xml:space="preserve"> </w:t>
      </w:r>
      <w:r>
        <w:t>граници</w:t>
      </w:r>
      <w:r>
        <w:rPr>
          <w:lang w:val="pl-PL"/>
        </w:rPr>
        <w:t xml:space="preserve">), </w:t>
      </w:r>
      <w:r>
        <w:t>Конвенцията</w:t>
      </w:r>
      <w:r>
        <w:rPr>
          <w:lang w:val="pl-PL"/>
        </w:rPr>
        <w:t xml:space="preserve"> </w:t>
      </w:r>
      <w:r>
        <w:t>за</w:t>
      </w:r>
      <w:r>
        <w:rPr>
          <w:lang w:val="pl-PL"/>
        </w:rPr>
        <w:t xml:space="preserve"> </w:t>
      </w:r>
      <w:r>
        <w:t>прилагане</w:t>
      </w:r>
      <w:r>
        <w:rPr>
          <w:lang w:val="pl-PL"/>
        </w:rPr>
        <w:t xml:space="preserve"> </w:t>
      </w:r>
      <w:r>
        <w:t>на</w:t>
      </w:r>
      <w:r>
        <w:rPr>
          <w:lang w:val="pl-PL"/>
        </w:rPr>
        <w:t xml:space="preserve"> </w:t>
      </w:r>
      <w:r>
        <w:t>Споразумението</w:t>
      </w:r>
      <w:r>
        <w:rPr>
          <w:lang w:val="pl-PL"/>
        </w:rPr>
        <w:t xml:space="preserve"> </w:t>
      </w:r>
      <w:r>
        <w:t>от</w:t>
      </w:r>
      <w:r>
        <w:rPr>
          <w:lang w:val="pl-PL"/>
        </w:rPr>
        <w:t xml:space="preserve"> </w:t>
      </w:r>
      <w:r>
        <w:t>Шенген</w:t>
      </w:r>
      <w:r>
        <w:rPr>
          <w:lang w:val="pl-PL"/>
        </w:rPr>
        <w:t xml:space="preserve">, </w:t>
      </w:r>
      <w:r>
        <w:t>регламенти</w:t>
      </w:r>
      <w:r>
        <w:rPr>
          <w:lang w:val="pl-PL"/>
        </w:rPr>
        <w:t xml:space="preserve"> (</w:t>
      </w:r>
      <w:r>
        <w:t>ЕО</w:t>
      </w:r>
      <w:r>
        <w:rPr>
          <w:lang w:val="pl-PL"/>
        </w:rPr>
        <w:t xml:space="preserve">) № 1683/95 </w:t>
      </w:r>
      <w:r>
        <w:t>и</w:t>
      </w:r>
      <w:r>
        <w:rPr>
          <w:lang w:val="pl-PL"/>
        </w:rPr>
        <w:t xml:space="preserve"> (</w:t>
      </w:r>
      <w:r>
        <w:t>ЕО</w:t>
      </w:r>
      <w:r>
        <w:rPr>
          <w:lang w:val="pl-PL"/>
        </w:rPr>
        <w:t xml:space="preserve">) № 539/2001 </w:t>
      </w:r>
      <w:r>
        <w:t>на</w:t>
      </w:r>
      <w:r>
        <w:rPr>
          <w:lang w:val="pl-PL"/>
        </w:rPr>
        <w:t xml:space="preserve"> </w:t>
      </w:r>
      <w:r>
        <w:t>Съвета</w:t>
      </w:r>
      <w:r>
        <w:rPr>
          <w:lang w:val="pl-PL"/>
        </w:rPr>
        <w:t xml:space="preserve"> </w:t>
      </w:r>
      <w:r>
        <w:t>и</w:t>
      </w:r>
      <w:r>
        <w:rPr>
          <w:lang w:val="pl-PL"/>
        </w:rPr>
        <w:t xml:space="preserve"> </w:t>
      </w:r>
      <w:r>
        <w:t>регламенти</w:t>
      </w:r>
      <w:r>
        <w:rPr>
          <w:lang w:val="pl-PL"/>
        </w:rPr>
        <w:t xml:space="preserve"> (</w:t>
      </w:r>
      <w:r>
        <w:t>ЕО</w:t>
      </w:r>
      <w:r>
        <w:rPr>
          <w:lang w:val="pl-PL"/>
        </w:rPr>
        <w:t xml:space="preserve">) № 767/2008 </w:t>
      </w:r>
      <w:r>
        <w:t>и</w:t>
      </w:r>
      <w:r>
        <w:rPr>
          <w:lang w:val="pl-PL"/>
        </w:rPr>
        <w:t xml:space="preserve"> (</w:t>
      </w:r>
      <w:r>
        <w:t>ЕО</w:t>
      </w:r>
      <w:r>
        <w:rPr>
          <w:lang w:val="pl-PL"/>
        </w:rPr>
        <w:t xml:space="preserve">) № 810/2009 </w:t>
      </w:r>
      <w:r>
        <w:t>на</w:t>
      </w:r>
      <w:r>
        <w:rPr>
          <w:lang w:val="pl-PL"/>
        </w:rPr>
        <w:t xml:space="preserve"> </w:t>
      </w:r>
      <w:r>
        <w:t>Европейския</w:t>
      </w:r>
      <w:r>
        <w:rPr>
          <w:lang w:val="pl-PL"/>
        </w:rPr>
        <w:t xml:space="preserve"> </w:t>
      </w:r>
      <w:r>
        <w:t>парламент</w:t>
      </w:r>
      <w:r>
        <w:rPr>
          <w:lang w:val="pl-PL"/>
        </w:rPr>
        <w:t xml:space="preserve"> </w:t>
      </w:r>
      <w:r>
        <w:t>и</w:t>
      </w:r>
      <w:r>
        <w:rPr>
          <w:lang w:val="pl-PL"/>
        </w:rPr>
        <w:t xml:space="preserve"> </w:t>
      </w:r>
      <w:r>
        <w:t>на</w:t>
      </w:r>
      <w:r>
        <w:rPr>
          <w:lang w:val="pl-PL"/>
        </w:rPr>
        <w:t xml:space="preserve"> </w:t>
      </w:r>
      <w:r>
        <w:t>Съвета</w:t>
      </w:r>
      <w:r>
        <w:rPr>
          <w:lang w:val="pl-PL"/>
        </w:rPr>
        <w:t xml:space="preserve"> (</w:t>
      </w:r>
      <w:r>
        <w:t>ОВ</w:t>
      </w:r>
      <w:r>
        <w:rPr>
          <w:lang w:val="pl-PL"/>
        </w:rPr>
        <w:t xml:space="preserve"> L 182, 29.6.2013 </w:t>
      </w:r>
      <w:r>
        <w:t>г</w:t>
      </w:r>
      <w:r>
        <w:rPr>
          <w:lang w:val="pl-PL"/>
        </w:rPr>
        <w:t xml:space="preserve">., </w:t>
      </w:r>
      <w:r>
        <w:t>стр</w:t>
      </w:r>
      <w:r>
        <w:rPr>
          <w:lang w:val="pl-PL"/>
        </w:rPr>
        <w:t>. 1).</w:t>
      </w:r>
    </w:p>
  </w:footnote>
  <w:footnote w:id="20">
    <w:p>
      <w:pPr>
        <w:pStyle w:val="FootnoteText"/>
        <w:rPr>
          <w:lang w:val="pl-PL"/>
        </w:rPr>
      </w:pPr>
      <w:r>
        <w:rPr>
          <w:rStyle w:val="FootnoteReference"/>
        </w:rPr>
        <w:footnoteRef/>
      </w:r>
      <w:r>
        <w:rPr>
          <w:lang w:val="pl-PL"/>
        </w:rPr>
        <w:tab/>
      </w:r>
      <w:r>
        <w:t>Решение</w:t>
      </w:r>
      <w:r>
        <w:rPr>
          <w:lang w:val="pl-PL"/>
        </w:rPr>
        <w:t xml:space="preserve"> 2000/365/</w:t>
      </w:r>
      <w:r>
        <w:t>ЕО</w:t>
      </w:r>
      <w:r>
        <w:rPr>
          <w:lang w:val="pl-PL"/>
        </w:rPr>
        <w:t xml:space="preserve"> </w:t>
      </w:r>
      <w:r>
        <w:t>на</w:t>
      </w:r>
      <w:r>
        <w:rPr>
          <w:lang w:val="pl-PL"/>
        </w:rPr>
        <w:t xml:space="preserve"> </w:t>
      </w:r>
      <w:r>
        <w:t>Съвета</w:t>
      </w:r>
      <w:r>
        <w:rPr>
          <w:lang w:val="pl-PL"/>
        </w:rPr>
        <w:t xml:space="preserve"> </w:t>
      </w:r>
      <w:r>
        <w:t>от</w:t>
      </w:r>
      <w:r>
        <w:rPr>
          <w:lang w:val="pl-PL"/>
        </w:rPr>
        <w:t xml:space="preserve"> 29 </w:t>
      </w:r>
      <w:r>
        <w:t>май</w:t>
      </w:r>
      <w:r>
        <w:rPr>
          <w:lang w:val="pl-PL"/>
        </w:rPr>
        <w:t xml:space="preserve"> 2000 </w:t>
      </w:r>
      <w:r>
        <w:t>г</w:t>
      </w:r>
      <w:r>
        <w:rPr>
          <w:lang w:val="pl-PL"/>
        </w:rPr>
        <w:t xml:space="preserve">. </w:t>
      </w:r>
      <w:r>
        <w:t>относно</w:t>
      </w:r>
      <w:r>
        <w:rPr>
          <w:lang w:val="pl-PL"/>
        </w:rPr>
        <w:t xml:space="preserve"> </w:t>
      </w:r>
      <w:r>
        <w:t>искането</w:t>
      </w:r>
      <w:r>
        <w:rPr>
          <w:lang w:val="pl-PL"/>
        </w:rPr>
        <w:t xml:space="preserve"> </w:t>
      </w:r>
      <w:r>
        <w:t>на</w:t>
      </w:r>
      <w:r>
        <w:rPr>
          <w:lang w:val="pl-PL"/>
        </w:rPr>
        <w:t xml:space="preserve"> </w:t>
      </w:r>
      <w:r>
        <w:t>Обединеното</w:t>
      </w:r>
      <w:r>
        <w:rPr>
          <w:lang w:val="pl-PL"/>
        </w:rPr>
        <w:t xml:space="preserve"> </w:t>
      </w:r>
      <w:r>
        <w:t>кралство</w:t>
      </w:r>
      <w:r>
        <w:rPr>
          <w:lang w:val="pl-PL"/>
        </w:rPr>
        <w:t xml:space="preserve"> </w:t>
      </w:r>
      <w:r>
        <w:t>Великобритания</w:t>
      </w:r>
      <w:r>
        <w:rPr>
          <w:lang w:val="pl-PL"/>
        </w:rPr>
        <w:t xml:space="preserve"> </w:t>
      </w:r>
      <w:r>
        <w:t>и</w:t>
      </w:r>
      <w:r>
        <w:rPr>
          <w:lang w:val="pl-PL"/>
        </w:rPr>
        <w:t xml:space="preserve"> </w:t>
      </w:r>
      <w:r>
        <w:t>Северна</w:t>
      </w:r>
      <w:r>
        <w:rPr>
          <w:lang w:val="pl-PL"/>
        </w:rPr>
        <w:t xml:space="preserve"> </w:t>
      </w:r>
      <w:r>
        <w:t>Ирландия</w:t>
      </w:r>
      <w:r>
        <w:rPr>
          <w:lang w:val="pl-PL"/>
        </w:rPr>
        <w:t xml:space="preserve"> </w:t>
      </w:r>
      <w:r>
        <w:t>да</w:t>
      </w:r>
      <w:r>
        <w:rPr>
          <w:lang w:val="pl-PL"/>
        </w:rPr>
        <w:t xml:space="preserve"> </w:t>
      </w:r>
      <w:r>
        <w:t>участва</w:t>
      </w:r>
      <w:r>
        <w:rPr>
          <w:lang w:val="pl-PL"/>
        </w:rPr>
        <w:t xml:space="preserve"> </w:t>
      </w:r>
      <w:r>
        <w:t>в</w:t>
      </w:r>
      <w:r>
        <w:rPr>
          <w:lang w:val="pl-PL"/>
        </w:rPr>
        <w:t xml:space="preserve"> </w:t>
      </w:r>
      <w:r>
        <w:t>някои</w:t>
      </w:r>
      <w:r>
        <w:rPr>
          <w:lang w:val="pl-PL"/>
        </w:rPr>
        <w:t xml:space="preserve"> </w:t>
      </w:r>
      <w:r>
        <w:t>разпоредби</w:t>
      </w:r>
      <w:r>
        <w:rPr>
          <w:lang w:val="pl-PL"/>
        </w:rPr>
        <w:t xml:space="preserve"> </w:t>
      </w:r>
      <w:r>
        <w:t>от</w:t>
      </w:r>
      <w:r>
        <w:rPr>
          <w:lang w:val="pl-PL"/>
        </w:rPr>
        <w:t xml:space="preserve"> </w:t>
      </w:r>
      <w:r>
        <w:t>достиженията</w:t>
      </w:r>
      <w:r>
        <w:rPr>
          <w:lang w:val="pl-PL"/>
        </w:rPr>
        <w:t xml:space="preserve"> </w:t>
      </w:r>
      <w:r>
        <w:t>на</w:t>
      </w:r>
      <w:r>
        <w:rPr>
          <w:lang w:val="pl-PL"/>
        </w:rPr>
        <w:t xml:space="preserve"> </w:t>
      </w:r>
      <w:r>
        <w:t>правото</w:t>
      </w:r>
      <w:r>
        <w:rPr>
          <w:lang w:val="pl-PL"/>
        </w:rPr>
        <w:t xml:space="preserve"> </w:t>
      </w:r>
      <w:r>
        <w:t>от</w:t>
      </w:r>
      <w:r>
        <w:rPr>
          <w:lang w:val="pl-PL"/>
        </w:rPr>
        <w:t xml:space="preserve"> </w:t>
      </w:r>
      <w:r>
        <w:t>Шенген</w:t>
      </w:r>
      <w:r>
        <w:rPr>
          <w:lang w:val="pl-PL"/>
        </w:rPr>
        <w:t xml:space="preserve"> (</w:t>
      </w:r>
      <w:r>
        <w:t>ОВ</w:t>
      </w:r>
      <w:r>
        <w:rPr>
          <w:lang w:val="pl-PL"/>
        </w:rPr>
        <w:t xml:space="preserve"> L 131, 1.6.2000 </w:t>
      </w:r>
      <w:r>
        <w:t>г</w:t>
      </w:r>
      <w:r>
        <w:rPr>
          <w:lang w:val="pl-PL"/>
        </w:rPr>
        <w:t xml:space="preserve">., </w:t>
      </w:r>
      <w:r>
        <w:t>стр</w:t>
      </w:r>
      <w:r>
        <w:rPr>
          <w:lang w:val="pl-PL"/>
        </w:rPr>
        <w:t>. 43).</w:t>
      </w:r>
    </w:p>
  </w:footnote>
  <w:footnote w:id="21">
    <w:p>
      <w:pPr>
        <w:pStyle w:val="FootnoteText"/>
        <w:rPr>
          <w:lang w:val="pl-PL"/>
        </w:rPr>
      </w:pPr>
      <w:r>
        <w:rPr>
          <w:rStyle w:val="FootnoteReference"/>
        </w:rPr>
        <w:footnoteRef/>
      </w:r>
      <w:r>
        <w:rPr>
          <w:lang w:val="pl-PL"/>
        </w:rPr>
        <w:tab/>
      </w:r>
      <w:r>
        <w:t>Решение</w:t>
      </w:r>
      <w:r>
        <w:rPr>
          <w:lang w:val="pl-PL"/>
        </w:rPr>
        <w:t xml:space="preserve"> 2002/192/</w:t>
      </w:r>
      <w:r>
        <w:t>ЕО</w:t>
      </w:r>
      <w:r>
        <w:rPr>
          <w:lang w:val="pl-PL"/>
        </w:rPr>
        <w:t xml:space="preserve"> </w:t>
      </w:r>
      <w:r>
        <w:t>на</w:t>
      </w:r>
      <w:r>
        <w:rPr>
          <w:lang w:val="pl-PL"/>
        </w:rPr>
        <w:t xml:space="preserve"> </w:t>
      </w:r>
      <w:r>
        <w:t>Съвета</w:t>
      </w:r>
      <w:r>
        <w:rPr>
          <w:lang w:val="pl-PL"/>
        </w:rPr>
        <w:t xml:space="preserve"> </w:t>
      </w:r>
      <w:r>
        <w:t>от</w:t>
      </w:r>
      <w:r>
        <w:rPr>
          <w:lang w:val="pl-PL"/>
        </w:rPr>
        <w:t xml:space="preserve"> 28 </w:t>
      </w:r>
      <w:r>
        <w:t>февруари</w:t>
      </w:r>
      <w:r>
        <w:rPr>
          <w:lang w:val="pl-PL"/>
        </w:rPr>
        <w:t xml:space="preserve"> 2002 </w:t>
      </w:r>
      <w:r>
        <w:t>г</w:t>
      </w:r>
      <w:r>
        <w:rPr>
          <w:lang w:val="pl-PL"/>
        </w:rPr>
        <w:t xml:space="preserve">. </w:t>
      </w:r>
      <w:r>
        <w:t>относно</w:t>
      </w:r>
      <w:r>
        <w:rPr>
          <w:lang w:val="pl-PL"/>
        </w:rPr>
        <w:t xml:space="preserve"> </w:t>
      </w:r>
      <w:r>
        <w:t>искането</w:t>
      </w:r>
      <w:r>
        <w:rPr>
          <w:lang w:val="pl-PL"/>
        </w:rPr>
        <w:t xml:space="preserve"> </w:t>
      </w:r>
      <w:r>
        <w:t>на</w:t>
      </w:r>
      <w:r>
        <w:rPr>
          <w:lang w:val="pl-PL"/>
        </w:rPr>
        <w:t xml:space="preserve"> </w:t>
      </w:r>
      <w:r>
        <w:t>Ирландия</w:t>
      </w:r>
      <w:r>
        <w:rPr>
          <w:lang w:val="pl-PL"/>
        </w:rPr>
        <w:t xml:space="preserve"> </w:t>
      </w:r>
      <w:r>
        <w:t>да</w:t>
      </w:r>
      <w:r>
        <w:rPr>
          <w:lang w:val="pl-PL"/>
        </w:rPr>
        <w:t xml:space="preserve"> </w:t>
      </w:r>
      <w:r>
        <w:t>участва</w:t>
      </w:r>
      <w:r>
        <w:rPr>
          <w:lang w:val="pl-PL"/>
        </w:rPr>
        <w:t xml:space="preserve"> </w:t>
      </w:r>
      <w:r>
        <w:t>в</w:t>
      </w:r>
      <w:r>
        <w:rPr>
          <w:lang w:val="pl-PL"/>
        </w:rPr>
        <w:t xml:space="preserve"> </w:t>
      </w:r>
      <w:r>
        <w:t>някои</w:t>
      </w:r>
      <w:r>
        <w:rPr>
          <w:lang w:val="pl-PL"/>
        </w:rPr>
        <w:t xml:space="preserve"> </w:t>
      </w:r>
      <w:r>
        <w:t>разпоредби</w:t>
      </w:r>
      <w:r>
        <w:rPr>
          <w:lang w:val="pl-PL"/>
        </w:rPr>
        <w:t xml:space="preserve"> </w:t>
      </w:r>
      <w:r>
        <w:t>от</w:t>
      </w:r>
      <w:r>
        <w:rPr>
          <w:lang w:val="pl-PL"/>
        </w:rPr>
        <w:t xml:space="preserve"> </w:t>
      </w:r>
      <w:r>
        <w:t>достиженията</w:t>
      </w:r>
      <w:r>
        <w:rPr>
          <w:lang w:val="pl-PL"/>
        </w:rPr>
        <w:t xml:space="preserve"> </w:t>
      </w:r>
      <w:r>
        <w:t>на</w:t>
      </w:r>
      <w:r>
        <w:rPr>
          <w:lang w:val="pl-PL"/>
        </w:rPr>
        <w:t xml:space="preserve"> </w:t>
      </w:r>
      <w:r>
        <w:t>правото</w:t>
      </w:r>
      <w:r>
        <w:rPr>
          <w:lang w:val="pl-PL"/>
        </w:rPr>
        <w:t xml:space="preserve"> </w:t>
      </w:r>
      <w:r>
        <w:t>от</w:t>
      </w:r>
      <w:r>
        <w:rPr>
          <w:lang w:val="pl-PL"/>
        </w:rPr>
        <w:t xml:space="preserve"> </w:t>
      </w:r>
      <w:r>
        <w:t>Шенген</w:t>
      </w:r>
      <w:r>
        <w:rPr>
          <w:lang w:val="pl-PL"/>
        </w:rPr>
        <w:t xml:space="preserve"> (</w:t>
      </w:r>
      <w:r>
        <w:t>ОВ</w:t>
      </w:r>
      <w:r>
        <w:rPr>
          <w:lang w:val="pl-PL"/>
        </w:rPr>
        <w:t xml:space="preserve"> L 64, 7.3.2002 </w:t>
      </w:r>
      <w:r>
        <w:t>г</w:t>
      </w:r>
      <w:r>
        <w:rPr>
          <w:lang w:val="pl-PL"/>
        </w:rPr>
        <w:t xml:space="preserve">., </w:t>
      </w:r>
      <w:r>
        <w:t>стр</w:t>
      </w:r>
      <w:r>
        <w:rPr>
          <w:lang w:val="pl-PL"/>
        </w:rPr>
        <w:t>. 20).</w:t>
      </w:r>
    </w:p>
  </w:footnote>
  <w:footnote w:id="22">
    <w:p>
      <w:pPr>
        <w:pStyle w:val="FootnoteText"/>
        <w:rPr>
          <w:lang w:val="pl-PL"/>
        </w:rPr>
      </w:pPr>
      <w:r>
        <w:rPr>
          <w:rStyle w:val="FootnoteReference"/>
        </w:rPr>
        <w:footnoteRef/>
      </w:r>
      <w:r>
        <w:rPr>
          <w:lang w:val="pl-PL"/>
        </w:rPr>
        <w:tab/>
      </w:r>
      <w:r>
        <w:t>Датата</w:t>
      </w:r>
      <w:r>
        <w:rPr>
          <w:lang w:val="pl-PL"/>
        </w:rPr>
        <w:t xml:space="preserve"> </w:t>
      </w:r>
      <w:r>
        <w:t>на</w:t>
      </w:r>
      <w:r>
        <w:rPr>
          <w:lang w:val="pl-PL"/>
        </w:rPr>
        <w:t xml:space="preserve"> </w:t>
      </w:r>
      <w:r>
        <w:t>влизане</w:t>
      </w:r>
      <w:r>
        <w:rPr>
          <w:lang w:val="pl-PL"/>
        </w:rPr>
        <w:t xml:space="preserve"> </w:t>
      </w:r>
      <w:r>
        <w:t>в</w:t>
      </w:r>
      <w:r>
        <w:rPr>
          <w:lang w:val="pl-PL"/>
        </w:rPr>
        <w:t xml:space="preserve"> </w:t>
      </w:r>
      <w:r>
        <w:t>сила</w:t>
      </w:r>
      <w:r>
        <w:rPr>
          <w:lang w:val="pl-PL"/>
        </w:rPr>
        <w:t xml:space="preserve"> </w:t>
      </w:r>
      <w:r>
        <w:t>на</w:t>
      </w:r>
      <w:r>
        <w:rPr>
          <w:lang w:val="pl-PL"/>
        </w:rPr>
        <w:t xml:space="preserve"> </w:t>
      </w:r>
      <w:r>
        <w:t>Споразумението</w:t>
      </w:r>
      <w:r>
        <w:rPr>
          <w:lang w:val="pl-PL"/>
        </w:rPr>
        <w:t xml:space="preserve"> </w:t>
      </w:r>
      <w:r>
        <w:t>ще</w:t>
      </w:r>
      <w:r>
        <w:rPr>
          <w:lang w:val="pl-PL"/>
        </w:rPr>
        <w:t xml:space="preserve"> </w:t>
      </w:r>
      <w:r>
        <w:t>бъде</w:t>
      </w:r>
      <w:r>
        <w:rPr>
          <w:lang w:val="pl-PL"/>
        </w:rPr>
        <w:t xml:space="preserve"> </w:t>
      </w:r>
      <w:r>
        <w:t>публикувана</w:t>
      </w:r>
      <w:r>
        <w:rPr>
          <w:lang w:val="pl-PL"/>
        </w:rPr>
        <w:t xml:space="preserve"> </w:t>
      </w:r>
      <w:r>
        <w:t>в</w:t>
      </w:r>
      <w:r>
        <w:rPr>
          <w:lang w:val="pl-PL"/>
        </w:rPr>
        <w:t xml:space="preserve"> </w:t>
      </w:r>
      <w:r>
        <w:rPr>
          <w:i/>
        </w:rPr>
        <w:t>Официален</w:t>
      </w:r>
      <w:r>
        <w:rPr>
          <w:i/>
          <w:lang w:val="pl-PL"/>
        </w:rPr>
        <w:t xml:space="preserve"> </w:t>
      </w:r>
      <w:r>
        <w:rPr>
          <w:i/>
        </w:rPr>
        <w:t>вестник</w:t>
      </w:r>
      <w:r>
        <w:rPr>
          <w:i/>
          <w:lang w:val="pl-PL"/>
        </w:rPr>
        <w:t xml:space="preserve"> </w:t>
      </w:r>
      <w:r>
        <w:rPr>
          <w:i/>
        </w:rPr>
        <w:t>на</w:t>
      </w:r>
      <w:r>
        <w:rPr>
          <w:i/>
          <w:lang w:val="pl-PL"/>
        </w:rPr>
        <w:t xml:space="preserve"> </w:t>
      </w:r>
      <w:r>
        <w:rPr>
          <w:i/>
        </w:rPr>
        <w:t>Европейския</w:t>
      </w:r>
      <w:r>
        <w:rPr>
          <w:i/>
          <w:lang w:val="pl-PL"/>
        </w:rPr>
        <w:t xml:space="preserve"> </w:t>
      </w:r>
      <w:r>
        <w:rPr>
          <w:i/>
        </w:rPr>
        <w:t>съюз</w:t>
      </w:r>
      <w:r>
        <w:rPr>
          <w:lang w:val="pl-PL"/>
        </w:rPr>
        <w:t xml:space="preserve"> </w:t>
      </w:r>
      <w:r>
        <w:t>от</w:t>
      </w:r>
      <w:r>
        <w:rPr>
          <w:lang w:val="pl-PL"/>
        </w:rPr>
        <w:t xml:space="preserve"> </w:t>
      </w:r>
      <w:r>
        <w:t>Генералния</w:t>
      </w:r>
      <w:r>
        <w:rPr>
          <w:lang w:val="pl-PL"/>
        </w:rPr>
        <w:t xml:space="preserve"> </w:t>
      </w:r>
      <w:r>
        <w:t>секретариат</w:t>
      </w:r>
      <w:r>
        <w:rPr>
          <w:lang w:val="pl-PL"/>
        </w:rPr>
        <w:t xml:space="preserve"> </w:t>
      </w:r>
      <w:r>
        <w:t>на</w:t>
      </w:r>
      <w:r>
        <w:rPr>
          <w:lang w:val="pl-PL"/>
        </w:rPr>
        <w:t xml:space="preserve"> </w:t>
      </w:r>
      <w:r>
        <w:t>Съвета</w:t>
      </w:r>
      <w:r>
        <w:rPr>
          <w:lang w:val="pl-P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FC26B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D07C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2019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3CFA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D88A7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C6DB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9476A8"/>
    <w:lvl w:ilvl="0">
      <w:start w:val="1"/>
      <w:numFmt w:val="decimal"/>
      <w:pStyle w:val="ListNumber"/>
      <w:lvlText w:val="%1."/>
      <w:lvlJc w:val="left"/>
      <w:pPr>
        <w:tabs>
          <w:tab w:val="num" w:pos="360"/>
        </w:tabs>
        <w:ind w:left="360" w:hanging="360"/>
      </w:pPr>
    </w:lvl>
  </w:abstractNum>
  <w:abstractNum w:abstractNumId="7">
    <w:nsid w:val="FFFFFF89"/>
    <w:multiLevelType w:val="singleLevel"/>
    <w:tmpl w:val="42CABD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8 09:25: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D787E68326849AEBA85EC67B311F5C6"/>
    <w:docVar w:name="LW_CROSSREFERENCE" w:val="&lt;UNUSED&gt;"/>
    <w:docVar w:name="LW_DocType" w:val="COM"/>
    <w:docVar w:name="LW_EMISSION" w:val="28.7.2017"/>
    <w:docVar w:name="LW_EMISSION_ISODATE" w:val="2017-07-2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69"/>
    <w:docVar w:name="LW_REF.II.NEW.CP_YEAR" w:val="2017"/>
    <w:docVar w:name="LW_REF.INST.NEW" w:val="COM"/>
    <w:docVar w:name="LW_REF.INST.NEW_ADOPTED" w:val="final"/>
    <w:docVar w:name="LW_REF.INST.NEW_TEXT" w:val="(2017) 394"/>
    <w:docVar w:name="LW_REF.INTERNE" w:val="&lt;UNUSED&gt;"/>
    <w:docVar w:name="LW_SOUS.TITRE.OBJ.CP" w:val="&lt;UNUSED&gt;"/>
    <w:docVar w:name="LW_STATUT.CP" w:val="\u1055?\u1088?\u1077?\u1076?\u1083?\u1086?\u1078?\u1077?\u1085?\u1080?\u1077? \u1079?\u1072?"/>
    <w:docVar w:name="LW_SUPERTITRE" w:val="&lt;UNUSED&gt;"/>
    <w:docVar w:name="LW_TITRE.OBJ.CP" w:val="\u1079?\u1072? \u1089?\u1082?\u1083?\u1102?\u1095?\u1074?\u1072?\u1085?\u1077? \u1085?\u1072? \u1057?\u1087?\u1086?\u1088?\u1072?\u1079?\u1091?\u1084?\u1077?\u1085?\u1080?\u1077?\u1090?\u1086? \u1084?\u1077?\u1078?\u1076?\u1091? \u1045?\u1074?\u1088?\u1086?\u1087?\u1077?\u1081?\u1089?\u1082?\u1080?\u1103? \u1089?\u1098?\u1102?\u1079? \u1080? \u1041?\u1072?\u1093?\u1072?\u1084?\u1089?\u1082?\u1072?\u1090?\u1072? \u1086?\u1073?\u1097?\u1085?\u1086?\u1089?\u1090? \u1079?\u1072? \u1080?\u1079?\u1084?\u1077?\u1085?\u1077?\u1085?\u1080?\u1077? \u1085?\u1072? \u1057?\u1087?\u1086?\u1088?\u1072?\u1079?\u1091?\u1084?\u1077?\u1085?\u1080?\u1077?\u1090?\u1086? \u1084?\u1077?\u1078?\u1076?\u1091? \u1045?\u1074?\u1088?\u1086?\u1087?\u1077?\u1081?\u1089?\u1082?\u1072?\u1090?\u1072? \u1086?\u1073?\u1097?\u1085?\u1086?\u1089?\u1090? \u1080? \u1041?\u1072?\u1093?\u1072?\u1084?\u1089?\u1082?\u1072?\u1090?\u1072? \u1086?\u1073?\u1097?\u1085?\u1086?\u1089?\u1090? \u1079?\u1072? \u1086?\u1090?\u1084?\u1103?\u1085?\u1072? \u1085?\u1072? \u1074?\u1080?\u1079?\u1086?\u1074?\u1080?\u1103? \u1088?\u1077?\u1078?\u1080?\u1084? \u1079?\u1072? \u1082?\u1088?\u1072?\u1090?\u1082?\u1086?\u1089?\u1088?\u1086?\u1095?\u1085?\u1086? \u1087?\u1088?\u1077?\u1073?\u1080?\u1074?\u1072?\u1074?\u1072?\u1085?\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8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E176C-AF5A-439B-B1C9-DF4D73BC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2034</Words>
  <Characters>12047</Characters>
  <Application>Microsoft Office Word</Application>
  <DocSecurity>0</DocSecurity>
  <Lines>227</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2017-07-11T07:12:00Z</dcterms:created>
  <dcterms:modified xsi:type="dcterms:W3CDTF">2017-07-28T07:25:00Z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