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B29BDCCB6F3451D89F8ACC28E66EA61"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szCs w:val="24"/>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the Commonwealth of the Bahamas were successfully finalised by the initialling of the </w:t>
      </w:r>
      <w:r>
        <w:rPr>
          <w:noProof/>
          <w:lang w:val="en-US"/>
        </w:rPr>
        <w:t xml:space="preserve">amending agreement on 30 August </w:t>
      </w:r>
      <w:r>
        <w:rPr>
          <w:noProof/>
        </w:rPr>
        <w:t xml:space="preserve">2016. </w:t>
      </w:r>
      <w:r>
        <w:rPr>
          <w:noProof/>
          <w:szCs w:val="24"/>
        </w:rPr>
        <w:t xml:space="preserve">Both parties have agreed to adopt the new definition of 'short-stay' throughout the visa waiver agreement between the EU and the Bahamas.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pStyle w:val="Text1"/>
        <w:ind w:left="0"/>
        <w:rPr>
          <w:noProof/>
        </w:rPr>
      </w:pPr>
      <w:r>
        <w:rPr>
          <w:noProof/>
        </w:rPr>
        <w:t>This proposal is submitted to the Council in order to authorise the conclusion of the Agreement to amend the Agreement between the European Community and the Commonwealth of the Bahamas on the short-stay visa waiver.</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 point (a) of Article 77(2) of the Treaty on the Functioning of the European Union (TFEU), in conjunction with Article 218 thereof.</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the Bahamas, on the one hand, and Iceland, Liechtenstein, Norway and Switzerland, on the other, to accordingly modify their existing bilateral visa waiver agreements.</w:t>
      </w:r>
    </w:p>
    <w:p>
      <w:pPr>
        <w:pStyle w:val="Text1"/>
        <w:ind w:left="0"/>
        <w:rPr>
          <w:noProof/>
        </w:rPr>
      </w:pPr>
      <w:r>
        <w:rPr>
          <w:noProof/>
        </w:rPr>
        <w:t>The attached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accordance with point (a)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If one of the contracting parties to an international agreement is the European Union, then any amendment of such an agreement cannot be legally implemented by Member States themselves. The visa waiver agreement with the Bahamas has been concluded by the European Union. Hence, action at Union level is required.</w:t>
      </w:r>
    </w:p>
    <w:p>
      <w:pPr>
        <w:rPr>
          <w:noProof/>
          <w:u w:color="000000"/>
          <w:bdr w:val="nil"/>
          <w:lang w:val="en-US" w:eastAsia="en-GB"/>
        </w:rPr>
      </w:pPr>
      <w:r>
        <w:rPr>
          <w:noProof/>
          <w:u w:color="000000"/>
          <w:bdr w:val="nil"/>
          <w:lang w:val="en-US" w:eastAsia="en-GB"/>
        </w:rPr>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the Bahamas and the Union</w:t>
      </w:r>
      <w:r>
        <w:rPr>
          <w:noProof/>
          <w:u w:color="000000"/>
          <w:bdr w:val="nil"/>
          <w:lang w:val="en-US"/>
        </w:rPr>
        <w:t>.</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the Commonwealth of the Bahamas to amend the visa waiver agreement between the two parties. </w:t>
      </w:r>
      <w:r>
        <w:rPr>
          <w:noProof/>
        </w:rPr>
        <w:t>Member States were informed of the progress of negotiations on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the Commonwealth of the Bahamas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the Commonwealth of the Bahamas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by adding 'and shall lift that suspension'. Hence, the last sentence of Article 8(4) will read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the Bahamas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the Commonwealth of the Bahamas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the Commonwealth of the Bahamas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lang w:val="en-US"/>
        </w:rPr>
        <w:sectPr>
          <w:footerReference w:type="default" r:id="rId10"/>
          <w:footerReference w:type="first" r:id="rId11"/>
          <w:pgSz w:w="11907" w:h="16839"/>
          <w:pgMar w:top="1134" w:right="1417" w:bottom="1134" w:left="1417" w:header="709" w:footer="709" w:gutter="0"/>
          <w:cols w:space="720"/>
          <w:docGrid w:linePitch="326"/>
        </w:sectPr>
      </w:pPr>
      <w:r>
        <w:rPr>
          <w:noProof/>
        </w:rPr>
        <w:t>In the light of the above-mentioned results, the Commission proposes that the Council approves</w:t>
      </w:r>
      <w:r>
        <w:rPr>
          <w:noProof/>
          <w:lang w:val="en-US"/>
        </w:rPr>
        <w:t>, after obtaining the consent of the European Parliament, the Agreement between the European Union and the Commonwealth of the Bahamas</w:t>
      </w:r>
      <w:r>
        <w:rPr>
          <w:noProof/>
        </w:rPr>
        <w:t xml:space="preserve"> </w:t>
      </w:r>
      <w:r>
        <w:rPr>
          <w:noProof/>
          <w:lang w:val="en-US"/>
        </w:rPr>
        <w:t>amending the Agreement between the European Community and the Commonwealth of the Bahamas</w:t>
      </w:r>
      <w:r>
        <w:rPr>
          <w:noProof/>
        </w:rPr>
        <w:t xml:space="preserve"> </w:t>
      </w:r>
      <w:r>
        <w:rPr>
          <w:noProof/>
          <w:lang w:val="en-US"/>
        </w:rPr>
        <w:t>on the short-stay visa waiver.</w:t>
      </w:r>
    </w:p>
    <w:p>
      <w:pPr>
        <w:pStyle w:val="Rfrenceinterinstitutionnelle"/>
        <w:rPr>
          <w:noProof/>
        </w:rPr>
      </w:pPr>
      <w:r>
        <w:rPr>
          <w:noProof/>
        </w:rPr>
        <w:t>2017/0169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Commonwealth of the Bahamas amending the Agreement between the European Community and the Commonwealth of the Bahamas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(a)(v)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8"/>
      </w:r>
      <w:r>
        <w:rPr>
          <w:noProof/>
        </w:rPr>
        <w:t xml:space="preserve">, </w:t>
      </w:r>
    </w:p>
    <w:p>
      <w:pPr>
        <w:rPr>
          <w:noProof/>
        </w:rPr>
      </w:pPr>
      <w:r>
        <w:rPr>
          <w:noProof/>
        </w:rPr>
        <w:t>Whereas:</w:t>
      </w:r>
    </w:p>
    <w:p>
      <w:pPr>
        <w:pStyle w:val="ManualConsidrant"/>
        <w:rPr>
          <w:noProof/>
        </w:rPr>
      </w:pPr>
      <w:r>
        <w:t>(1)</w:t>
      </w:r>
      <w:r>
        <w:tab/>
      </w:r>
      <w:r>
        <w:rPr>
          <w:noProof/>
        </w:rPr>
        <w:t xml:space="preserve">By Decision of 30 November 2009 the Council concluded the Agreement between the European Community and the Commonwealth of the Bahamas on the short-stay visa waiver. The Agreement provides for visa-free travel for the citizens of the European Union and for the citizens of the Bahamas when travelling to the territory of the other Contracting Party "for a maximum period of three months during a six months period". </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9"/>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 xml:space="preserve">It is necessary that the Agreement between the Union and the </w:t>
      </w:r>
      <w:r>
        <w:rPr>
          <w:noProof/>
          <w:szCs w:val="24"/>
        </w:rPr>
        <w:t>Commonwealth of the Bahamas</w:t>
      </w:r>
      <w:r>
        <w:rPr>
          <w:noProof/>
        </w:rPr>
        <w:t xml:space="preserve"> on the short-stay visa waiver incorporates this new definition in order to fully harmonise the Union's short-stay regime.</w:t>
      </w:r>
    </w:p>
    <w:p>
      <w:pPr>
        <w:pStyle w:val="ManualConsidrant"/>
        <w:rPr>
          <w:noProof/>
        </w:rPr>
      </w:pPr>
      <w:r>
        <w:t>(4)</w:t>
      </w:r>
      <w:r>
        <w:tab/>
      </w:r>
      <w:r>
        <w:rPr>
          <w:noProof/>
        </w:rPr>
        <w:t>The Commission has negotiated on behalf of the Union an agreement with the Commonwealth of the Bahamas amending the Agreement between the European Community and the Commonwealth of the Bahamas on the short-stay visa waiver (the "Agreement").</w:t>
      </w:r>
    </w:p>
    <w:p>
      <w:pPr>
        <w:pStyle w:val="ManualConsidrant"/>
        <w:rPr>
          <w:noProof/>
        </w:rPr>
      </w:pPr>
      <w:r>
        <w:t>(5)</w:t>
      </w:r>
      <w:r>
        <w:tab/>
      </w:r>
      <w:r>
        <w:rPr>
          <w:noProof/>
        </w:rPr>
        <w:t>In accordance with Council Decision (EU) 2017/[…], the Agreement has been signed.</w:t>
      </w:r>
    </w:p>
    <w:p>
      <w:pPr>
        <w:pStyle w:val="ManualConsidrant"/>
        <w:rPr>
          <w:noProof/>
        </w:rPr>
      </w:pPr>
      <w:r>
        <w:t>(6)</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20"/>
      </w:r>
      <w:r>
        <w:rPr>
          <w:noProof/>
        </w:rPr>
        <w:t>. The United Kingdom is therefore not taking part in the adoption of this Decision and is not bound by it or subject to its application.</w:t>
      </w:r>
    </w:p>
    <w:p>
      <w:pPr>
        <w:pStyle w:val="ManualConsidrant"/>
        <w:rPr>
          <w:noProof/>
        </w:rPr>
      </w:pPr>
      <w:r>
        <w:t>(7)</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1"/>
      </w:r>
      <w:r>
        <w:rPr>
          <w:noProof/>
        </w:rPr>
        <w:t>. Ireland is therefore not taking part in the adoption of this Decision and is not bound by it or subject to its application,</w:t>
      </w:r>
    </w:p>
    <w:p>
      <w:pPr>
        <w:pStyle w:val="ManualConsidrant"/>
        <w:rPr>
          <w:noProof/>
        </w:rPr>
      </w:pPr>
      <w:r>
        <w:t>(8)</w:t>
      </w:r>
      <w:r>
        <w:tab/>
      </w:r>
      <w:r>
        <w:rPr>
          <w:noProof/>
        </w:rPr>
        <w:t>The Agreement should therefore be approved,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Commonwealth of the Bahamas amending the Agreement between the European community and the Commonwealth of the Bahamas on the short-stay visa waiver (the "Agreement") is hereby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give, on behalf of the Union, the notification provided for in Article 2 of the Agreement</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pPr>
      <w:r>
        <w:rPr>
          <w:rStyle w:val="FootnoteReference"/>
        </w:rPr>
        <w:footnoteRef/>
      </w:r>
      <w:r>
        <w:tab/>
        <w:t>Consent given on […].</w:t>
      </w:r>
    </w:p>
  </w:footnote>
  <w:footnote w:id="19">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20">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1">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2">
    <w:p>
      <w:pPr>
        <w:pStyle w:val="FootnoteText"/>
        <w:rPr>
          <w:lang w:val="en-US"/>
        </w:rPr>
      </w:pPr>
      <w:r>
        <w:rPr>
          <w:rStyle w:val="FootnoteReference"/>
        </w:rPr>
        <w:footnoteRef/>
      </w:r>
      <w:r>
        <w:rPr>
          <w:lang w:val="en-US"/>
        </w:rPr>
        <w:tab/>
        <w:t xml:space="preserve">The date of entry into force of the Agreement will be published in the </w:t>
      </w:r>
      <w:r>
        <w:rPr>
          <w:i/>
          <w:lang w:val="en-US"/>
        </w:rPr>
        <w:t>Official Journal of the European Union</w:t>
      </w:r>
      <w:r>
        <w:rPr>
          <w:lang w:val="en-US"/>
        </w:rPr>
        <w:t xml:space="preserve"> by the General Secretariat of the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5: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B29BDCCB6F3451D89F8ACC28E66EA61"/>
    <w:docVar w:name="LW_CROSSREFERENCE" w:val="&lt;UNUSED&gt;"/>
    <w:docVar w:name="LW_DocType" w:val="COM"/>
    <w:docVar w:name="LW_EMISSION" w:val="28.7.2017"/>
    <w:docVar w:name="LW_EMISSION_ISODATE" w:val="2017-07-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9"/>
    <w:docVar w:name="LW_REF.II.NEW.CP_YEAR" w:val="2017"/>
    <w:docVar w:name="LW_REF.INST.NEW" w:val="COM"/>
    <w:docVar w:name="LW_REF.INST.NEW_ADOPTED" w:val="final"/>
    <w:docVar w:name="LW_REF.INST.NEW_TEXT" w:val="(2017) 394"/>
    <w:docVar w:name="LW_REF.INTERNE" w:val="&lt;UNUSED&gt;"/>
    <w:docVar w:name="LW_SOUS.TITRE.OBJ.CP" w:val="&lt;UNUSED&gt;"/>
    <w:docVar w:name="LW_STATUT.CP" w:val="Proposal for a"/>
    <w:docVar w:name="LW_SUPERTITRE" w:val="&lt;UNUSED&gt;"/>
    <w:docVar w:name="LW_TITRE.OBJ.CP" w:val="on the conclusion of the Agreement between the European Union and the Commonwealth of the Bahamas amending the Agreement between the European Community and the Commonwealth of the Bahama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2054</Words>
  <Characters>10974</Characters>
  <Application>Microsoft Office Word</Application>
  <DocSecurity>0</DocSecurity>
  <Lines>192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2017-06-13T09:53:00Z</dcterms:created>
  <dcterms:modified xsi:type="dcterms:W3CDTF">2017-07-28T07:25:00Z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