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040CCEF7B134AE280855A22DA97BD76" style="width:451.25pt;height:352.4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spacing w:before="0" w:after="240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tabs>
          <w:tab w:val="clear" w:pos="850"/>
        </w:tabs>
        <w:spacing w:before="0" w:after="240"/>
        <w:ind w:left="426" w:hanging="426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Младежкият оркестър на Европейския съюз (EUYO) е основан през 1976 г. с резолюция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изнася концерти от името на Европейския съюз през последните 40 години. Негов почетен председател е председателят на Европейския парламент, а почетни патрони са държавните и правителствените ръководители на държавите членки начело с председателя на Европейската комисия. 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EUYO се състои от млади музиканти от всички държави — членки на Съюза, които са подбрани по взискателни критерии за качество. Той обединява много талантливи млади музиканти от Европа в европейски оркестър на световно равнище, който надхвърля културните граници.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 xml:space="preserve">От създаването си EUYO играе уникална роля в насърчаването на междукултурния диалог, взаимното уважение и разбирателство чрез културата. Той изнася концерти в големите градове, на фестивалите в Европа и по света, по разнообразни официални и неофициални поводи, прибягвайки до традиционни и новаторски форми и техники за различни видове публика. Чрез своите дейности оркестърът играе роля на културен посланик на Съюза, като представя богатството и многообразието на европейските култури и дава поле за изява на нови таланти. 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Като съвкупност от забележителни млади музиканти, работещи заедно за постигането на много високо равнище на симфонично изпълнение, EUYO е уникален оркестър на европейската сцена, представящ европейската музика и талант пред разнообразна публика в ЕС и извън него.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В момент, когато ЕС е изправен пред многобройни предизвикателства и пред необходимостта да установи по-силна връзка със своите граждани, на EUYO е отредена дори още по-важната роля да популяризира европейските основни ценности, изграждайки мостове между хората чрез класическата музика и достигайки до по-младото поколение в Европа, като обединява млади изпълнители на класическа музика от различни среди чрез концерти и схеми за наставничество.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 xml:space="preserve">Финансирането от ЕС е от основно значение за оцеляването на EUYO като средство за популяризиране на европейските ценности, многообразието и  младите таланти на Европа. Без тази подкрепа той не би могъл да вземе участие в тези ярки прояви, а млади музиканти биха били лишени от уникалната възможност да се изявяват по света, да градят кариера и да развиват още повече своя талант под ръководството на реномирани диригенти. Всички негови 3 000 възпитаници, подбрани посредством стриктен процес на годишно прослушване, което се провежда във всички държави членки, продължават да съставляват мрежа от известни диригенти, солисти, преподаватели и инструменталисти, работещи с най-големите оркестри по света. 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Програмата „Творческа Европа“ и предшестващите я схеми за финансиране подкрепяха EUYO по различни начини. През 2016 г. EUYO получи оперативни безвъзмездни средства по Регламент (ЕС, Евратом) № 966/2012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 качеството му на орган, преследващ цел от общ интерес на Съюза или цел, съставляваща част от и подкрепяща политиката на ЕС за култура. През 2017 г. той ще бъде финансиран по същия начин.</w:t>
      </w:r>
    </w:p>
    <w:p>
      <w:pP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С цел да се осигури по устойчив начин непрекъсната дейност на EUYO и с оглед на специфичния му статут, стратегически цели и дейности, Комисията предлага той да бъде признат за „орган, определен в основен акт“ по смисъла на член 190, параграф 1, буква г) от Делегиран Регламент (ЕС) № 1268/2012 на Комисията</w:t>
      </w:r>
      <w:r>
        <w:rPr>
          <w:rStyle w:val="FootnoteReference"/>
          <w:noProof/>
        </w:rPr>
        <w:footnoteReference w:id="3"/>
      </w:r>
      <w:r>
        <w:rPr>
          <w:noProof/>
        </w:rPr>
        <w:t>, а член 13, параграф 1 от Регламент (ЕС) № 1295/2013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да бъде съответно изменен.</w:t>
      </w:r>
    </w:p>
    <w:p>
      <w:pPr>
        <w:pStyle w:val="ManualHeading1"/>
        <w:tabs>
          <w:tab w:val="clear" w:pos="850"/>
          <w:tab w:val="left" w:pos="426"/>
        </w:tabs>
        <w:ind w:left="426" w:hanging="426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 xml:space="preserve">С настоящото предложение се изменя Регламент (ЕС) № 1295/2013 по отношение на програма „Творческа Европа“ — подпрограма „Култура“, и по тази причина изменението се основава на член 167, параграф 5, първо тире от Договора за функционирането на Европейския съюз (ДФЕС).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</w:t>
      </w:r>
    </w:p>
    <w:p>
      <w:pPr>
        <w:pStyle w:val="Text1"/>
        <w:spacing w:before="0" w:after="240"/>
        <w:ind w:left="0"/>
        <w:rPr>
          <w:noProof/>
        </w:rPr>
      </w:pPr>
      <w:r>
        <w:rPr>
          <w:noProof/>
        </w:rPr>
        <w:t xml:space="preserve">Съгласно член 167 от ДФЕС Съюзът следва да предприеме действия за подкрепа и допълване на действията на държавите членки. Тъй като целите и дейностите на EUYO надхвърлят интереса и ползата на само една или няколко държави членки и оркестърът бе създаден с резолюция на Европейския парламент, налице е категорична допълняемост, ако той стане орган, определен в основен акт по смисъла на член 190, параграф 1, буква г) от Делегиран Регламент (ЕС) № 1268/2012 на Комисията. Неговите дейности създават значителна европейска добавена стойност.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Предложеното изменение е ограничено до строго необходимото за решаване на въпроса и не надхвърля необходимото за постигане на целите. То се ограничава до промени с цел да бъде включено позоваване на EUYO в член 13, параграф 1 от Регламент № 1295/2013.</w:t>
      </w:r>
    </w:p>
    <w:p>
      <w:pPr>
        <w:pStyle w:val="ManualHeading1"/>
        <w:tabs>
          <w:tab w:val="clear" w:pos="850"/>
        </w:tabs>
        <w:spacing w:before="0" w:after="240"/>
        <w:ind w:left="426" w:hanging="426"/>
        <w:rPr>
          <w:smallCaps w:val="0"/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РЕЗУЛТАТИ ОТ ПОСЛЕДВАЩАТА ОЦЕНКА, КОНСУЛТАЦИИТЕ СЪС ЗАИНТЕРЕСОВАНИТЕ СТРАНИ И ОЦЕНКИТЕ НА ВЪЗДЕЙСТВИЕТО </w:t>
      </w:r>
    </w:p>
    <w:p>
      <w:pPr>
        <w:pStyle w:val="Text1"/>
        <w:spacing w:before="0" w:after="240"/>
        <w:ind w:left="0"/>
        <w:rPr>
          <w:noProof/>
        </w:rPr>
      </w:pPr>
      <w:r>
        <w:rPr>
          <w:noProof/>
        </w:rPr>
        <w:t>През пролетта на 2016 г. в контекста на обществена кампания (SaveEUYO) в подкрепа на EUYO, който беше изправен пред финансови проблеми, застрашаващи съществуването му, редица заинтересовани страни от културното и музикалното поприще публично изразиха подкрепа за него в изявления за пресата и контакти с Комисията. Държавите членки (по-специално на Съвета на министрите на културата, състоял се през май 2016 г.) и членовете на Европейския парламент подкрепиха идеята да се намери решение за финансирането му.</w:t>
      </w:r>
    </w:p>
    <w:p>
      <w:pPr>
        <w:pStyle w:val="Text1"/>
        <w:spacing w:before="0" w:after="240"/>
        <w:ind w:left="0"/>
        <w:rPr>
          <w:noProof/>
        </w:rPr>
      </w:pPr>
      <w:r>
        <w:rPr>
          <w:noProof/>
        </w:rPr>
        <w:t xml:space="preserve">С оглед на ограничения обхват на предложеното изменение, което само по себе си не оказва значително икономическо, екологично и социално въздействие, не са необходими оценка на въздействието или допълнителни консултации. </w:t>
      </w:r>
    </w:p>
    <w:p>
      <w:pPr>
        <w:pStyle w:val="ManualHeading1"/>
        <w:tabs>
          <w:tab w:val="clear" w:pos="850"/>
        </w:tabs>
        <w:spacing w:before="0" w:after="240"/>
        <w:ind w:left="426" w:hanging="426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spacing w:before="0" w:after="240"/>
        <w:rPr>
          <w:noProof/>
        </w:rPr>
      </w:pPr>
      <w:r>
        <w:rPr>
          <w:noProof/>
        </w:rPr>
        <w:t>Финансирането за EUYO ще бъде осигурено от наличния финансов пакет за програмата „Творческа Европа“ и за него няма да са необходими допълнителни ресурси от бюджета на ЕС. Приложената „законодателна финансова обосновка“ показва отражението върху бюджета и необходимите човешки и административни ресурси, доказващи бюджетната неутралност на тази инициатива.</w:t>
      </w:r>
    </w:p>
    <w:p>
      <w:pPr>
        <w:pStyle w:val="ManualHeading1"/>
        <w:tabs>
          <w:tab w:val="clear" w:pos="850"/>
          <w:tab w:val="left" w:pos="426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spacing w:before="0"/>
        <w:rPr>
          <w:noProof/>
        </w:rPr>
      </w:pPr>
      <w:r>
        <w:rPr>
          <w:noProof/>
        </w:rPr>
        <w:t xml:space="preserve">В своето предложение Комисията предлага: </w:t>
      </w:r>
    </w:p>
    <w:p>
      <w:pPr>
        <w:pStyle w:val="Bullet0"/>
        <w:numPr>
          <w:ilvl w:val="0"/>
          <w:numId w:val="17"/>
        </w:numPr>
        <w:rPr>
          <w:noProof/>
        </w:rPr>
      </w:pPr>
      <w:r>
        <w:rPr>
          <w:noProof/>
        </w:rPr>
        <w:t xml:space="preserve">да се създаде издържано от правна гледна точка и прозрачно решение, гарантиращо устойчива подкрепа за EUYO, като се вземат предвид неговите особености и той бъде признат за „орган, определен в основен акт“ по смисъла на член 190, параграф 1, буква г) от Делегиран Регламент (ЕС) № 1268/2012 на Комисията; </w:t>
      </w:r>
    </w:p>
    <w:p>
      <w:pPr>
        <w:pStyle w:val="Bullet0"/>
        <w:rPr>
          <w:noProof/>
        </w:rPr>
      </w:pPr>
      <w:r>
        <w:rPr>
          <w:noProof/>
        </w:rPr>
        <w:t>и съответно в член 13, параграф 1 от Регламент (ЕС) № 1295/2013 да се добави нова точка е).</w:t>
      </w:r>
    </w:p>
    <w:p>
      <w:pPr>
        <w:pStyle w:val="Bullet0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2017/0163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Регламент (ЕС) № 1295/2013 за създаване на програма „Творческа Европа“ (2014—2020 г.) 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 167, параграф 5, първо тире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взеха предвид становището на Комитета на регионите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 (ЕС) № 1295/2013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бе създадена програмата „Творческа Европа“ (2014—2020 г.), която да подкрепя на европейските сектори на културата и творчеството.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Младежкият оркестър на Европейския съюз (EUYO) се състои от млади музиканти, подбрани по взискателни критерии за качество, чрез стриктен процес на годишно прослушване във всички държави членки.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EUYO обединява много талантливи млади музиканти от Европа в европейски оркестър на световно равнище, който надхвърля културните граници. От създаването си той играе уникална роля в насърчаването на междукултурния диалог, взаимното уважение и разбирателство чрез културата. По този начин оркестърът играе роля на културен посланик на Съюза, като представя богатството и многообразието на европейските култури и дава поле за изява на нови таланти. Той допринесе също така за разпространението на европейски произведения и за мобилността на млади европейски таланти отвъд националните и европейските граници, благодарение на което млади музиканти от държавите членки имат възможност да градят кариера и да развиват още повече своите способности под ръководството на реномирани диригенти.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Дейностите на EUYO са в съответствие с целите на програмата „Творческа Европа“ и на конкретните цели на подпрограма „Култура“.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EUYO бе създаден през 1976 г. с резолюция на Европейския парламент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и поради това е уникален по рода си в Европа. Поради специфичния си статут, стратегически цели и дейности EUYO отговаря на критериите за „орган, определен в основен акт“ по смисъла на член 190, параграф 1, буква г) от Делегиран Регламент (ЕС) № 1268/2012 на Комисията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Поради това може да се отпускат безвъзмездни средства, без да се публикуват покани за представяне на предложения.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Поради това EUYO следва да бъде включен в мерките, ползващи се от подкрепата по подпрограма „Култура“.</w:t>
      </w:r>
    </w:p>
    <w:p>
      <w:pPr>
        <w:pStyle w:val="ManualConsidrant"/>
        <w:rPr>
          <w:rFonts w:eastAsia="Times New Roman"/>
          <w:noProof/>
          <w:szCs w:val="24"/>
        </w:rPr>
      </w:pPr>
      <w:r>
        <w:t>(7)</w:t>
      </w:r>
      <w:r>
        <w:tab/>
      </w:r>
      <w:r>
        <w:rPr>
          <w:noProof/>
        </w:rPr>
        <w:t>Поради това Регламент (ЕС) № 1295/2013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before="0"/>
        <w:rPr>
          <w:noProof/>
        </w:rPr>
      </w:pPr>
      <w:r>
        <w:rPr>
          <w:noProof/>
        </w:rPr>
        <w:t>В член 13, параграф 1 от Регламент (ЕС) № 1295/2013 се добавя следната буква е):</w:t>
      </w:r>
    </w:p>
    <w:p>
      <w:pPr>
        <w:spacing w:before="0" w:after="240"/>
        <w:ind w:left="1134" w:hanging="425"/>
        <w:rPr>
          <w:noProof/>
        </w:rPr>
      </w:pPr>
      <w:r>
        <w:rPr>
          <w:noProof/>
        </w:rPr>
        <w:t xml:space="preserve">„е) </w:t>
      </w:r>
      <w:r>
        <w:rPr>
          <w:noProof/>
        </w:rPr>
        <w:tab/>
        <w:t>Младежкия оркестър на Европейския съюз.“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Прилага се от 1 януари 2018 г.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p>
      <w:pPr>
        <w:pStyle w:val="Fichefinanciretitre"/>
        <w:rPr>
          <w:noProof/>
        </w:rPr>
      </w:pPr>
      <w:r>
        <w:rPr>
          <w:noProof/>
        </w:rPr>
        <w:br w:type="column"/>
        <w:t>ЗАКОНОДАТЕЛНА ФИНАНСОВА ОБОСНОВКА</w:t>
      </w:r>
    </w:p>
    <w:p>
      <w:pPr>
        <w:pStyle w:val="ManualHeading1"/>
        <w:rPr>
          <w:noProof/>
          <w:color w:val="000000" w:themeColor="text1"/>
        </w:rPr>
      </w:pPr>
      <w:r>
        <w:rPr>
          <w:noProof/>
          <w:color w:val="000000" w:themeColor="text1"/>
        </w:rPr>
        <w:t>1.</w:t>
      </w:r>
      <w:r>
        <w:rPr>
          <w:noProof/>
        </w:rPr>
        <w:tab/>
      </w:r>
      <w:r>
        <w:rPr>
          <w:noProof/>
          <w:color w:val="000000" w:themeColor="text1"/>
        </w:rPr>
        <w:t xml:space="preserve">РАМКА НА ПРЕДЛОЖЕНИЕТО/ИНИЦИАТИВАТА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1.1.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Наименование на предложението/инициативата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1.2.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>Съответни области на политиката в структурата на УД/БД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1.3.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Естество на предложението/инициативата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1.4.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Цел(и)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1.5.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Мотиви за предложението/инициативата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1.6.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Срок на действие и финансово отражение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1.7.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Предвидени методи на управление </w:t>
      </w:r>
    </w:p>
    <w:p>
      <w:pPr>
        <w:pStyle w:val="ManualHeading1"/>
        <w:rPr>
          <w:noProof/>
          <w:color w:val="000000" w:themeColor="text1"/>
        </w:rPr>
      </w:pPr>
      <w:r>
        <w:rPr>
          <w:noProof/>
          <w:color w:val="000000" w:themeColor="text1"/>
        </w:rPr>
        <w:t>2.</w:t>
      </w:r>
      <w:r>
        <w:rPr>
          <w:noProof/>
        </w:rPr>
        <w:tab/>
      </w:r>
      <w:r>
        <w:rPr>
          <w:noProof/>
          <w:color w:val="000000" w:themeColor="text1"/>
        </w:rPr>
        <w:t xml:space="preserve">МЕРКИ ЗА УПРАВЛЕНИЕ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2.1.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Правила за мониторинг и докладване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2.2.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Система за управление и контрол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2.3.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Мерки за предотвратяване на измами и нередности </w:t>
      </w:r>
    </w:p>
    <w:p>
      <w:pPr>
        <w:pStyle w:val="ManualHeading1"/>
        <w:rPr>
          <w:noProof/>
          <w:color w:val="000000" w:themeColor="text1"/>
        </w:rPr>
      </w:pPr>
      <w:r>
        <w:rPr>
          <w:noProof/>
          <w:color w:val="000000" w:themeColor="text1"/>
        </w:rPr>
        <w:t>3.</w:t>
      </w:r>
      <w:r>
        <w:rPr>
          <w:noProof/>
        </w:rPr>
        <w:tab/>
      </w:r>
      <w:r>
        <w:rPr>
          <w:noProof/>
          <w:color w:val="000000" w:themeColor="text1"/>
        </w:rPr>
        <w:t xml:space="preserve">ОЧАКВАНО ФИНАНСОВО ОТРАЖЕНИЕ НА ПРЕДЛОЖЕНИЕТО/ИНИЦИАТИВАТА </w:t>
      </w:r>
    </w:p>
    <w:p>
      <w:pPr>
        <w:pStyle w:val="ManualHeading2"/>
        <w:rPr>
          <w:b w:val="0"/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3.1.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ManualHeading2"/>
        <w:rPr>
          <w:noProof/>
          <w:color w:val="000000" w:themeColor="text1"/>
        </w:r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3.2.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>Очаквано отражение върху разходите</w:t>
      </w:r>
      <w:r>
        <w:rPr>
          <w:noProof/>
          <w:color w:val="000000" w:themeColor="text1"/>
        </w:rPr>
        <w:t xml:space="preserve"> </w:t>
      </w:r>
    </w:p>
    <w:p>
      <w:pPr>
        <w:pStyle w:val="ManualHeading3"/>
        <w:rPr>
          <w:noProof/>
          <w:color w:val="000000" w:themeColor="text1"/>
        </w:rPr>
      </w:pPr>
      <w:r>
        <w:rPr>
          <w:noProof/>
        </w:rPr>
        <w:tab/>
      </w:r>
      <w:r>
        <w:rPr>
          <w:noProof/>
          <w:color w:val="000000" w:themeColor="text1"/>
        </w:rPr>
        <w:t>3.2.1.</w:t>
      </w:r>
      <w:r>
        <w:rPr>
          <w:noProof/>
        </w:rPr>
        <w:tab/>
      </w:r>
      <w:r>
        <w:rPr>
          <w:noProof/>
          <w:color w:val="000000" w:themeColor="text1"/>
        </w:rPr>
        <w:t xml:space="preserve">Обобщение на очакваното отражение върху разходите </w:t>
      </w:r>
    </w:p>
    <w:p>
      <w:pPr>
        <w:pStyle w:val="ManualHeading3"/>
        <w:rPr>
          <w:noProof/>
          <w:color w:val="000000" w:themeColor="text1"/>
        </w:rPr>
      </w:pPr>
      <w:r>
        <w:rPr>
          <w:noProof/>
        </w:rPr>
        <w:tab/>
      </w:r>
      <w:r>
        <w:rPr>
          <w:noProof/>
          <w:color w:val="000000" w:themeColor="text1"/>
        </w:rPr>
        <w:t>3.2.2.</w:t>
      </w:r>
      <w:r>
        <w:rPr>
          <w:noProof/>
        </w:rPr>
        <w:tab/>
      </w:r>
      <w:r>
        <w:rPr>
          <w:noProof/>
          <w:color w:val="000000" w:themeColor="text1"/>
        </w:rPr>
        <w:t xml:space="preserve">Очаквано отражение върху бюджетните кредити за оперативни разходи </w:t>
      </w:r>
    </w:p>
    <w:p>
      <w:pPr>
        <w:pStyle w:val="ManualHeading3"/>
        <w:rPr>
          <w:noProof/>
          <w:color w:val="000000" w:themeColor="text1"/>
        </w:rPr>
      </w:pPr>
      <w:r>
        <w:rPr>
          <w:noProof/>
        </w:rPr>
        <w:tab/>
      </w:r>
      <w:r>
        <w:rPr>
          <w:noProof/>
          <w:color w:val="000000" w:themeColor="text1"/>
        </w:rPr>
        <w:t>3.2.3.</w:t>
      </w:r>
      <w:r>
        <w:rPr>
          <w:noProof/>
        </w:rPr>
        <w:tab/>
      </w:r>
      <w:r>
        <w:rPr>
          <w:noProof/>
          <w:color w:val="000000" w:themeColor="text1"/>
        </w:rPr>
        <w:t>Очаквано отражение върху бюджетните кредити за административни разходи</w:t>
      </w:r>
    </w:p>
    <w:p>
      <w:pPr>
        <w:pStyle w:val="ManualHeading3"/>
        <w:rPr>
          <w:noProof/>
          <w:color w:val="000000" w:themeColor="text1"/>
        </w:rPr>
      </w:pPr>
      <w:r>
        <w:rPr>
          <w:noProof/>
        </w:rPr>
        <w:tab/>
      </w:r>
      <w:r>
        <w:rPr>
          <w:noProof/>
          <w:color w:val="000000" w:themeColor="text1"/>
        </w:rPr>
        <w:t>3.2.4.</w:t>
      </w:r>
      <w:r>
        <w:rPr>
          <w:noProof/>
        </w:rPr>
        <w:tab/>
      </w:r>
      <w:r>
        <w:rPr>
          <w:noProof/>
          <w:color w:val="000000" w:themeColor="text1"/>
        </w:rPr>
        <w:t>Съвместимост с настоящата многогодишна финансова рамка</w:t>
      </w:r>
    </w:p>
    <w:p>
      <w:pPr>
        <w:pStyle w:val="ManualHeading3"/>
        <w:rPr>
          <w:noProof/>
          <w:color w:val="000000" w:themeColor="text1"/>
        </w:rPr>
      </w:pPr>
      <w:r>
        <w:rPr>
          <w:noProof/>
        </w:rPr>
        <w:tab/>
      </w:r>
      <w:r>
        <w:rPr>
          <w:noProof/>
          <w:color w:val="000000" w:themeColor="text1"/>
        </w:rPr>
        <w:t>3.2.5.</w:t>
      </w:r>
      <w:r>
        <w:rPr>
          <w:noProof/>
        </w:rPr>
        <w:tab/>
      </w:r>
      <w:r>
        <w:rPr>
          <w:noProof/>
          <w:color w:val="000000" w:themeColor="text1"/>
        </w:rPr>
        <w:t xml:space="preserve">Участие на трети страни във финансирането </w:t>
      </w:r>
    </w:p>
    <w:p>
      <w:pPr>
        <w:pStyle w:val="ManualHeading2"/>
        <w:jc w:val="left"/>
        <w:rPr>
          <w:b w:val="0"/>
          <w:noProof/>
          <w:color w:val="000000" w:themeColor="text1"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  <w:color w:val="000000" w:themeColor="text1"/>
        </w:rPr>
        <w:t>3.3.</w:t>
      </w:r>
      <w:r>
        <w:rPr>
          <w:noProof/>
        </w:rPr>
        <w:tab/>
      </w:r>
      <w:r>
        <w:rPr>
          <w:b w:val="0"/>
          <w:noProof/>
          <w:color w:val="000000" w:themeColor="text1"/>
        </w:rPr>
        <w:t>Очаквано отражение върху приходите</w:t>
      </w:r>
    </w:p>
    <w:p>
      <w:pPr>
        <w:spacing w:before="0" w:after="0"/>
        <w:jc w:val="center"/>
        <w:rPr>
          <w:noProof/>
          <w:color w:val="000000" w:themeColor="text1"/>
        </w:rPr>
      </w:pPr>
      <w:r>
        <w:rPr>
          <w:b/>
          <w:noProof/>
          <w:color w:val="000000" w:themeColor="text1"/>
          <w:u w:val="single"/>
        </w:rPr>
        <w:t>ЗАКОНОДАТЕЛНА ФИНАНСОВА ОБОСНОВКА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РАМКА НА ПРЕДЛОЖЕНИЕТО/ИНИЦИАТИВАТА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Наименование на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Изменение на Регламент (ЕС) № 1295/2013 за създаване на програма „Творческа Европа“</w:t>
      </w:r>
    </w:p>
    <w:p>
      <w:pPr>
        <w:pStyle w:val="ManualHeading2"/>
        <w:rPr>
          <w:noProof/>
          <w:szCs w:val="24"/>
        </w:rPr>
      </w:pPr>
      <w:r>
        <w:t>1.2.</w:t>
      </w:r>
      <w:r>
        <w:tab/>
      </w: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  <w:color w:val="000000" w:themeColor="text1"/>
        </w:rPr>
        <w:footnoteReference w:id="10"/>
      </w:r>
      <w:r>
        <w:rPr>
          <w:i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ОБРАЗОВАТЕЛНИ И КУЛТУРНИ ДЕЙНОСТИ: „ТВОРЧЕСКА ЕВРОПА“</w:t>
      </w:r>
    </w:p>
    <w:p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Естество на предложението/инициативата </w:t>
      </w:r>
    </w:p>
    <w:p>
      <w:pPr>
        <w:pStyle w:val="Text1"/>
        <w:spacing w:before="60" w:after="60"/>
        <w:ind w:left="851"/>
        <w:rPr>
          <w:b/>
          <w:noProof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sym w:font="Wingdings" w:char="F0A8"/>
      </w:r>
      <w:r>
        <w:rPr>
          <w:b/>
          <w:i/>
          <w:noProof/>
          <w:color w:val="000000" w:themeColor="text1"/>
          <w:sz w:val="22"/>
        </w:rPr>
        <w:t xml:space="preserve"> </w:t>
      </w:r>
      <w:r>
        <w:rPr>
          <w:noProof/>
          <w:color w:val="000000" w:themeColor="text1"/>
        </w:rPr>
        <w:t xml:space="preserve">Предложението/инициативата е във връзка с </w:t>
      </w:r>
      <w:r>
        <w:rPr>
          <w:b/>
          <w:noProof/>
          <w:color w:val="000000" w:themeColor="text1"/>
        </w:rPr>
        <w:t>нова дейност</w:t>
      </w:r>
      <w:r>
        <w:rPr>
          <w:b/>
          <w:noProof/>
          <w:color w:val="000000" w:themeColor="text1"/>
          <w:sz w:val="22"/>
        </w:rPr>
        <w:t xml:space="preserve"> </w:t>
      </w:r>
    </w:p>
    <w:p>
      <w:pPr>
        <w:pStyle w:val="Text1"/>
        <w:spacing w:before="60" w:after="60"/>
        <w:ind w:left="851"/>
        <w:rPr>
          <w:noProof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sym w:font="Wingdings" w:char="F0A8"/>
      </w:r>
      <w:r>
        <w:rPr>
          <w:i/>
          <w:noProof/>
          <w:color w:val="000000" w:themeColor="text1"/>
          <w:sz w:val="22"/>
        </w:rPr>
        <w:t xml:space="preserve"> </w:t>
      </w:r>
      <w:r>
        <w:rPr>
          <w:noProof/>
          <w:color w:val="000000" w:themeColor="text1"/>
        </w:rPr>
        <w:t xml:space="preserve">Предложението/инициативата е във връзка с </w:t>
      </w:r>
      <w:r>
        <w:rPr>
          <w:b/>
          <w:noProof/>
          <w:color w:val="000000" w:themeColor="text1"/>
        </w:rPr>
        <w:t xml:space="preserve"> нова дейност след пилотен проект/подготвителна дейност</w:t>
      </w:r>
      <w:r>
        <w:rPr>
          <w:rStyle w:val="FootnoteReference"/>
          <w:b/>
          <w:noProof/>
          <w:color w:val="000000" w:themeColor="text1"/>
        </w:rPr>
        <w:footnoteReference w:id="11"/>
      </w:r>
      <w:r>
        <w:rPr>
          <w:noProof/>
          <w:color w:val="000000" w:themeColor="text1"/>
          <w:sz w:val="22"/>
        </w:rPr>
        <w:t xml:space="preserve"> </w:t>
      </w:r>
    </w:p>
    <w:p>
      <w:pPr>
        <w:pStyle w:val="Text1"/>
        <w:spacing w:before="60" w:after="60"/>
        <w:ind w:left="851"/>
        <w:rPr>
          <w:noProof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t>x</w:t>
      </w:r>
      <w:r>
        <w:rPr>
          <w:i/>
          <w:noProof/>
          <w:color w:val="000000" w:themeColor="text1"/>
          <w:sz w:val="22"/>
        </w:rPr>
        <w:t xml:space="preserve"> </w:t>
      </w:r>
      <w:r>
        <w:rPr>
          <w:noProof/>
          <w:color w:val="000000" w:themeColor="text1"/>
        </w:rPr>
        <w:t xml:space="preserve">Предложението/инициативата е във връзка с </w:t>
      </w:r>
      <w:r>
        <w:rPr>
          <w:b/>
          <w:noProof/>
          <w:color w:val="000000" w:themeColor="text1"/>
        </w:rPr>
        <w:t>продължаване на съществуваща дейност</w:t>
      </w:r>
      <w:r>
        <w:rPr>
          <w:noProof/>
          <w:color w:val="000000" w:themeColor="text1"/>
          <w:sz w:val="22"/>
        </w:rPr>
        <w:t xml:space="preserve"> </w:t>
      </w:r>
    </w:p>
    <w:p>
      <w:pPr>
        <w:pStyle w:val="Text1"/>
        <w:spacing w:before="60" w:after="60"/>
        <w:ind w:left="851"/>
        <w:rPr>
          <w:noProof/>
          <w:color w:val="000000" w:themeColor="text1"/>
        </w:rPr>
      </w:pPr>
      <w:r>
        <w:rPr>
          <w:noProof/>
          <w:color w:val="000000" w:themeColor="text1"/>
          <w:sz w:val="22"/>
        </w:rPr>
        <w:sym w:font="Wingdings" w:char="F0A8"/>
      </w:r>
      <w:r>
        <w:rPr>
          <w:i/>
          <w:noProof/>
          <w:color w:val="000000" w:themeColor="text1"/>
          <w:sz w:val="22"/>
        </w:rPr>
        <w:t xml:space="preserve"> </w:t>
      </w:r>
      <w:r>
        <w:rPr>
          <w:noProof/>
          <w:color w:val="000000" w:themeColor="text1"/>
        </w:rPr>
        <w:t xml:space="preserve">Предложението/инициативата е във връзка с дейност, </w:t>
      </w:r>
      <w:r>
        <w:rPr>
          <w:b/>
          <w:noProof/>
          <w:color w:val="000000" w:themeColor="text1"/>
        </w:rPr>
        <w:t>пренасочена към нова дейност</w:t>
      </w:r>
      <w:r>
        <w:rPr>
          <w:noProof/>
          <w:color w:val="000000" w:themeColor="text1"/>
        </w:rPr>
        <w:t xml:space="preserve"> </w:t>
      </w:r>
    </w:p>
    <w:p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>Цел(и)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noProof/>
        </w:rPr>
      </w:pPr>
      <w:r>
        <w:rPr>
          <w:noProof/>
        </w:rPr>
        <w:t>Програмата ще допринесе за изпълнение на стратегията „Европа 2020“ (COM (2010) 2020, 3.3.2010 г.) чрез :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276" w:hanging="426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опазване и насърчаване на европейското културно и езиково многообразие; както 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276" w:hanging="426"/>
        <w:rPr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повишаване на конкурентоспособността на секторите на културата и творчеството с оглед на насърчаването на интелигентен, устойчив и приобщаващ растеж.</w:t>
      </w:r>
    </w:p>
    <w:p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Конкретни цели и съответни дейности във връзка с УД/БД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rPr>
          <w:noProof/>
        </w:rPr>
      </w:pPr>
      <w:r>
        <w:rPr>
          <w:noProof/>
          <w:u w:val="single"/>
        </w:rPr>
        <w:t>Конкретни цели: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1276" w:hanging="426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подкрепа на възможностите за извеждане на дейността на европейските сектори на културата и творчеството на транснационално равнище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1276" w:hanging="426"/>
        <w:rPr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насърчаване на транснационалното движение на културните и творческите произведения и на операторите, както и достигане до нова публика в Европа и извън нея;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1276" w:hanging="426"/>
        <w:rPr>
          <w:noProof/>
        </w:rPr>
      </w:pPr>
      <w:r>
        <w:rPr>
          <w:noProof/>
        </w:rPr>
        <w:t xml:space="preserve">в) </w:t>
      </w:r>
      <w:r>
        <w:rPr>
          <w:noProof/>
        </w:rPr>
        <w:tab/>
        <w:t>засилване на финансовия капацитет на секторите на културата и творчеството, както 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ind w:left="1276" w:hanging="426"/>
        <w:rPr>
          <w:noProof/>
        </w:rPr>
      </w:pPr>
      <w:r>
        <w:rPr>
          <w:noProof/>
        </w:rPr>
        <w:t xml:space="preserve">г) </w:t>
      </w:r>
      <w:r>
        <w:rPr>
          <w:noProof/>
        </w:rPr>
        <w:tab/>
        <w:t>подкрепа за транснационалното сътрудничество в областта на политиката с цел да се насърчат разработването на политики, новаторството, привличането на публика, както и новите стопански модели.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rPr>
          <w:noProof/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w:t>Съответни дейности във връзка с УД/БД: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15.04 – Творческа Европа</w:t>
      </w:r>
    </w:p>
    <w:p>
      <w:pPr>
        <w:pStyle w:val="ManualHeading3"/>
        <w:rPr>
          <w:bCs/>
          <w:noProof/>
          <w:szCs w:val="24"/>
        </w:rPr>
      </w:pPr>
      <w:r>
        <w:rPr>
          <w:noProof/>
        </w:rPr>
        <w:br w:type="page"/>
      </w:r>
      <w:r>
        <w:t>1.4.3.</w:t>
      </w:r>
      <w:r>
        <w:tab/>
      </w:r>
      <w:r>
        <w:rPr>
          <w:noProof/>
        </w:rPr>
        <w:t>Очаквани резултати и отражение</w:t>
      </w:r>
    </w:p>
    <w:p>
      <w:pPr>
        <w:pStyle w:val="Text1"/>
        <w:rPr>
          <w:i/>
          <w:noProof/>
          <w:color w:val="000000" w:themeColor="text1"/>
          <w:sz w:val="20"/>
        </w:rPr>
      </w:pPr>
      <w:r>
        <w:rPr>
          <w:i/>
          <w:noProof/>
          <w:color w:val="000000" w:themeColor="text1"/>
          <w:sz w:val="20"/>
        </w:rPr>
        <w:t>Да се посочи въздействието, което предложението/инициативата следва да окаже по отношение на бенефициерите/целевите групи.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Издържано от правна гледна точка и прозрачно решение,  гарантиращо устойчива подкрепа за EUYO, като се вземат предвид неговите особености и той бъде съответно признат за „орган, определен в основен акт“ по смисъла на член 190, параграф 1, буква г) от Регламент (ЕС) 1268/2012 и за изменение на член 13, параграф 1 от Регламент (ЕС) № 1295/2013.</w:t>
      </w:r>
    </w:p>
    <w:p>
      <w:pPr>
        <w:pStyle w:val="ManualHeading3"/>
        <w:rPr>
          <w:bCs/>
          <w:noProof/>
          <w:szCs w:val="24"/>
        </w:rPr>
      </w:pPr>
      <w:r>
        <w:t>1.4.4.</w:t>
      </w:r>
      <w:r>
        <w:tab/>
      </w:r>
      <w:r>
        <w:rPr>
          <w:noProof/>
        </w:rPr>
        <w:t xml:space="preserve">Показатели за резултатите и за отражението </w:t>
      </w:r>
    </w:p>
    <w:p>
      <w:pPr>
        <w:pStyle w:val="Text1"/>
        <w:rPr>
          <w:i/>
          <w:noProof/>
          <w:color w:val="000000" w:themeColor="text1"/>
          <w:sz w:val="20"/>
        </w:rPr>
      </w:pPr>
      <w:r>
        <w:rPr>
          <w:i/>
          <w:noProof/>
          <w:color w:val="000000" w:themeColor="text1"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Тъй като настоящото изменение представлява разширяване на действащата програма „Творческа Европа“, то е обхванато от съображенията в точка 1.4.4 от финансовата обосновка за програмата (COM(2011) 785 final).</w:t>
      </w:r>
    </w:p>
    <w:p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Мотиви за предложението/инициативата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 xml:space="preserve">Гарантиране на устойчива подкрепа за EUYO. </w:t>
      </w:r>
    </w:p>
    <w:p>
      <w:pPr>
        <w:pStyle w:val="ManualHeading3"/>
        <w:rPr>
          <w:bCs/>
          <w:noProof/>
          <w:szCs w:val="24"/>
        </w:rPr>
      </w:pPr>
      <w:r>
        <w:t>1.5.2.</w:t>
      </w:r>
      <w:r>
        <w:tab/>
      </w:r>
      <w:r>
        <w:rPr>
          <w:noProof/>
        </w:rPr>
        <w:t>Добавена стойност от намесата на ЕС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426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  <w:t>млади музиканти от всички държави — членки на Съюза, които са подбрани по взискателни критерии за качество, работещи заедно в европейски оркестър от световна класа, надхвърлящ пределите на културните граници;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426"/>
        <w:rPr>
          <w:rFonts w:eastAsia="Times New Roman"/>
          <w:noProof/>
          <w:szCs w:val="24"/>
        </w:rPr>
      </w:pPr>
      <w:r>
        <w:rPr>
          <w:noProof/>
        </w:rPr>
        <w:t xml:space="preserve">- </w:t>
      </w:r>
      <w:r>
        <w:rPr>
          <w:noProof/>
        </w:rPr>
        <w:tab/>
        <w:t>насърчаване на междукултурния диалог, взаимното уважение и разбирателство чрез културата, както 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426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  <w:t>представяне на богатството и многообразието на европейските култури и осигуряване на поле за изява на нови таланти пред разнообразна публика в ЕС и извън него.</w:t>
      </w:r>
    </w:p>
    <w:p>
      <w:pPr>
        <w:pStyle w:val="ManualHeading3"/>
        <w:rPr>
          <w:bCs/>
          <w:noProof/>
          <w:szCs w:val="24"/>
        </w:rPr>
      </w:pPr>
      <w:r>
        <w:t>1.5.3.</w:t>
      </w:r>
      <w:r>
        <w:tab/>
      </w:r>
      <w:r>
        <w:rPr>
          <w:noProof/>
        </w:rPr>
        <w:t>Изводи от подобен опит в миналото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EUYO бе подпомогнат от „Творческа Европа“ и предшестващите я схеми за финансиране по различни начини. Отличните му постижения са широко признати. Липсата на устойчива подкрепа обаче бе пречка за по-нататъшното развитие на неговите дейности. </w:t>
      </w:r>
      <w:r>
        <w:rPr>
          <w:noProof/>
        </w:rPr>
        <w:t>Без тази подкрепа на равнище ЕС той не би бил в състояние да продължи дейността си. Съюзът би изгубил важен културен посланик, а млади музиканти биха били лишени от уникална възможност да се изявяват по света, да градят кариера и да развиват още повече своя талант под ръководството на реномирани диригенти.</w:t>
      </w:r>
    </w:p>
    <w:p>
      <w:pPr>
        <w:pStyle w:val="ManualHeading3"/>
        <w:rPr>
          <w:bCs/>
          <w:noProof/>
          <w:szCs w:val="24"/>
        </w:rPr>
      </w:pPr>
      <w:r>
        <w:t>1.5.4.</w:t>
      </w:r>
      <w:r>
        <w:tab/>
      </w:r>
      <w:r>
        <w:rPr>
          <w:noProof/>
        </w:rPr>
        <w:t>Съгласуваност и евентуална синергия с други актове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  <w:color w:val="000000" w:themeColor="text1"/>
        </w:rPr>
        <w:t>Няма припокриване с дейности, финансирани от други програми на Съюза.</w:t>
      </w:r>
    </w:p>
    <w:p>
      <w:pPr>
        <w:pStyle w:val="ManualHeading2"/>
        <w:rPr>
          <w:bCs/>
          <w:noProof/>
          <w:color w:val="000000" w:themeColor="text1"/>
          <w:szCs w:val="24"/>
        </w:rPr>
      </w:pPr>
      <w:r>
        <w:rPr>
          <w:noProof/>
        </w:rPr>
        <w:br w:type="page"/>
      </w:r>
      <w:r>
        <w:t>1.6.</w:t>
      </w:r>
      <w:r>
        <w:tab/>
      </w:r>
    </w:p>
    <w:p>
      <w:pPr>
        <w:pStyle w:val="ManualHeading2"/>
        <w:rPr>
          <w:bCs/>
          <w:noProof/>
          <w:szCs w:val="24"/>
        </w:rPr>
      </w:pPr>
      <w:r>
        <w:t>1.6.</w:t>
      </w:r>
      <w:r>
        <w:tab/>
      </w:r>
      <w:r>
        <w:rPr>
          <w:noProof/>
        </w:rPr>
        <w:t xml:space="preserve">Срок на действие и финансово отражение </w:t>
      </w:r>
    </w:p>
    <w:p>
      <w:pPr>
        <w:pStyle w:val="Text1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X Предложение/инициатива с </w:t>
      </w:r>
      <w:r>
        <w:rPr>
          <w:b/>
          <w:noProof/>
          <w:color w:val="000000" w:themeColor="text1"/>
        </w:rPr>
        <w:t xml:space="preserve">ограничен срок на действие 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t>X</w:t>
      </w:r>
      <w:r>
        <w:rPr>
          <w:noProof/>
        </w:rPr>
        <w:tab/>
      </w:r>
      <w:r>
        <w:rPr>
          <w:noProof/>
          <w:color w:val="000000" w:themeColor="text1"/>
        </w:rPr>
        <w:t>Предложение/инициатива в сила от 1 януари 2018 г. до 31 декември 2020 г.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b/>
          <w:i/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 xml:space="preserve">Предложение/инициатива  </w:t>
      </w:r>
      <w:r>
        <w:rPr>
          <w:b/>
          <w:noProof/>
          <w:color w:val="000000" w:themeColor="text1"/>
        </w:rPr>
        <w:t>с неограничен срок на действие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Осъществяване с период на започване на дейност от ГГГГ до ГГГГ,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последван от функциониране с пълен капацитет.</w:t>
      </w:r>
    </w:p>
    <w:p>
      <w:pPr>
        <w:pStyle w:val="ManualHeading2"/>
        <w:rPr>
          <w:bCs/>
          <w:noProof/>
          <w:szCs w:val="24"/>
        </w:rPr>
      </w:pPr>
      <w:r>
        <w:t>1.7.</w:t>
      </w:r>
      <w:r>
        <w:tab/>
      </w:r>
      <w:r>
        <w:rPr>
          <w:noProof/>
        </w:rPr>
        <w:t>Предвидени методи на управление</w:t>
      </w:r>
      <w:r>
        <w:rPr>
          <w:rStyle w:val="FootnoteReference"/>
          <w:noProof/>
          <w:color w:val="000000" w:themeColor="text1"/>
        </w:rPr>
        <w:footnoteReference w:id="12"/>
      </w:r>
      <w:r>
        <w:rPr>
          <w:rStyle w:val="FootnoteReference"/>
          <w:noProof/>
          <w:color w:val="000000" w:themeColor="text1"/>
        </w:rPr>
        <w:t xml:space="preserve"> </w:t>
      </w:r>
    </w:p>
    <w:p>
      <w:pPr>
        <w:pStyle w:val="Text1"/>
        <w:rPr>
          <w:noProof/>
          <w:color w:val="000000" w:themeColor="text1"/>
        </w:rPr>
      </w:pPr>
      <w:r>
        <w:rPr>
          <w:b/>
          <w:noProof/>
          <w:color w:val="000000" w:themeColor="text1"/>
        </w:rPr>
        <w:t>X Пряко управление</w:t>
      </w:r>
      <w:r>
        <w:rPr>
          <w:noProof/>
        </w:rPr>
        <w:t xml:space="preserve"> </w:t>
      </w:r>
      <w:r>
        <w:rPr>
          <w:noProof/>
          <w:color w:val="000000" w:themeColor="text1"/>
        </w:rPr>
        <w:t>от Комисията</w:t>
      </w:r>
    </w:p>
    <w:p>
      <w:pPr>
        <w:pStyle w:val="ListDash2"/>
        <w:rPr>
          <w:rFonts w:cs="EUAlbertina"/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от нейните служби, включително от нейния персонал в делегациите на Съюза; 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 xml:space="preserve">от изпълнителните агенции </w:t>
      </w:r>
    </w:p>
    <w:p>
      <w:pPr>
        <w:pStyle w:val="Text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b/>
          <w:i/>
          <w:noProof/>
          <w:color w:val="000000" w:themeColor="text1"/>
        </w:rPr>
        <w:t xml:space="preserve"> </w:t>
      </w:r>
      <w:r>
        <w:rPr>
          <w:b/>
          <w:noProof/>
          <w:color w:val="000000" w:themeColor="text1"/>
        </w:rPr>
        <w:t>Споделено управление</w:t>
      </w:r>
      <w:r>
        <w:rPr>
          <w:noProof/>
          <w:color w:val="000000" w:themeColor="text1"/>
        </w:rPr>
        <w:t xml:space="preserve"> с държавите членки </w:t>
      </w:r>
    </w:p>
    <w:p>
      <w:pPr>
        <w:pStyle w:val="Text1"/>
        <w:rPr>
          <w:noProof/>
          <w:color w:val="000000" w:themeColor="text1"/>
          <w:spacing w:val="-6"/>
        </w:rPr>
      </w:pPr>
      <w:r>
        <w:rPr>
          <w:noProof/>
          <w:color w:val="000000" w:themeColor="text1"/>
          <w:spacing w:val="-6"/>
        </w:rPr>
        <w:sym w:font="Wingdings" w:char="F0A8"/>
      </w:r>
      <w:r>
        <w:rPr>
          <w:i/>
          <w:noProof/>
          <w:color w:val="000000" w:themeColor="text1"/>
          <w:spacing w:val="-6"/>
        </w:rPr>
        <w:t xml:space="preserve"> </w:t>
      </w:r>
      <w:r>
        <w:rPr>
          <w:b/>
          <w:noProof/>
          <w:color w:val="000000" w:themeColor="text1"/>
          <w:spacing w:val="-6"/>
        </w:rPr>
        <w:t>Непряко управление</w:t>
      </w:r>
      <w:r>
        <w:rPr>
          <w:noProof/>
          <w:color w:val="000000" w:themeColor="text1"/>
          <w:spacing w:val="-6"/>
        </w:rPr>
        <w:t xml:space="preserve"> чрез възлагане на задачи по изпълнението на бюджета на: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трети държави или органите, определени от тях;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международни организации и техните агенции (да се уточни);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>ЕИБ и Европейския инвестиционен фонд;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органите, посочени в членове 208 и 209 от Финансовия регламент;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публичноправни органи;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частноправни органи със задължение за обществена услуга, доколкото предоставят подходящи финансови гаранции;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частноправни органи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>
      <w:pPr>
        <w:pStyle w:val="ListDash2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  <w:color w:val="000000" w:themeColor="text1"/>
        </w:rPr>
        <w:t xml:space="preserve"> лица, на които е възложено изпълнението на специфични дейности в областта на ОВППС съгласно дял V от ДЕС и които са посочени в съответния основен акт.</w:t>
      </w:r>
    </w:p>
    <w:p>
      <w:pPr>
        <w:pStyle w:val="ListDash2"/>
        <w:rPr>
          <w:i/>
          <w:noProof/>
          <w:color w:val="000000" w:themeColor="text1"/>
          <w:sz w:val="18"/>
          <w:u w:val="single"/>
        </w:rPr>
      </w:pPr>
      <w:r>
        <w:rPr>
          <w:i/>
          <w:noProof/>
          <w:color w:val="000000" w:themeColor="text1"/>
          <w:sz w:val="18"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Забележки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[...]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[...]</w:t>
      </w:r>
    </w:p>
    <w:p>
      <w:pPr>
        <w:rPr>
          <w:noProof/>
          <w:color w:val="000000" w:themeColor="text1"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2.</w:t>
      </w:r>
      <w:r>
        <w:tab/>
      </w:r>
      <w:r>
        <w:rPr>
          <w:noProof/>
        </w:rPr>
        <w:t xml:space="preserve">МЕРКИ ЗА УПРАВЛЕНИЕ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Правила за мониторинг и докладване </w:t>
      </w:r>
    </w:p>
    <w:p>
      <w:pPr>
        <w:pStyle w:val="Text1"/>
        <w:rPr>
          <w:i/>
          <w:noProof/>
          <w:color w:val="000000" w:themeColor="text1"/>
          <w:sz w:val="20"/>
          <w:u w:val="single"/>
        </w:rPr>
      </w:pPr>
      <w:r>
        <w:rPr>
          <w:i/>
          <w:noProof/>
          <w:color w:val="000000" w:themeColor="text1"/>
          <w:sz w:val="20"/>
        </w:rPr>
        <w:t>Да се посочат честотата и условията.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Комисията отговаря за гарантирането на редовен мониторинг и външна оценка на проектите, финансирани по програмата „Творческа Европа“, включително дейностите на EUYO.</w:t>
      </w:r>
    </w:p>
    <w:p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Система за управление и контрол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Установени рискове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Тъй като настоящото изменение представлява разширяване на действащата програма „Творческа Европа“, то е обхванато от съображенията в точка 2.2.1 от финансовата обосновка за програмата (COM(2011) 785 final).</w:t>
      </w:r>
    </w:p>
    <w:p>
      <w:pPr>
        <w:pStyle w:val="ManualHeading3"/>
        <w:rPr>
          <w:bCs/>
          <w:noProof/>
          <w:szCs w:val="24"/>
        </w:rPr>
      </w:pPr>
      <w:r>
        <w:t>2.2.2.</w:t>
      </w:r>
      <w:r>
        <w:tab/>
      </w:r>
      <w:r>
        <w:rPr>
          <w:noProof/>
        </w:rPr>
        <w:t>Информация за изградената система за вътрешен контрол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  <w:color w:val="000000" w:themeColor="text1"/>
        </w:rPr>
        <w:t>Тъй като настоящото изменение представлява разширяване на действащата програма „Творческа Европа“, то е обхванато от съображенията в точка 2.2.2 от финансовата обосновка за програмата (COM(2011) 785 final).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Оценка на разходите и ползите от проверките и на очаквания риск от грешка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[pm]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[pm]</w:t>
      </w:r>
    </w:p>
    <w:p>
      <w:pPr>
        <w:pStyle w:val="ManualHeading2"/>
        <w:rPr>
          <w:bCs/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Мерки за предотвратяване на измами и нередности </w:t>
      </w:r>
    </w:p>
    <w:p>
      <w:pPr>
        <w:pStyle w:val="Text1"/>
        <w:rPr>
          <w:i/>
          <w:noProof/>
          <w:color w:val="000000" w:themeColor="text1"/>
          <w:sz w:val="20"/>
        </w:rPr>
      </w:pPr>
      <w:r>
        <w:rPr>
          <w:i/>
          <w:noProof/>
          <w:color w:val="000000" w:themeColor="text1"/>
          <w:sz w:val="20"/>
        </w:rPr>
        <w:t>Да се посочат съществуващите или планираните мерки за превенция и защита.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 xml:space="preserve">Комисията ще гарантира, че когато се изпълняват действия, финансирани съгласно настоящия регламент, финансовите интереси на Съюза са защитени чрез прилагането на мерки за предотвратяване на измами, корупция и всякакви други незаконни действия чрез ефикасен контрол, чрез възстановяване на неправомерно изплатените суми, а при откриването на нередности ― посредством ефикасни, пропорционални и възпиращи санкции. Тя е оправомощена да извършва контрол и проверки на място </w:t>
      </w:r>
      <w:r>
        <w:rPr>
          <w:i/>
          <w:noProof/>
        </w:rPr>
        <w:t xml:space="preserve">in situ </w:t>
      </w:r>
      <w:r>
        <w:rPr>
          <w:noProof/>
        </w:rPr>
        <w:t xml:space="preserve"> съгласно Регламент (Евратом, ЕО) № 2185/96 на Съвета. Ако е необходимо, Европейската служба за борба с измамите (OLAF) ще извърши разследвания съгласно Регламент (ЕО) № 1073/1999.</w:t>
      </w:r>
    </w:p>
    <w:p>
      <w:pPr>
        <w:rPr>
          <w:noProof/>
          <w:color w:val="000000" w:themeColor="text1"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3.</w:t>
      </w:r>
      <w:r>
        <w:tab/>
      </w:r>
      <w:r>
        <w:rPr>
          <w:noProof/>
        </w:rPr>
        <w:t xml:space="preserve">ОЧАКВАНО ФИНАНСОВО ОТРАЖЕНИЕ НА ПРЕДЛОЖЕНИЕТО/ИНИЦИАТИВАТА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ListBullet1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Съществуващи бюджетни редове </w:t>
      </w:r>
    </w:p>
    <w:p>
      <w:pPr>
        <w:pStyle w:val="Text1"/>
        <w:rPr>
          <w:noProof/>
          <w:color w:val="000000" w:themeColor="text1"/>
        </w:rPr>
      </w:pPr>
      <w:r>
        <w:rPr>
          <w:noProof/>
          <w:color w:val="000000" w:themeColor="text1"/>
          <w:u w:val="single"/>
        </w:rPr>
        <w:t>По реда</w:t>
      </w:r>
      <w:r>
        <w:rPr>
          <w:noProof/>
        </w:rPr>
        <w:t xml:space="preserve"> </w:t>
      </w:r>
      <w:r>
        <w:rPr>
          <w:noProof/>
          <w:color w:val="000000" w:themeColor="text1"/>
        </w:rPr>
        <w:t>на функциите от многогодишната финансова рамка и на бюджетните редове</w:t>
      </w:r>
      <w:r>
        <w:rPr>
          <w:noProof/>
        </w:rPr>
        <w:t>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18"/>
              </w:rPr>
              <w:t xml:space="preserve">Вид на 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noProof/>
                <w:color w:val="000000" w:themeColor="text1"/>
                <w:sz w:val="18"/>
              </w:rPr>
              <w:t>разходите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>Функция 3: Сигурност и гражданство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18"/>
              </w:rPr>
              <w:t>Многогод./едногод</w:t>
            </w:r>
            <w:r>
              <w:rPr>
                <w:rStyle w:val="FootnoteReference"/>
                <w:noProof/>
                <w:color w:val="000000" w:themeColor="text1"/>
                <w:sz w:val="18"/>
              </w:rPr>
              <w:footnoteReference w:id="13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от държави от ЕАСТ</w:t>
            </w:r>
            <w:r>
              <w:rPr>
                <w:rStyle w:val="FootnoteReference"/>
                <w:noProof/>
                <w:color w:val="000000" w:themeColor="text1"/>
                <w:sz w:val="18"/>
              </w:rPr>
              <w:footnoteReference w:id="14"/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8"/>
              </w:rPr>
            </w:pPr>
            <w:r>
              <w:rPr>
                <w:noProof/>
                <w:color w:val="000000" w:themeColor="text1"/>
                <w:spacing w:val="-6"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color w:val="000000" w:themeColor="text1"/>
                <w:spacing w:val="-6"/>
                <w:sz w:val="18"/>
              </w:rPr>
              <w:footnoteReference w:id="15"/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after="60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15 04 02 — Подпрограма „Култура“ — подкрепа за трансгранични мерки и насърчаване на транснационалното разпространение и мобилност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/>
                <w:spacing w:val="-14"/>
                <w:sz w:val="21"/>
                <w:szCs w:val="21"/>
              </w:rPr>
            </w:pPr>
            <w:r>
              <w:rPr>
                <w:noProof/>
                <w:color w:val="000000"/>
                <w:spacing w:val="-14"/>
                <w:sz w:val="21"/>
                <w:szCs w:val="21"/>
              </w:rPr>
              <w:t>Многогод.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НЕ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6"/>
            </w:r>
          </w:p>
        </w:tc>
      </w:tr>
    </w:tbl>
    <w:p>
      <w:pPr>
        <w:pStyle w:val="Text1"/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Очаквано отражение върху разходите </w:t>
      </w:r>
    </w:p>
    <w:p>
      <w:pPr>
        <w:rPr>
          <w:noProof/>
        </w:rPr>
      </w:pPr>
      <w:r>
        <w:rPr>
          <w:noProof/>
        </w:rPr>
        <w:t xml:space="preserve">Финансирането за EUYO ще бъде осигурено от наличния финансов пакет за подпрограма „Култура“ на „Творческа Европа“ и за него няма да са необходими допълнителни ресурси от бюджета на ЕС. </w:t>
      </w:r>
    </w:p>
    <w:p>
      <w:pPr>
        <w:pStyle w:val="ManualHeading3"/>
        <w:rPr>
          <w:noProof/>
          <w:u w:val="single"/>
        </w:rPr>
      </w:pPr>
      <w:r>
        <w:t>3.2.1.</w:t>
      </w:r>
      <w:r>
        <w:tab/>
      </w:r>
      <w:r>
        <w:rPr>
          <w:noProof/>
        </w:rPr>
        <w:t xml:space="preserve">Обобщение на очакваното отражение върху разходите </w:t>
      </w:r>
    </w:p>
    <w:p>
      <w:pPr>
        <w:spacing w:before="0"/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милиони евро (до 3-тия знак след десетичната запетая)</w:t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Номер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</w:rPr>
              <w:t>[3</w:t>
            </w:r>
            <w:r>
              <w:rPr>
                <w:noProof/>
                <w:color w:val="000000" w:themeColor="text1"/>
                <w:sz w:val="22"/>
              </w:rPr>
              <w:t>] Сигурност и гражданство</w:t>
            </w:r>
          </w:p>
        </w:tc>
      </w:tr>
    </w:tbl>
    <w:p>
      <w:pPr>
        <w:rPr>
          <w:noProof/>
          <w:color w:val="000000" w:themeColor="text1"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ГД: „ОБРАЗОВАНИЕ И КУЛТУРА“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</w:t>
            </w:r>
            <w:r>
              <w:rPr>
                <w:rStyle w:val="FootnoteReference"/>
                <w:b/>
                <w:noProof/>
                <w:color w:val="000000" w:themeColor="text1"/>
                <w:sz w:val="20"/>
              </w:rPr>
              <w:footnoteReference w:id="17"/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ОБЩО</w:t>
            </w:r>
          </w:p>
        </w:tc>
      </w:tr>
      <w:tr>
        <w:trPr>
          <w:trHeight w:val="213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1"/>
              </w:rPr>
            </w:pPr>
            <w:r>
              <w:rPr>
                <w:noProof/>
                <w:color w:val="000000" w:themeColor="text1"/>
                <w:sz w:val="21"/>
              </w:rPr>
              <w:sym w:font="Wingdings" w:char="F09F"/>
            </w:r>
            <w:r>
              <w:rPr>
                <w:noProof/>
                <w:color w:val="000000" w:themeColor="text1"/>
                <w:sz w:val="21"/>
              </w:rPr>
              <w:t xml:space="preserve"> Бюджетни кредити за оперативни разходи </w:t>
            </w: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(2)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>15 04 02 — „Творческа Европа“ — Подпрограма „Култура“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(1а)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0,480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0,120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  <w:color w:val="000000" w:themeColor="text1"/>
                <w:sz w:val="21"/>
              </w:rPr>
              <w:footnoteReference w:id="18"/>
            </w:r>
            <w:r>
              <w:rPr>
                <w:noProof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rPr>
          <w:trHeight w:val="319"/>
        </w:trPr>
        <w:tc>
          <w:tcPr>
            <w:tcW w:w="3960" w:type="dxa"/>
            <w:vAlign w:val="center"/>
          </w:tcPr>
          <w:p>
            <w:pPr>
              <w:spacing w:before="60" w:after="6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40" w:after="40"/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ОБЩО бюджетни кредити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>за ГД „Образование и култура“</w:t>
            </w:r>
            <w:r>
              <w:rPr>
                <w:noProof/>
                <w:color w:val="000000" w:themeColor="text1"/>
                <w:sz w:val="22"/>
              </w:rPr>
              <w:t>*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=1+1a 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=2+2а</w:t>
            </w:r>
          </w:p>
          <w:p>
            <w:pPr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/>
                <w:sz w:val="20"/>
              </w:rPr>
              <w:t>0,480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/>
                <w:sz w:val="20"/>
              </w:rPr>
              <w:t>0,120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1,800</w:t>
            </w:r>
          </w:p>
        </w:tc>
      </w:tr>
    </w:tbl>
    <w:p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color w:val="000000" w:themeColor="text1"/>
                <w:sz w:val="21"/>
              </w:rPr>
              <w:sym w:font="Wingdings" w:char="F09F"/>
            </w:r>
            <w:r>
              <w:rPr>
                <w:noProof/>
                <w:color w:val="000000" w:themeColor="text1"/>
                <w:sz w:val="21"/>
              </w:rPr>
              <w:t xml:space="preserve"> ОБЩО бюджетни кредити за оперативни разходи </w:t>
            </w: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0,480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0,120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1"/>
              </w:rPr>
              <w:sym w:font="Wingdings" w:char="F09F"/>
            </w:r>
            <w:r>
              <w:rPr>
                <w:noProof/>
                <w:color w:val="000000" w:themeColor="text1"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 w:val="restart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ОБЩО бюджетни кредити</w:t>
            </w:r>
            <w:r>
              <w:rPr>
                <w:noProof/>
                <w:color w:val="000000"/>
                <w:sz w:val="22"/>
              </w:rPr>
              <w:br/>
            </w:r>
            <w:r>
              <w:rPr>
                <w:b/>
                <w:noProof/>
                <w:color w:val="000000"/>
                <w:sz w:val="22"/>
              </w:rPr>
              <w:t>за ФУНКЦИЯ &lt;3&gt;</w:t>
            </w:r>
            <w:r>
              <w:rPr>
                <w:noProof/>
                <w:color w:val="000000"/>
                <w:sz w:val="22"/>
              </w:rPr>
              <w:br/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noProof/>
                <w:color w:val="000000"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noProof/>
                <w:color w:val="000000"/>
                <w:sz w:val="14"/>
              </w:rPr>
              <w:t>=5+ 6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0,480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0,120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</w:tbl>
    <w:p>
      <w:pPr>
        <w:spacing w:after="40"/>
        <w:rPr>
          <w:b/>
          <w:noProof/>
          <w:color w:val="000000" w:themeColor="text1"/>
          <w:sz w:val="22"/>
          <w:u w:val="single"/>
        </w:rPr>
      </w:pPr>
      <w:r>
        <w:rPr>
          <w:b/>
          <w:noProof/>
          <w:color w:val="000000" w:themeColor="text1"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1"/>
              </w:rPr>
              <w:sym w:font="Wingdings" w:char="F09F"/>
            </w:r>
            <w:r>
              <w:rPr>
                <w:noProof/>
                <w:color w:val="000000" w:themeColor="text1"/>
                <w:sz w:val="21"/>
              </w:rPr>
              <w:t xml:space="preserve"> ОБЩО бюджетни кредити за оперативни разходи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1"/>
              </w:rPr>
              <w:sym w:font="Wingdings" w:char="F09F"/>
            </w:r>
            <w:r>
              <w:rPr>
                <w:noProof/>
                <w:color w:val="000000" w:themeColor="text1"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(6)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</w:tr>
      <w:t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ОБЩО бюджетни кредити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>за ФУНКЦИИ 1—4</w:t>
            </w:r>
            <w:r>
              <w:rPr>
                <w:noProof/>
                <w:color w:val="000000" w:themeColor="text1"/>
                <w:sz w:val="22"/>
              </w:rPr>
              <w:br/>
              <w:t>от многогодишната финансова рамка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noProof/>
                <w:color w:val="000000" w:themeColor="text1"/>
                <w:sz w:val="20"/>
              </w:rPr>
              <w:t>(Референтна стойност)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=4+ 6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C0C0C0" w:fill="auto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4"/>
              </w:rPr>
              <w:t>=5+ 6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0,480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0,120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</w:tbl>
    <w:p>
      <w:pPr>
        <w:rPr>
          <w:noProof/>
          <w:color w:val="000000" w:themeColor="text1"/>
        </w:rPr>
      </w:pPr>
    </w:p>
    <w:p>
      <w:pPr>
        <w:rPr>
          <w:noProof/>
          <w:color w:val="000000" w:themeColor="text1"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color w:val="000000" w:themeColor="text1"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„Административни разходи“</w:t>
            </w:r>
          </w:p>
        </w:tc>
      </w:tr>
    </w:tbl>
    <w:p>
      <w:pPr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милиони евро (до 3-тия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 xml:space="preserve">Да се добавят толкова години, колкото е необходимо, за да се обхване продължителността на отражението (вж. точка 1.6) 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ОБЩО</w:t>
            </w:r>
          </w:p>
        </w:tc>
      </w:tr>
      <w:tr>
        <w:trPr>
          <w:gridAfter w:val="10"/>
          <w:wAfter w:w="9947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ГД: „ОБРАЗОВАНИЕ И КУЛТУРА“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sym w:font="Wingdings" w:char="F09F"/>
            </w:r>
            <w:r>
              <w:rPr>
                <w:noProof/>
                <w:color w:val="000000" w:themeColor="text1"/>
                <w:sz w:val="22"/>
              </w:rPr>
              <w:t xml:space="preserve"> Човешки ресурси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sym w:font="Wingdings" w:char="F09F"/>
            </w:r>
            <w:r>
              <w:rPr>
                <w:noProof/>
                <w:color w:val="000000" w:themeColor="text1"/>
                <w:sz w:val="22"/>
              </w:rPr>
              <w:t xml:space="preserve"> Други административни разходи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ОБЩО ГД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 w:themeColor="text1"/>
                <w:sz w:val="22"/>
              </w:rPr>
              <w:t>„Образование и култура“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8"/>
              </w:rPr>
              <w:t xml:space="preserve">Бюджетни кредити 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</w:tr>
    </w:tbl>
    <w:p>
      <w:pPr>
        <w:rPr>
          <w:noProof/>
          <w:color w:val="000000" w:themeColor="text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ОБЩО бюджетни кредити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>за ФУНКЦИЯ 5</w:t>
            </w:r>
            <w:r>
              <w:rPr>
                <w:noProof/>
                <w:color w:val="000000" w:themeColor="text1"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18"/>
              </w:rPr>
              <w:t>(Общо поети задължения = Общо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p.m.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p.m.</w:t>
            </w:r>
          </w:p>
        </w:tc>
      </w:tr>
    </w:tbl>
    <w:p>
      <w:pPr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милиони евро (до 3-тия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</w:t>
            </w:r>
            <w:r>
              <w:rPr>
                <w:rStyle w:val="FootnoteReference"/>
                <w:b/>
                <w:noProof/>
                <w:color w:val="000000" w:themeColor="text1"/>
                <w:sz w:val="20"/>
              </w:rPr>
              <w:footnoteReference w:id="19"/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2"/>
              </w:rPr>
            </w:pPr>
            <w:r>
              <w:rPr>
                <w:b/>
                <w:noProof/>
                <w:color w:val="000000" w:themeColor="text1"/>
                <w:sz w:val="22"/>
              </w:rPr>
              <w:t>ОБЩО бюджетни кредити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2"/>
              </w:rPr>
              <w:t>за ФУНКЦИИ 1—5*</w:t>
            </w:r>
            <w:r>
              <w:rPr>
                <w:noProof/>
                <w:color w:val="000000" w:themeColor="text1"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  <w:tr>
        <w:tc>
          <w:tcPr>
            <w:tcW w:w="3960" w:type="dxa"/>
            <w:vMerge/>
            <w:shd w:val="clear" w:color="auto" w:fill="C0C0C0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color w:val="000000" w:themeColor="text1"/>
                <w:sz w:val="14"/>
              </w:rPr>
            </w:pPr>
            <w:r>
              <w:rPr>
                <w:noProof/>
                <w:color w:val="000000" w:themeColor="text1"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0,480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0,600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0,120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color w:val="000000" w:themeColor="text1"/>
                <w:sz w:val="20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1,800</w:t>
            </w:r>
          </w:p>
        </w:tc>
      </w:tr>
    </w:tbl>
    <w:p>
      <w:pPr>
        <w:rPr>
          <w:noProof/>
          <w:color w:val="000000" w:themeColor="text1"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color w:val="000000" w:themeColor="text1"/>
        </w:rPr>
        <w:t xml:space="preserve">* Функция 5: </w:t>
      </w:r>
      <w:r>
        <w:rPr>
          <w:noProof/>
          <w:color w:val="000000" w:themeColor="text1"/>
          <w:sz w:val="22"/>
        </w:rPr>
        <w:t>Разходите за администрация, включително човешки ресурси, ще бъдат покрити чрез вътрешно преразпределяне в ГД „Образование и култура“.</w:t>
      </w:r>
      <w:r>
        <w:rPr>
          <w:noProof/>
        </w:rPr>
        <w:tab/>
      </w:r>
      <w:r>
        <w:rPr>
          <w:noProof/>
          <w:color w:val="000000" w:themeColor="text1"/>
          <w:sz w:val="22"/>
        </w:rPr>
        <w:br/>
      </w:r>
    </w:p>
    <w:p>
      <w:pPr>
        <w:pStyle w:val="ManualHeading3"/>
        <w:rPr>
          <w:bCs/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Очаквано отражение върху бюджетните кредити за оперативни разходи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 xml:space="preserve">Предложението/инициативата не налага използване на бюджетни кредити за оперативни разходи </w:t>
      </w:r>
    </w:p>
    <w:p>
      <w:pPr>
        <w:pStyle w:val="ListDash1"/>
        <w:rPr>
          <w:noProof/>
          <w:color w:val="000000" w:themeColor="text1"/>
          <w:spacing w:val="-4"/>
        </w:rPr>
      </w:pPr>
      <w:r>
        <w:rPr>
          <w:noProof/>
          <w:color w:val="000000" w:themeColor="text1"/>
          <w:spacing w:val="-4"/>
        </w:rPr>
        <w:t>X</w:t>
      </w:r>
      <w:r>
        <w:rPr>
          <w:noProof/>
          <w:spacing w:val="-4"/>
        </w:rPr>
        <w:tab/>
      </w:r>
      <w:r>
        <w:rPr>
          <w:noProof/>
          <w:color w:val="000000" w:themeColor="text1"/>
          <w:spacing w:val="-4"/>
        </w:rPr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Бюджетни кредити за поети задължения в милиони евро (до 3-тия знак след десетичната запетая)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306"/>
        <w:gridCol w:w="651"/>
        <w:gridCol w:w="663"/>
        <w:gridCol w:w="725"/>
        <w:gridCol w:w="651"/>
        <w:gridCol w:w="725"/>
        <w:gridCol w:w="651"/>
        <w:gridCol w:w="725"/>
        <w:gridCol w:w="651"/>
        <w:gridCol w:w="725"/>
        <w:gridCol w:w="674"/>
        <w:gridCol w:w="750"/>
        <w:gridCol w:w="674"/>
        <w:gridCol w:w="750"/>
        <w:gridCol w:w="674"/>
        <w:gridCol w:w="750"/>
        <w:gridCol w:w="529"/>
        <w:gridCol w:w="727"/>
      </w:tblGrid>
      <w:tr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</w:rPr>
              <w:t xml:space="preserve">Да се посочат целите и резултатите </w:t>
            </w:r>
          </w:p>
          <w:p>
            <w:pPr>
              <w:ind w:right="-29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sym w:font="Wingdings" w:char="F0F2"/>
            </w:r>
          </w:p>
        </w:tc>
        <w:tc>
          <w:tcPr>
            <w:tcW w:w="0" w:type="auto"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N+3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</w:rPr>
              <w:t>ОБЩО</w:t>
            </w:r>
          </w:p>
        </w:tc>
      </w:tr>
      <w:tr>
        <w:trPr>
          <w:jc w:val="center"/>
        </w:trPr>
        <w:tc>
          <w:tcPr>
            <w:tcW w:w="0" w:type="auto"/>
            <w:vMerge/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18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</w:rPr>
              <w:t>РЕЗУЛТАТИ</w:t>
            </w:r>
          </w:p>
        </w:tc>
      </w:tr>
      <w:tr>
        <w:trPr>
          <w:cantSplit/>
          <w:trHeight w:val="1134"/>
          <w:jc w:val="center"/>
        </w:trPr>
        <w:tc>
          <w:tcPr>
            <w:tcW w:w="0" w:type="auto"/>
            <w:vMerge/>
            <w:vAlign w:val="center"/>
          </w:tcPr>
          <w:p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Вид резултат</w:t>
            </w:r>
            <w:r>
              <w:rPr>
                <w:rStyle w:val="FootnoteReference"/>
                <w:noProof/>
                <w:color w:val="000000" w:themeColor="text1"/>
                <w:sz w:val="18"/>
              </w:rPr>
              <w:footnoteReference w:id="20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12"/>
                <w:sz w:val="17"/>
                <w:szCs w:val="17"/>
              </w:rPr>
            </w:pPr>
            <w:r>
              <w:rPr>
                <w:noProof/>
                <w:color w:val="000000" w:themeColor="text1"/>
                <w:spacing w:val="-12"/>
                <w:sz w:val="16"/>
                <w:szCs w:val="17"/>
              </w:rPr>
              <w:t>Среден разход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7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7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Разходи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Общ брой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pacing w:val="-6"/>
                <w:sz w:val="16"/>
                <w:szCs w:val="17"/>
              </w:rPr>
            </w:pPr>
            <w:r>
              <w:rPr>
                <w:noProof/>
                <w:color w:val="000000" w:themeColor="text1"/>
                <w:spacing w:val="-6"/>
                <w:sz w:val="16"/>
                <w:szCs w:val="17"/>
              </w:rPr>
              <w:t>Общо разходи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КОНКРЕТНИ ЦЕЛИ а) — г)</w:t>
            </w:r>
            <w:r>
              <w:rPr>
                <w:rStyle w:val="FootnoteReference"/>
                <w:noProof/>
                <w:color w:val="000000"/>
                <w:sz w:val="18"/>
              </w:rPr>
              <w:footnoteReference w:id="21"/>
            </w:r>
            <w:r>
              <w:rPr>
                <w:noProof/>
                <w:color w:val="000000"/>
                <w:sz w:val="18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hRule="exact" w:val="904"/>
          <w:jc w:val="center"/>
        </w:trPr>
        <w:tc>
          <w:tcPr>
            <w:tcW w:w="0" w:type="auto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- Резултат</w:t>
            </w:r>
          </w:p>
        </w:tc>
        <w:tc>
          <w:tcPr>
            <w:tcW w:w="0" w:type="auto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Безвъзмездни средства за оперативни разходи</w:t>
            </w:r>
          </w:p>
        </w:tc>
        <w:tc>
          <w:tcPr>
            <w:tcW w:w="0" w:type="auto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1 800</w:t>
            </w:r>
          </w:p>
        </w:tc>
      </w:tr>
      <w:tr>
        <w:trPr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</w:rPr>
              <w:t>ОБЩО РАЗХОДИ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0,600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</w:rPr>
              <w:t>1,800</w:t>
            </w:r>
          </w:p>
        </w:tc>
      </w:tr>
    </w:tbl>
    <w:p>
      <w:pPr>
        <w:rPr>
          <w:b/>
          <w:noProof/>
          <w:color w:val="000000" w:themeColor="text1"/>
        </w:rPr>
      </w:pPr>
    </w:p>
    <w:p>
      <w:pPr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Резултати</w:t>
      </w:r>
    </w:p>
    <w:p>
      <w:pPr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Безвъзмездни средства за оперативни разходи на EUYO</w:t>
      </w:r>
    </w:p>
    <w:p>
      <w:pPr>
        <w:jc w:val="left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Структура на разходите</w:t>
      </w:r>
    </w:p>
    <w:p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Въз основа на предишен опит с финансирането на EUYO на равнище ЕС, по-специално още в рамките на програмата „Творческа Европа“, подходящите за тази организация безвъзмездни средства за оперативни разходи ще бъдат в размер на 600 000 евро.</w:t>
      </w:r>
    </w:p>
    <w:p>
      <w:pPr>
        <w:rPr>
          <w:noProof/>
          <w:color w:val="000000" w:themeColor="text1"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rPr>
          <w:noProof/>
          <w:color w:val="000000" w:themeColor="text1"/>
        </w:rPr>
      </w:pPr>
    </w:p>
    <w:p>
      <w:pPr>
        <w:pStyle w:val="ManualHeading3"/>
        <w:rPr>
          <w:bCs/>
          <w:noProof/>
          <w:szCs w:val="24"/>
        </w:rPr>
      </w:pPr>
      <w:r>
        <w:t>3.2.3.</w:t>
      </w:r>
      <w:r>
        <w:tab/>
      </w:r>
      <w:r>
        <w:rPr>
          <w:noProof/>
        </w:rPr>
        <w:t>Очаквано отражение върху бюджетните кредити за административни разходи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Обобщение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 xml:space="preserve"> </w:t>
      </w:r>
      <w:r>
        <w:rPr>
          <w:noProof/>
          <w:color w:val="000000" w:themeColor="text1"/>
        </w:rPr>
        <w:t xml:space="preserve">Предложението/инициативата не налага използване на бюджетни кредити за административни разходи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X</w:t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милиони евро (до 3-тия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324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N</w:t>
            </w:r>
            <w:r>
              <w:rPr>
                <w:rStyle w:val="FootnoteReference"/>
                <w:b/>
                <w:noProof/>
                <w:color w:val="000000" w:themeColor="text1"/>
                <w:sz w:val="16"/>
              </w:rPr>
              <w:footnoteReference w:id="22"/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N+1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N+3</w:t>
            </w:r>
          </w:p>
        </w:tc>
        <w:tc>
          <w:tcPr>
            <w:tcW w:w="324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color w:val="000000" w:themeColor="text1"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ФУНКЦИЯ 5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Междинен сбор за ФУНКЦИЯ 5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color w:val="000000" w:themeColor="text1"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извън ФУНКЦИЯ 5</w:t>
            </w:r>
            <w:r>
              <w:rPr>
                <w:rStyle w:val="FootnoteReference"/>
                <w:b/>
                <w:noProof/>
                <w:color w:val="000000" w:themeColor="text1"/>
                <w:sz w:val="16"/>
              </w:rPr>
              <w:footnoteReference w:id="23"/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Други разходи 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noProof/>
                <w:color w:val="000000" w:themeColor="text1"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Междинен сбор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>извън ФУНКЦИЯ 5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color w:val="000000" w:themeColor="text1"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p.m.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rPr>
          <w:noProof/>
          <w:color w:val="000000" w:themeColor="text1"/>
          <w:sz w:val="18"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color w:val="000000" w:themeColor="text1"/>
          <w:sz w:val="18"/>
        </w:rPr>
        <w:t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управлението на дейността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  <w:r>
        <w:rPr>
          <w:noProof/>
        </w:rPr>
        <w:tab/>
      </w:r>
      <w:r>
        <w:rPr>
          <w:noProof/>
          <w:color w:val="000000" w:themeColor="text1"/>
          <w:sz w:val="18"/>
        </w:rPr>
        <w:br/>
      </w:r>
    </w:p>
    <w:p>
      <w:pPr>
        <w:pStyle w:val="ManualHeading4"/>
        <w:rPr>
          <w:bCs/>
          <w:noProof/>
          <w:szCs w:val="24"/>
        </w:rPr>
      </w:pPr>
      <w:r>
        <w:t>3.2.3.2.</w:t>
      </w:r>
      <w:r>
        <w:tab/>
      </w: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 xml:space="preserve">Предложението/инициативата не налага използване на човешки ресурси.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X</w:t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color w:val="000000" w:themeColor="text1"/>
          <w:sz w:val="20"/>
        </w:rPr>
      </w:pPr>
      <w:r>
        <w:rPr>
          <w:i/>
          <w:noProof/>
          <w:color w:val="000000" w:themeColor="text1"/>
          <w:sz w:val="20"/>
        </w:rPr>
        <w:t>Оценката се посочва в еквиваленти на пълно работно време</w:t>
      </w:r>
    </w:p>
    <w:tbl>
      <w:tblPr>
        <w:tblW w:w="5544" w:type="pct"/>
        <w:jc w:val="center"/>
        <w:tblInd w:w="-2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52"/>
        <w:gridCol w:w="1954"/>
        <w:gridCol w:w="805"/>
        <w:gridCol w:w="995"/>
        <w:gridCol w:w="993"/>
        <w:gridCol w:w="993"/>
        <w:gridCol w:w="848"/>
        <w:gridCol w:w="851"/>
        <w:gridCol w:w="896"/>
      </w:tblGrid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Година </w:t>
            </w:r>
            <w:r>
              <w:rPr>
                <w:b/>
                <w:noProof/>
                <w:color w:val="000000" w:themeColor="text1"/>
                <w:sz w:val="16"/>
              </w:rPr>
              <w:t>N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Година </w:t>
            </w:r>
            <w:r>
              <w:rPr>
                <w:b/>
                <w:noProof/>
                <w:color w:val="000000" w:themeColor="text1"/>
                <w:sz w:val="16"/>
              </w:rPr>
              <w:t>N+1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Година </w:t>
            </w:r>
            <w:r>
              <w:rPr>
                <w:b/>
                <w:noProof/>
                <w:color w:val="000000" w:themeColor="text1"/>
                <w:sz w:val="16"/>
              </w:rPr>
              <w:t>N+2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Година </w:t>
            </w:r>
            <w:r>
              <w:rPr>
                <w:b/>
                <w:noProof/>
                <w:color w:val="000000" w:themeColor="text1"/>
                <w:sz w:val="16"/>
              </w:rPr>
              <w:t>N+3</w:t>
            </w: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3253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sym w:font="Wingdings" w:char="F09F"/>
            </w:r>
            <w:r>
              <w:rPr>
                <w:b/>
                <w:noProof/>
                <w:color w:val="000000" w:themeColor="text1"/>
                <w:sz w:val="16"/>
              </w:rPr>
              <w:t xml:space="preserve"> Длъжности в щатното разписание (длъжностни лица и срочно наети служители)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XX 01 01 01 (Централа и представителства на Комисията)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XX 01 01 02 (Делегации)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XX 01 05 01 (Непреки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 01 05 01 (Преки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After w:val="4"/>
          <w:wAfter w:w="1742" w:type="pct"/>
          <w:trHeight w:val="248"/>
          <w:jc w:val="center"/>
        </w:trPr>
        <w:tc>
          <w:tcPr>
            <w:tcW w:w="3258" w:type="pct"/>
            <w:gridSpan w:val="6"/>
            <w:shd w:val="clear" w:color="auto" w:fill="auto"/>
            <w:vAlign w:val="center"/>
          </w:tcPr>
          <w:p>
            <w:pPr>
              <w:pStyle w:val="Text1"/>
              <w:spacing w:before="60" w:after="60"/>
              <w:ind w:left="0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sym w:font="Wingdings" w:char="F09F"/>
            </w:r>
            <w:r>
              <w:rPr>
                <w:b/>
                <w:noProof/>
                <w:color w:val="000000" w:themeColor="text1"/>
                <w:sz w:val="16"/>
              </w:rPr>
              <w:t xml:space="preserve"> Външен персонал (в еквивалент на пълно работно време: ЕПРВ)</w:t>
            </w:r>
            <w:r>
              <w:rPr>
                <w:rStyle w:val="FootnoteReference"/>
                <w:b/>
                <w:noProof/>
                <w:color w:val="000000" w:themeColor="text1"/>
                <w:sz w:val="16"/>
              </w:rPr>
              <w:footnoteReference w:id="24"/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XX 01 02 01 (ДНП, КНЕ, ПНА от общия финансов пакет)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XX 01 02 02 (ДНП, МП, КНЕ, ПНА и МЕД в делегациите)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XX</w:t>
            </w:r>
            <w:r>
              <w:rPr>
                <w:noProof/>
                <w:color w:val="000000" w:themeColor="text1"/>
                <w:sz w:val="16"/>
              </w:rPr>
              <w:t xml:space="preserve"> 01 04 </w:t>
            </w:r>
            <w:r>
              <w:rPr>
                <w:b/>
                <w:noProof/>
                <w:color w:val="000000" w:themeColor="text1"/>
                <w:sz w:val="16"/>
              </w:rPr>
              <w:t>yy</w:t>
            </w:r>
            <w:r>
              <w:rPr>
                <w:b/>
                <w:i/>
                <w:noProof/>
                <w:color w:val="000000" w:themeColor="text1"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color w:val="000000" w:themeColor="text1"/>
                <w:sz w:val="16"/>
              </w:rPr>
              <w:footnoteReference w:id="25"/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- в централата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- в делегациите 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XX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 w:themeColor="text1"/>
                <w:sz w:val="16"/>
              </w:rPr>
              <w:t>01 05 02 (ДНП, КНЕ, ПНА — непреки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 01 05 02 (ДНП, КНЕ, ПНА — 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Други бюджетни редове (да се посочат)</w:t>
            </w:r>
          </w:p>
        </w:tc>
        <w:tc>
          <w:tcPr>
            <w:tcW w:w="3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ОБЩО</w:t>
            </w:r>
          </w:p>
        </w:tc>
        <w:tc>
          <w:tcPr>
            <w:tcW w:w="3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</w:rPr>
              <w:t>0,5</w:t>
            </w:r>
          </w:p>
        </w:tc>
        <w:tc>
          <w:tcPr>
            <w:tcW w:w="4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pStyle w:val="Text1"/>
        <w:spacing w:before="60" w:after="60"/>
        <w:ind w:left="851"/>
        <w:rPr>
          <w:noProof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18"/>
        </w:rPr>
        <w:t>XX</w:t>
      </w:r>
      <w:r>
        <w:rPr>
          <w:noProof/>
        </w:rPr>
        <w:t xml:space="preserve"> </w:t>
      </w:r>
      <w:r>
        <w:rPr>
          <w:noProof/>
          <w:color w:val="000000" w:themeColor="text1"/>
          <w:sz w:val="18"/>
        </w:rPr>
        <w:t>е съответната област на политиката или бюджетен дял.</w:t>
      </w:r>
    </w:p>
    <w:p>
      <w:pPr>
        <w:pStyle w:val="Text1"/>
        <w:rPr>
          <w:noProof/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Длъжностни лица и срочно наети служители</w:t>
            </w:r>
          </w:p>
        </w:tc>
        <w:tc>
          <w:tcPr>
            <w:tcW w:w="7200" w:type="dxa"/>
          </w:tcPr>
          <w:p>
            <w:pPr>
              <w:rPr>
                <w:noProof/>
                <w:color w:val="000000" w:themeColor="text1"/>
                <w:sz w:val="20"/>
                <w:highlight w:val="yellow"/>
              </w:rPr>
            </w:pPr>
            <w:r>
              <w:rPr>
                <w:noProof/>
                <w:sz w:val="20"/>
              </w:rPr>
              <w:t>Прилагане на разширяването на приложното поле на програмата „Творческа Европа“</w:t>
            </w: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>
            <w:pPr>
              <w:rPr>
                <w:noProof/>
                <w:color w:val="000000" w:themeColor="text1"/>
                <w:sz w:val="20"/>
              </w:rPr>
            </w:pPr>
          </w:p>
        </w:tc>
      </w:tr>
    </w:tbl>
    <w:p>
      <w:pPr>
        <w:rPr>
          <w:noProof/>
          <w:color w:val="000000" w:themeColor="text1"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X</w:t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Обяснете какво препрограмиране е необходимо, като посочите съответните бюджетни редове и суми.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Style w:val="ManualHeading3"/>
        <w:rPr>
          <w:bCs/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Х Предложението/инициативата не предвижда съфинансиране от трети страни.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Предложението/инициативата предвижда съфинансиране съгласно следните прогнози:</w:t>
      </w:r>
    </w:p>
    <w:p>
      <w:pPr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Бюджетни кредити в милиони евро (до 3-тия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Общо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20"/>
              </w:rPr>
            </w:pPr>
          </w:p>
        </w:tc>
      </w:tr>
    </w:tbl>
    <w:p>
      <w:pPr>
        <w:rPr>
          <w:noProof/>
          <w:color w:val="000000" w:themeColor="text1"/>
        </w:rPr>
      </w:pP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Очаквано отражение върху приходите 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t>X</w:t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няма финансово отражение върху приходите.</w:t>
      </w:r>
    </w:p>
    <w:p>
      <w:pPr>
        <w:pStyle w:val="ListDash1"/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>Предложението/инициативата има следното финансово отражение:</w:t>
      </w:r>
    </w:p>
    <w:p>
      <w:pPr>
        <w:pStyle w:val="ListNumberLevel3"/>
        <w:tabs>
          <w:tab w:val="clear" w:pos="2126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 xml:space="preserve">върху собствените ресурси </w:t>
      </w:r>
    </w:p>
    <w:p>
      <w:pPr>
        <w:pStyle w:val="ListNumberLevel3"/>
        <w:tabs>
          <w:tab w:val="clear" w:pos="2126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sym w:font="Wingdings" w:char="F0A8"/>
      </w:r>
      <w:r>
        <w:rPr>
          <w:noProof/>
        </w:rPr>
        <w:tab/>
      </w:r>
      <w:r>
        <w:rPr>
          <w:noProof/>
          <w:color w:val="000000" w:themeColor="text1"/>
        </w:rPr>
        <w:t xml:space="preserve">върху разните приходи </w:t>
      </w:r>
    </w:p>
    <w:p>
      <w:pPr>
        <w:jc w:val="right"/>
        <w:rPr>
          <w:i/>
          <w:noProof/>
          <w:color w:val="000000" w:themeColor="text1"/>
          <w:sz w:val="20"/>
        </w:rPr>
      </w:pPr>
      <w:r>
        <w:rPr>
          <w:noProof/>
          <w:color w:val="000000" w:themeColor="text1"/>
        </w:rPr>
        <w:t>милиони евро (до 3-тия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Налични бюджетни кредити за текущата бюджетна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  <w:color w:val="000000" w:themeColor="text1"/>
                <w:sz w:val="18"/>
              </w:rPr>
              <w:footnoteReference w:id="26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Година</w:t>
            </w:r>
            <w:r>
              <w:rPr>
                <w:noProof/>
                <w:color w:val="000000" w:themeColor="text1"/>
                <w:sz w:val="22"/>
              </w:rPr>
              <w:br/>
            </w:r>
            <w:r>
              <w:rPr>
                <w:b/>
                <w:noProof/>
                <w:color w:val="000000" w:themeColor="text1"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>Статия….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color w:val="000000" w:themeColor="text1"/>
                <w:sz w:val="18"/>
              </w:rPr>
            </w:pPr>
          </w:p>
        </w:tc>
      </w:tr>
    </w:tbl>
    <w:p>
      <w:pPr>
        <w:pStyle w:val="Text1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За разните „целеви“ приходи да се посочат съответните разходни бюджетни редове.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</w:p>
    <w:p>
      <w:pPr>
        <w:pStyle w:val="Text1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Да се посочи методът за изчисляване на отражението върху приходите.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Резолюция относно предложението за резолюция, внесено от г-жа Kellett-Bowman, за създаване на младежки оркестър на Европейската общност (ОВ C 79, 5.4.1976 г., стр. 8).</w:t>
      </w:r>
    </w:p>
  </w:footnote>
  <w:footnote w:id="2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Вж. член 121, параграф 1, буква б) от Регламент (ЕС, Евратом) № 966/2012 на Европейския парламент и на Съвета от 25 октомври 2012 г. относно финансовите правила, приложими за общия бюджет на Съюза, и за отмяна на Регламент (ЕО, Евратом) № 1605/2002 на Съвета (ОВ L 298, 26.10.2012 г., стр. 1).</w:t>
      </w:r>
    </w:p>
  </w:footnote>
  <w:footnote w:id="3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Делегиран регламент (ЕС) № 1268/2012 на Комисията от 29 октомври 2012 г. относно правилата за прилагане на Регламент (ЕС, Евратом) № 966/2012 на Европейския парламент и на Съвета относно финансовите правила, приложими за общия бюджет на Съюза (ОВ L 362, 31.12.2012 г., стр. 1).</w:t>
      </w:r>
    </w:p>
  </w:footnote>
  <w:footnote w:id="4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Регламент (ЕС) № 1295/2013 за създаване на програма „Творческа Европа“ (2014—2020 г.) и за отмяна на Решения № 1718/2006/ЕО, № 1855/2006/ЕО и № 1041/2009/ЕО (ОВ L 347, 20.12.2013 г., стр. 221).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C […], […], стр. […].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C […], […], стр. […].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1295/2013 за създаване на програма „Творческа Европа“ (2014 – 2020 г.) и за отмяна на Решения № 1718/2006/ЕО, № 1855/2006/ЕО и № 1041/2009/ЕО (ОВ L 347/221, 20.12.2013 г., стр. 221).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Резолюция относно предложението за резолюция, внесено от г-жа Kellett-Bowman, за създаване на младежки оркестър на Европейската общност (ОВ C 79, 5.4.1976 г., стр. 8).</w:t>
      </w:r>
    </w:p>
  </w:footnote>
  <w:footnote w:id="9">
    <w:p>
      <w:pPr>
        <w:pStyle w:val="FootnoteText"/>
        <w:rPr>
          <w:noProof/>
        </w:rPr>
      </w:pPr>
      <w:r>
        <w:rPr>
          <w:rStyle w:val="FootnoteReference"/>
        </w:rPr>
        <w:footnoteRef/>
      </w:r>
      <w:r>
        <w:tab/>
        <w:t xml:space="preserve">Делегиран регламент (ЕС) № 1268/2012 на Комисията относно правилата за прилагане на Регламент (ЕС, Евратом) № 966/2012 на Европейския парламент и на Съвета относно финансовите правила, приложими за общия бюджет на Съюза (ОВ L 362, 31.12.2012 г., стр. 1). </w:t>
      </w:r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УД: управление по дейности; БД: бюджетиране по дейности.</w:t>
      </w:r>
    </w:p>
  </w:footnote>
  <w:footnote w:id="1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12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За подробности относно методите на управление и позоваванията на Финансовия регламент, вж.:</w:t>
      </w:r>
      <w:r>
        <w:br/>
      </w:r>
      <w:hyperlink r:id="rId1">
        <w:r>
          <w:rPr>
            <w:rStyle w:val="Hyperlink"/>
          </w:rPr>
          <w:t>http://www.cc.cec/budg/man/budgmanag/budgmanag_bg.html</w:t>
        </w:r>
      </w:hyperlink>
    </w:p>
  </w:footnote>
  <w:footnote w:id="13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Многогод. = многогодишни бюджетни кредити; едногод. = едногодишни бюджетни кредити.</w:t>
      </w:r>
    </w:p>
  </w:footnote>
  <w:footnote w:id="14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 xml:space="preserve">Европейска асоциация за свободна търговия. </w:t>
      </w:r>
    </w:p>
  </w:footnote>
  <w:footnote w:id="15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Държави кандидатки и, ако е приложимо, държави потенциални кандидатки от Западните Балкани.</w:t>
      </w:r>
    </w:p>
  </w:footnote>
  <w:footnote w:id="16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Бюджетен ред 15 04 02 е за СЦИЕ и ЕАСТ. Специфичното действие на EUYO няма да е предмет на споразумение с тези трети държави.</w:t>
      </w:r>
    </w:p>
  </w:footnote>
  <w:footnote w:id="17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8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9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20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Резултатите са продуктите и услугите, които ще бъдат доставени (напр. брой финансирани обмени на студенти, дължина на построените пътища в километри и т.н.).</w:t>
      </w:r>
    </w:p>
  </w:footnote>
  <w:footnote w:id="2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Съгласно описанието в част 1.4.2. „Специфични цели“ </w:t>
      </w:r>
    </w:p>
  </w:footnote>
  <w:footnote w:id="2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2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rPr>
          <w:spacing w:val="-6"/>
        </w:rPr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24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25">
    <w:p>
      <w:pPr>
        <w:pStyle w:val="FootnoteText"/>
        <w:spacing w:after="120"/>
        <w:ind w:left="426" w:hanging="426"/>
      </w:pPr>
      <w:r>
        <w:rPr>
          <w:rStyle w:val="FootnoteReference"/>
        </w:rPr>
        <w:footnoteRef/>
      </w:r>
      <w:r>
        <w:tab/>
        <w:t>Подтаван за външния персонал от бюджетните кредити за оперативни разходи (предишни редове BA).</w:t>
      </w:r>
    </w:p>
  </w:footnote>
  <w:footnote w:id="2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5DC67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0D292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30EC5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AE67F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B8C8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58D1B6B"/>
    <w:multiLevelType w:val="hybridMultilevel"/>
    <w:tmpl w:val="FFD05CB6"/>
    <w:styleLink w:val="Stileimportato2"/>
    <w:lvl w:ilvl="0" w:tplc="4242606A">
      <w:start w:val="1"/>
      <w:numFmt w:val="decimal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E8F6A">
      <w:start w:val="1"/>
      <w:numFmt w:val="decimal"/>
      <w:lvlText w:val="(%2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CC31E">
      <w:start w:val="1"/>
      <w:numFmt w:val="decimal"/>
      <w:lvlText w:val="(%3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C9D78">
      <w:start w:val="1"/>
      <w:numFmt w:val="decimal"/>
      <w:lvlText w:val="(%4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A0E044">
      <w:start w:val="1"/>
      <w:numFmt w:val="decimal"/>
      <w:lvlText w:val="(%5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2F2B8">
      <w:start w:val="1"/>
      <w:numFmt w:val="decimal"/>
      <w:lvlText w:val="(%6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408D16">
      <w:start w:val="1"/>
      <w:numFmt w:val="decimal"/>
      <w:lvlText w:val="(%7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41C22">
      <w:start w:val="1"/>
      <w:numFmt w:val="decimal"/>
      <w:lvlText w:val="(%8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6F2D8">
      <w:start w:val="1"/>
      <w:numFmt w:val="decimal"/>
      <w:lvlText w:val="(%9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5F700930"/>
    <w:multiLevelType w:val="hybridMultilevel"/>
    <w:tmpl w:val="43347B4A"/>
    <w:styleLink w:val="Stileimportato4"/>
    <w:lvl w:ilvl="0" w:tplc="62A26DC8">
      <w:start w:val="1"/>
      <w:numFmt w:val="decimal"/>
      <w:lvlText w:val="(%1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E2482">
      <w:start w:val="1"/>
      <w:numFmt w:val="lowerLetter"/>
      <w:lvlText w:val="(%2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45A00">
      <w:start w:val="1"/>
      <w:numFmt w:val="decimal"/>
      <w:lvlText w:val="(%3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8AD12">
      <w:start w:val="1"/>
      <w:numFmt w:val="lowerLetter"/>
      <w:lvlText w:val="(%4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07EC4">
      <w:start w:val="1"/>
      <w:numFmt w:val="decimal"/>
      <w:lvlText w:val="(%5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A2CD34">
      <w:start w:val="1"/>
      <w:numFmt w:val="lowerLetter"/>
      <w:lvlText w:val="(%6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0698A">
      <w:start w:val="1"/>
      <w:numFmt w:val="decimal"/>
      <w:lvlText w:val="(%7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89A60">
      <w:start w:val="1"/>
      <w:numFmt w:val="lowerLetter"/>
      <w:lvlText w:val="(%8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D676">
      <w:start w:val="1"/>
      <w:numFmt w:val="lowerLetter"/>
      <w:lvlText w:val="(%9)"/>
      <w:lvlJc w:val="left"/>
      <w:pPr>
        <w:ind w:left="311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4"/>
  </w:num>
  <w:num w:numId="5">
    <w:abstractNumId w:val="20"/>
  </w:num>
  <w:num w:numId="6">
    <w:abstractNumId w:val="25"/>
  </w:num>
  <w:num w:numId="7">
    <w:abstractNumId w:val="4"/>
  </w:num>
  <w:num w:numId="8">
    <w:abstractNumId w:val="3"/>
  </w:num>
  <w:num w:numId="9">
    <w:abstractNumId w:val="26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3"/>
    <w:lvlOverride w:ilvl="0">
      <w:startOverride w:val="1"/>
    </w:lvlOverride>
  </w:num>
  <w:num w:numId="18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23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6"/>
  </w:num>
  <w:num w:numId="27">
    <w:abstractNumId w:val="13"/>
  </w:num>
  <w:num w:numId="28">
    <w:abstractNumId w:val="17"/>
  </w:num>
  <w:num w:numId="29">
    <w:abstractNumId w:val="18"/>
  </w:num>
  <w:num w:numId="30">
    <w:abstractNumId w:val="8"/>
  </w:num>
  <w:num w:numId="31">
    <w:abstractNumId w:val="16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7-24 15:28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040CCEF7B134AE280855A22DA97BD76"/>
    <w:docVar w:name="LW_CROSSREFERENCE" w:val="&lt;UNUSED&gt;"/>
    <w:docVar w:name="LW_DocType" w:val="COM"/>
    <w:docVar w:name="LW_EMISSION" w:val="28.7.2017"/>
    <w:docVar w:name="LW_EMISSION_ISODATE" w:val="2017-07-28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63"/>
    <w:docVar w:name="LW_REF.II.NEW.CP_YEAR" w:val="2017"/>
    <w:docVar w:name="LW_REF.INST.NEW" w:val="COM"/>
    <w:docVar w:name="LW_REF.INST.NEW_ADOPTED" w:val="final"/>
    <w:docVar w:name="LW_REF.INST.NEW_TEXT" w:val="(2017) 38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\u8470? 1295/2013 \u1079?\u1072? \u1089?\u1098?\u1079?\u1076?\u1072?\u1074?\u1072?\u1085?\u1077? \u1085?\u1072? \u1087?\u1088?\u1086?\u1075?\u1088?\u1072?\u1084?\u1072? \u8222?\u1058?\u1074?\u1086?\u1088?\u1095?\u1077?\u1089?\u1082?\u1072? \u1045?\u1074?\u1088?\u1086?\u1087?\u1072?\u8220? (2014\u8212?2020 \u1075?.) 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uiPriority w:val="99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uiPriority w:val="99"/>
    <w:pPr>
      <w:numPr>
        <w:numId w:val="6"/>
      </w:numPr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ret10">
    <w:name w:val="tiret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Pr>
      <w:color w:val="0000FF"/>
      <w:u w:val="single" w:color="0000FF"/>
      <w:lang w:val="bg-BG"/>
    </w:rPr>
  </w:style>
  <w:style w:type="numbering" w:customStyle="1" w:styleId="Stileimportato2">
    <w:name w:val="Stile importato 2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ind w:left="720"/>
      <w:contextualSpacing/>
      <w:jc w:val="left"/>
    </w:pPr>
    <w:rPr>
      <w:rFonts w:eastAsia="Arial Unicode MS"/>
      <w:szCs w:val="24"/>
      <w:bdr w:val="nil"/>
    </w:rPr>
  </w:style>
  <w:style w:type="numbering" w:customStyle="1" w:styleId="Stileimportato4">
    <w:name w:val="Stile importato 4"/>
    <w:pPr>
      <w:numPr>
        <w:numId w:val="14"/>
      </w:numPr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uiPriority w:val="99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uiPriority w:val="99"/>
    <w:pPr>
      <w:numPr>
        <w:numId w:val="6"/>
      </w:numPr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ret10">
    <w:name w:val="tiret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Pr>
      <w:color w:val="0000FF"/>
      <w:u w:val="single" w:color="0000FF"/>
      <w:lang w:val="bg-BG"/>
    </w:rPr>
  </w:style>
  <w:style w:type="numbering" w:customStyle="1" w:styleId="Stileimportato2">
    <w:name w:val="Stile importato 2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ind w:left="720"/>
      <w:contextualSpacing/>
      <w:jc w:val="left"/>
    </w:pPr>
    <w:rPr>
      <w:rFonts w:eastAsia="Arial Unicode MS"/>
      <w:szCs w:val="24"/>
      <w:bdr w:val="nil"/>
    </w:rPr>
  </w:style>
  <w:style w:type="numbering" w:customStyle="1" w:styleId="Stileimportato4">
    <w:name w:val="Stile importato 4"/>
    <w:pPr>
      <w:numPr>
        <w:numId w:val="14"/>
      </w:numPr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bg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E4EA-3005-4653-9EC7-60AB8C0B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24</Pages>
  <Words>4042</Words>
  <Characters>24094</Characters>
  <Application>Microsoft Office Word</Application>
  <DocSecurity>0</DocSecurity>
  <Lines>1268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2017-05-29T08:18:00Z</cp:lastPrinted>
  <dcterms:created xsi:type="dcterms:W3CDTF">2017-07-19T10:09:00Z</dcterms:created>
  <dcterms:modified xsi:type="dcterms:W3CDTF">2017-07-24T13:28:00Z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