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01D3645786D469DA156751F28F75D9C" style="width:450.8pt;height:338.4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Съгласно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2"/>
      </w:r>
      <w:r>
        <w:rPr>
          <w:noProof/>
        </w:rPr>
        <w:t xml:space="preserve"> (наричан по-нататък „Регламента за МФР“) се допуска мобилизирането на средства по линия на Инструмента за гъвкавост за финансирането на ясно определени разходи, които не могат да се финансират в рамките на наличните тавани за една или повече функции от многогодишната финансова рамка. </w:t>
      </w:r>
    </w:p>
    <w:p>
      <w:pPr>
        <w:rPr>
          <w:noProof/>
        </w:rPr>
      </w:pPr>
      <w:r>
        <w:rPr>
          <w:noProof/>
        </w:rPr>
        <w:t>В съответствие с член 11 от Регламента за МФР и точка 12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
      </w:r>
      <w:r>
        <w:rPr>
          <w:noProof/>
        </w:rPr>
        <w:t xml:space="preserve">, след като разгледа всички възможности за преразпределяне на бюджетни кредити и изчерпа неразпределения марж по разходна функция „Глобална Европа“ (функция 4), Комисията предлага през 2017 г. да бъде мобилизиран Инструментът за гъвкавост за сума в размер на 275 милиона евро. </w:t>
      </w:r>
    </w:p>
    <w:p>
      <w:pPr>
        <w:rPr>
          <w:noProof/>
        </w:rPr>
      </w:pPr>
      <w:r>
        <w:rPr>
          <w:noProof/>
        </w:rPr>
        <w:t>Наличността по Инструмента за гъвкавост</w:t>
      </w:r>
      <w:r>
        <w:rPr>
          <w:rStyle w:val="FootnoteReference"/>
          <w:noProof/>
        </w:rPr>
        <w:footnoteReference w:id="4"/>
      </w:r>
      <w:r>
        <w:rPr>
          <w:noProof/>
        </w:rPr>
        <w:t xml:space="preserve"> е, както следва: налични годишни средства в размер на 600 милиона евро (по цени от 2011 г.), които съответстват на 676 милиона евро по текущи цени, увеличени със суми от фонд „Солидарност“ на Европейския съюз и Европейския фонд за приспособяване към глобализацията, които суми не могат да се прехвърлят за следваща година (освободената сума в края на 2016 г. възлизаше на 646 милиона евро). Като се вземе предвид мобилизирането на 530 милиона евро в рамките на бюджета за 2017 г. за финансиране на незабавни бюджетни мерки за справяне с продължаващата криза с миграцията, бежанците и сигурността</w:t>
      </w:r>
      <w:r>
        <w:rPr>
          <w:rStyle w:val="FootnoteReference"/>
          <w:noProof/>
        </w:rPr>
        <w:footnoteReference w:id="5"/>
      </w:r>
      <w:r>
        <w:rPr>
          <w:noProof/>
        </w:rPr>
        <w:t>, като цяло наличността по Инструмента за гъвкавост през 2017 г. е 792 милиона евро.</w:t>
      </w:r>
    </w:p>
    <w:p>
      <w:pPr>
        <w:rPr>
          <w:noProof/>
        </w:rPr>
      </w:pPr>
      <w:r>
        <w:rPr>
          <w:noProof/>
        </w:rPr>
        <w:t xml:space="preserve">Това мобилизиране се отнася за сума в размер на 275 милиона евро над тавана по функция 4 от многогодишната финансова рамка и е предназначено за финансиране на захранването със средства на Европейския фонд за устойчиво развитие (ЕФУР) през 2017 г. </w:t>
      </w:r>
    </w:p>
    <w:p>
      <w:pPr>
        <w:rPr>
          <w:noProof/>
        </w:rPr>
      </w:pPr>
      <w:r>
        <w:rPr>
          <w:noProof/>
        </w:rPr>
        <w:t>Индикативните бюджетни кредити за плащания, съответстващи на предлаганото мобилизиране на Инструмента за гъвкавост, са представени в таблицата по-долу:</w:t>
      </w:r>
    </w:p>
    <w:p>
      <w:pPr>
        <w:ind w:left="5040" w:firstLine="720"/>
        <w:jc w:val="left"/>
        <w:rPr>
          <w:noProof/>
        </w:rPr>
      </w:pPr>
      <w:r>
        <w:rPr>
          <w:i/>
          <w:noProof/>
          <w:sz w:val="16"/>
        </w:rPr>
        <w:t>(в милиони евро по текущи цени)</w:t>
      </w:r>
    </w:p>
    <w:tbl>
      <w:tblPr>
        <w:tblW w:w="7164"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rPr>
              <w:t>Година</w:t>
            </w:r>
          </w:p>
        </w:tc>
        <w:tc>
          <w:tcPr>
            <w:tcW w:w="5604" w:type="dxa"/>
            <w:shd w:val="clear" w:color="auto" w:fill="D9D9D9"/>
          </w:tcPr>
          <w:p>
            <w:pPr>
              <w:spacing w:before="30" w:after="30"/>
              <w:jc w:val="center"/>
              <w:rPr>
                <w:b/>
                <w:noProof/>
                <w:sz w:val="16"/>
                <w:szCs w:val="16"/>
              </w:rPr>
            </w:pPr>
            <w:r>
              <w:rPr>
                <w:b/>
                <w:noProof/>
                <w:sz w:val="16"/>
              </w:rPr>
              <w:t>Бюджетни кредити за плащания във връзка с мобилизирането на Инструмента за гъвкавост за мерки за захранване със средства на Европейския фонд за устойчиво развитие (ЕФУР) през 2017 г.</w:t>
            </w:r>
          </w:p>
        </w:tc>
      </w:tr>
      <w:tr>
        <w:trPr>
          <w:jc w:val="center"/>
        </w:trPr>
        <w:tc>
          <w:tcPr>
            <w:tcW w:w="1560" w:type="dxa"/>
            <w:shd w:val="clear" w:color="auto" w:fill="auto"/>
          </w:tcPr>
          <w:p>
            <w:pPr>
              <w:spacing w:before="30" w:after="30"/>
              <w:jc w:val="center"/>
              <w:rPr>
                <w:noProof/>
                <w:sz w:val="16"/>
                <w:szCs w:val="16"/>
              </w:rPr>
            </w:pPr>
            <w:r>
              <w:rPr>
                <w:noProof/>
                <w:sz w:val="16"/>
              </w:rPr>
              <w:t>2017 г.</w:t>
            </w:r>
          </w:p>
        </w:tc>
        <w:tc>
          <w:tcPr>
            <w:tcW w:w="5604" w:type="dxa"/>
            <w:shd w:val="clear" w:color="auto" w:fill="auto"/>
          </w:tcPr>
          <w:p>
            <w:pPr>
              <w:spacing w:before="30" w:after="30"/>
              <w:jc w:val="right"/>
              <w:rPr>
                <w:noProof/>
                <w:sz w:val="16"/>
                <w:szCs w:val="16"/>
              </w:rPr>
            </w:pPr>
            <w:r>
              <w:rPr>
                <w:noProof/>
                <w:sz w:val="16"/>
              </w:rPr>
              <w:t>275,0</w:t>
            </w:r>
          </w:p>
        </w:tc>
      </w:tr>
      <w:tr>
        <w:trPr>
          <w:jc w:val="center"/>
        </w:trPr>
        <w:tc>
          <w:tcPr>
            <w:tcW w:w="1560" w:type="dxa"/>
            <w:shd w:val="clear" w:color="auto" w:fill="D9D9D9"/>
          </w:tcPr>
          <w:p>
            <w:pPr>
              <w:spacing w:before="30" w:after="30"/>
              <w:jc w:val="right"/>
              <w:rPr>
                <w:b/>
                <w:noProof/>
                <w:sz w:val="16"/>
                <w:szCs w:val="16"/>
              </w:rPr>
            </w:pPr>
            <w:r>
              <w:rPr>
                <w:b/>
                <w:noProof/>
                <w:sz w:val="16"/>
              </w:rPr>
              <w:t>Общо</w:t>
            </w:r>
          </w:p>
        </w:tc>
        <w:tc>
          <w:tcPr>
            <w:tcW w:w="5604" w:type="dxa"/>
            <w:shd w:val="clear" w:color="auto" w:fill="D9D9D9"/>
          </w:tcPr>
          <w:p>
            <w:pPr>
              <w:spacing w:before="30" w:after="30"/>
              <w:jc w:val="right"/>
              <w:rPr>
                <w:b/>
                <w:noProof/>
                <w:sz w:val="16"/>
                <w:szCs w:val="16"/>
              </w:rPr>
            </w:pPr>
            <w:r>
              <w:rPr>
                <w:b/>
                <w:noProof/>
                <w:sz w:val="16"/>
              </w:rPr>
              <w:t>275,0</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Инструмента за гъвкавост за предоставяне на финансиране за Европейския фонд за устойчиво развитие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6"/>
      </w:r>
      <w:r>
        <w:rPr>
          <w:noProof/>
        </w:rPr>
        <w:t>, и по-специално точка 12 от него,</w:t>
      </w:r>
    </w:p>
    <w:p>
      <w:pPr>
        <w:rPr>
          <w:noProof/>
        </w:rPr>
      </w:pPr>
      <w:r>
        <w:rPr>
          <w:noProof/>
        </w:rPr>
        <w:t>като взеха предвид предложението на Европейската комисия,</w:t>
      </w:r>
    </w:p>
    <w:p>
      <w:pPr>
        <w:rPr>
          <w:noProof/>
        </w:rPr>
      </w:pPr>
      <w:r>
        <w:rPr>
          <w:noProof/>
        </w:rPr>
        <w:t xml:space="preserve">като имат предвид, че: </w:t>
      </w:r>
    </w:p>
    <w:p>
      <w:pPr>
        <w:pStyle w:val="Point0number"/>
        <w:numPr>
          <w:ilvl w:val="0"/>
          <w:numId w:val="1"/>
        </w:numPr>
        <w:spacing w:before="0" w:after="0"/>
        <w:rPr>
          <w:noProof/>
        </w:rPr>
      </w:pPr>
      <w:r>
        <w:rPr>
          <w:noProof/>
        </w:rPr>
        <w:t>Инструментът за гъвкавост е предназначен да осигурява финансирането на ясно определени разходи, които не могат да се финансират в рамките на наличните тавани за една или повече функции.</w:t>
      </w:r>
    </w:p>
    <w:p>
      <w:pPr>
        <w:pStyle w:val="Point0number"/>
        <w:rPr>
          <w:noProof/>
        </w:rPr>
      </w:pPr>
      <w:r>
        <w:rPr>
          <w:noProof/>
        </w:rPr>
        <w:t>Таванът на годишната сума, предоставена за Инструмента за гъвкавост, е в размер на 600 милиона евро (по цени от 2011 г.), както е посочено в член 11 от Регламент (ЕС, ЕВРАТОМ) № 1311/2013 на Съвета</w:t>
      </w:r>
      <w:r>
        <w:rPr>
          <w:rStyle w:val="FootnoteReference"/>
          <w:noProof/>
        </w:rPr>
        <w:footnoteReference w:id="7"/>
      </w:r>
      <w:r>
        <w:rPr>
          <w:noProof/>
        </w:rPr>
        <w:t xml:space="preserve">. </w:t>
      </w:r>
    </w:p>
    <w:p>
      <w:pPr>
        <w:pStyle w:val="Point0number"/>
        <w:rPr>
          <w:noProof/>
        </w:rPr>
      </w:pPr>
      <w:r>
        <w:rPr>
          <w:noProof/>
        </w:rPr>
        <w:t>За справяне с текущите предизвикателства на миграцията, притоците на бежанци и заплахите за сигурността е необходимо да се мобилизират значителни по размер допълнителни суми с цел спешно финансиране на подходящи мерки.</w:t>
      </w:r>
    </w:p>
    <w:p>
      <w:pPr>
        <w:pStyle w:val="Point0number"/>
        <w:rPr>
          <w:noProof/>
        </w:rPr>
      </w:pPr>
      <w:r>
        <w:rPr>
          <w:noProof/>
        </w:rPr>
        <w:t xml:space="preserve">След като бяха разгледани всички възможности за преразпределяне на бюджетни кредити под тавана за разходите по функция 4 („Глобална Европа“), е необходимо да бъде мобилизиран Инструментът за гъвкавост, за да се допълнят финансовите средства, предвидени в общия бюджет на Съюза за 2017 финансова година, над тавана по функция 4 със сумата от 275 000 000 EUR за предоставяне на финансиране за Европейския фонд за устойчиво развитие (ЕФУР). Тази сума включва освободени суми от предишни години от фонд „Солидарност“ на Европейския съюз и от Европейския фонд за приспособяване към глобализацията в съответствие с член 11, параграф 1 от Регламент (ЕС, Евратом) № 1311/2013. </w:t>
      </w:r>
    </w:p>
    <w:p>
      <w:pPr>
        <w:pStyle w:val="Point0number"/>
        <w:rPr>
          <w:noProof/>
        </w:rPr>
      </w:pPr>
      <w:r>
        <w:rPr>
          <w:noProof/>
        </w:rPr>
        <w:t>Въз основа на очаквания профил на плащанията бюджетните кредити за плащания, съответстващи на мобилизираните средства по линия на Инструмента за гъвкавост, следва да бъдат заделени само за 2017 г.,</w:t>
      </w:r>
    </w:p>
    <w:p>
      <w:pPr>
        <w:pStyle w:val="Formuledadoption"/>
        <w:rPr>
          <w:noProof/>
        </w:rPr>
      </w:pPr>
      <w:r>
        <w:rPr>
          <w:noProof/>
        </w:rPr>
        <w:t>ПРИЕХА НАСТОЯЩОТО РЕШЕНИЕ:</w:t>
      </w:r>
    </w:p>
    <w:p>
      <w:pPr>
        <w:pStyle w:val="Titrearticle"/>
        <w:rPr>
          <w:noProof/>
        </w:rPr>
      </w:pPr>
      <w:r>
        <w:rPr>
          <w:noProof/>
        </w:rPr>
        <w:t>Член 1</w:t>
      </w:r>
    </w:p>
    <w:p>
      <w:pPr>
        <w:pStyle w:val="ManualNumPar1"/>
        <w:ind w:left="0" w:firstLine="0"/>
        <w:rPr>
          <w:noProof/>
        </w:rPr>
      </w:pPr>
      <w:r>
        <w:rPr>
          <w:noProof/>
        </w:rPr>
        <w:t>Инструментът за гъвкавост се мобилизира за осигуряване на сума в размер на 275 000 000 EUR под формата на бюджетни кредити за поети задължения и бюджетни кредити за плащания по функция 4 („Глобална Европа“) в рамките на общия бюджет на Съюза за 2017 финансова година.</w:t>
      </w:r>
    </w:p>
    <w:p>
      <w:pPr>
        <w:rPr>
          <w:noProof/>
        </w:rPr>
      </w:pPr>
      <w:r>
        <w:rPr>
          <w:noProof/>
        </w:rPr>
        <w:t>Сумата, посочена в първия параграф, се използва за захранване със средства на Гаранционния фонд на Европейския фонд за устойчиво развитие.</w:t>
      </w:r>
    </w:p>
    <w:p>
      <w:pPr>
        <w:pStyle w:val="Titrearticle"/>
        <w:rPr>
          <w:noProof/>
        </w:rPr>
      </w:pPr>
      <w:r>
        <w:rPr>
          <w:noProof/>
        </w:rPr>
        <w:t>Член 2</w:t>
      </w:r>
    </w:p>
    <w:p>
      <w:pPr>
        <w:rPr>
          <w:i/>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pPr>
        <w:rPr>
          <w:i/>
          <w:noProof/>
        </w:rPr>
      </w:pP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347, 20.12.2013 г., стр. 884.</w:t>
      </w:r>
    </w:p>
  </w:footnote>
  <w:footnote w:id="3">
    <w:p>
      <w:pPr>
        <w:pStyle w:val="FootnoteText"/>
      </w:pPr>
      <w:r>
        <w:rPr>
          <w:rStyle w:val="FootnoteReference"/>
        </w:rPr>
        <w:footnoteRef/>
      </w:r>
      <w:r>
        <w:tab/>
        <w:t>ОВ C 373, 20.12.2013 г., стр. 1.</w:t>
      </w:r>
    </w:p>
  </w:footnote>
  <w:footnote w:id="4">
    <w:p>
      <w:pPr>
        <w:pStyle w:val="FootnoteText"/>
      </w:pPr>
      <w:r>
        <w:rPr>
          <w:rStyle w:val="FootnoteReference"/>
        </w:rPr>
        <w:footnoteRef/>
      </w:r>
      <w:r>
        <w:tab/>
        <w:t>Тези изчисления не засягат изменението на Съобщението на Комисията до Съвета и Европейския парламент „Техническа корекция на финансовата рамка за 2018 г. в съответствие с промените в БНД (ЕСС 2010)“ (COM(2017)220), което следва да отчете увеличението на наличните средства за Инструмента за гъвкавост след влизането в сила на Регламент (ЕС) 2017/1123.</w:t>
      </w:r>
    </w:p>
  </w:footnote>
  <w:footnote w:id="5">
    <w:p>
      <w:pPr>
        <w:pStyle w:val="FootnoteText"/>
      </w:pPr>
      <w:r>
        <w:rPr>
          <w:rStyle w:val="FootnoteReference"/>
        </w:rPr>
        <w:footnoteRef/>
      </w:r>
      <w:r>
        <w:tab/>
        <w:t>ОВ L 50, 28.2.2017 г., стр. 53.</w:t>
      </w:r>
    </w:p>
  </w:footnote>
  <w:footnote w:id="6">
    <w:p>
      <w:pPr>
        <w:pStyle w:val="FootnoteText"/>
      </w:pPr>
      <w:r>
        <w:rPr>
          <w:rStyle w:val="FootnoteReference"/>
        </w:rPr>
        <w:footnoteRef/>
      </w:r>
      <w:r>
        <w:tab/>
        <w:t>ОВ C 373, 20.12.2013 г., стр. 1.</w:t>
      </w:r>
    </w:p>
  </w:footnote>
  <w:footnote w:id="7">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3094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1847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32E3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14E0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6E86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B011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9C7FF4"/>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EFC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1 12:13: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01D3645786D469DA156751F28F75D9C"/>
    <w:docVar w:name="LW_CROSSREFERENCE" w:val="&lt;UNUSED&gt;"/>
    <w:docVar w:name="LW_DocType" w:val="COM"/>
    <w:docVar w:name="LW_EMISSION" w:val="28.7.2017"/>
    <w:docVar w:name="LW_EMISSION_ISODATE" w:val="2017-07-28"/>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8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48?\u1085?\u1089?\u1090?\u1088?\u1091?\u1084?\u1077?\u1085?\u1090?\u1072? \u1079?\u1072? \u1075?\u1098?\u1074?\u1082?\u1072?\u1074?\u1086?\u1089?\u1090? \u1079?\u1072? \u1087?\u1088?\u1077?\u1076?\u1086?\u1089?\u1090?\u1072?\u1074?\u1103?\u1085?\u1077? \u1085?\u1072? \u1092?\u1080?\u1085?\u1072?\u1085?\u1089?\u1080?\u1088?\u1072?\u1085?\u1077? \u1079?\u1072? \u1045?\u1074?\u1088?\u1086?\u1087?\u1077?\u1081?\u1089?\u1082?\u1080?\u1103? \u1092?\u1086?\u1085?\u1076? \u1079?\u1072? \u1091?\u1089?\u1090?\u1086?\u1081?\u1095?\u1080?\u1074?\u1086? \u1088?\u1072?\u1079?\u1074?\u1080?\u1090?\u1080?\u1077?"/>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doc-ti2">
    <w:name w:val="doc-ti2"/>
    <w:basedOn w:val="Normal"/>
    <w:pPr>
      <w:spacing w:before="240" w:line="312" w:lineRule="atLeast"/>
      <w:jc w:val="center"/>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doc-ti2">
    <w:name w:val="doc-ti2"/>
    <w:basedOn w:val="Normal"/>
    <w:pPr>
      <w:spacing w:before="240" w:line="312" w:lineRule="atLeast"/>
      <w:jc w:val="center"/>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4804">
      <w:bodyDiv w:val="1"/>
      <w:marLeft w:val="0"/>
      <w:marRight w:val="0"/>
      <w:marTop w:val="0"/>
      <w:marBottom w:val="0"/>
      <w:divBdr>
        <w:top w:val="none" w:sz="0" w:space="0" w:color="auto"/>
        <w:left w:val="none" w:sz="0" w:space="0" w:color="auto"/>
        <w:bottom w:val="none" w:sz="0" w:space="0" w:color="auto"/>
        <w:right w:val="none" w:sz="0" w:space="0" w:color="auto"/>
      </w:divBdr>
      <w:divsChild>
        <w:div w:id="1128622069">
          <w:marLeft w:val="0"/>
          <w:marRight w:val="0"/>
          <w:marTop w:val="0"/>
          <w:marBottom w:val="0"/>
          <w:divBdr>
            <w:top w:val="none" w:sz="0" w:space="0" w:color="auto"/>
            <w:left w:val="none" w:sz="0" w:space="0" w:color="auto"/>
            <w:bottom w:val="none" w:sz="0" w:space="0" w:color="auto"/>
            <w:right w:val="none" w:sz="0" w:space="0" w:color="auto"/>
          </w:divBdr>
          <w:divsChild>
            <w:div w:id="226188426">
              <w:marLeft w:val="0"/>
              <w:marRight w:val="0"/>
              <w:marTop w:val="0"/>
              <w:marBottom w:val="0"/>
              <w:divBdr>
                <w:top w:val="none" w:sz="0" w:space="0" w:color="auto"/>
                <w:left w:val="none" w:sz="0" w:space="0" w:color="auto"/>
                <w:bottom w:val="none" w:sz="0" w:space="0" w:color="auto"/>
                <w:right w:val="none" w:sz="0" w:space="0" w:color="auto"/>
              </w:divBdr>
              <w:divsChild>
                <w:div w:id="1935895580">
                  <w:marLeft w:val="0"/>
                  <w:marRight w:val="0"/>
                  <w:marTop w:val="0"/>
                  <w:marBottom w:val="0"/>
                  <w:divBdr>
                    <w:top w:val="none" w:sz="0" w:space="0" w:color="auto"/>
                    <w:left w:val="none" w:sz="0" w:space="0" w:color="auto"/>
                    <w:bottom w:val="none" w:sz="0" w:space="0" w:color="auto"/>
                    <w:right w:val="none" w:sz="0" w:space="0" w:color="auto"/>
                  </w:divBdr>
                  <w:divsChild>
                    <w:div w:id="563881719">
                      <w:marLeft w:val="1"/>
                      <w:marRight w:val="1"/>
                      <w:marTop w:val="0"/>
                      <w:marBottom w:val="0"/>
                      <w:divBdr>
                        <w:top w:val="none" w:sz="0" w:space="0" w:color="auto"/>
                        <w:left w:val="none" w:sz="0" w:space="0" w:color="auto"/>
                        <w:bottom w:val="none" w:sz="0" w:space="0" w:color="auto"/>
                        <w:right w:val="none" w:sz="0" w:space="0" w:color="auto"/>
                      </w:divBdr>
                      <w:divsChild>
                        <w:div w:id="198322820">
                          <w:marLeft w:val="0"/>
                          <w:marRight w:val="0"/>
                          <w:marTop w:val="0"/>
                          <w:marBottom w:val="0"/>
                          <w:divBdr>
                            <w:top w:val="none" w:sz="0" w:space="0" w:color="auto"/>
                            <w:left w:val="none" w:sz="0" w:space="0" w:color="auto"/>
                            <w:bottom w:val="none" w:sz="0" w:space="0" w:color="auto"/>
                            <w:right w:val="none" w:sz="0" w:space="0" w:color="auto"/>
                          </w:divBdr>
                          <w:divsChild>
                            <w:div w:id="929314697">
                              <w:marLeft w:val="0"/>
                              <w:marRight w:val="0"/>
                              <w:marTop w:val="0"/>
                              <w:marBottom w:val="360"/>
                              <w:divBdr>
                                <w:top w:val="none" w:sz="0" w:space="0" w:color="auto"/>
                                <w:left w:val="none" w:sz="0" w:space="0" w:color="auto"/>
                                <w:bottom w:val="none" w:sz="0" w:space="0" w:color="auto"/>
                                <w:right w:val="none" w:sz="0" w:space="0" w:color="auto"/>
                              </w:divBdr>
                              <w:divsChild>
                                <w:div w:id="376974370">
                                  <w:marLeft w:val="0"/>
                                  <w:marRight w:val="0"/>
                                  <w:marTop w:val="0"/>
                                  <w:marBottom w:val="0"/>
                                  <w:divBdr>
                                    <w:top w:val="none" w:sz="0" w:space="0" w:color="auto"/>
                                    <w:left w:val="none" w:sz="0" w:space="0" w:color="auto"/>
                                    <w:bottom w:val="none" w:sz="0" w:space="0" w:color="auto"/>
                                    <w:right w:val="none" w:sz="0" w:space="0" w:color="auto"/>
                                  </w:divBdr>
                                  <w:divsChild>
                                    <w:div w:id="1881091169">
                                      <w:marLeft w:val="0"/>
                                      <w:marRight w:val="0"/>
                                      <w:marTop w:val="0"/>
                                      <w:marBottom w:val="0"/>
                                      <w:divBdr>
                                        <w:top w:val="none" w:sz="0" w:space="0" w:color="auto"/>
                                        <w:left w:val="none" w:sz="0" w:space="0" w:color="auto"/>
                                        <w:bottom w:val="none" w:sz="0" w:space="0" w:color="auto"/>
                                        <w:right w:val="none" w:sz="0" w:space="0" w:color="auto"/>
                                      </w:divBdr>
                                      <w:divsChild>
                                        <w:div w:id="429660878">
                                          <w:marLeft w:val="0"/>
                                          <w:marRight w:val="0"/>
                                          <w:marTop w:val="0"/>
                                          <w:marBottom w:val="0"/>
                                          <w:divBdr>
                                            <w:top w:val="none" w:sz="0" w:space="0" w:color="auto"/>
                                            <w:left w:val="none" w:sz="0" w:space="0" w:color="auto"/>
                                            <w:bottom w:val="none" w:sz="0" w:space="0" w:color="auto"/>
                                            <w:right w:val="none" w:sz="0" w:space="0" w:color="auto"/>
                                          </w:divBdr>
                                          <w:divsChild>
                                            <w:div w:id="26029600">
                                              <w:marLeft w:val="0"/>
                                              <w:marRight w:val="0"/>
                                              <w:marTop w:val="0"/>
                                              <w:marBottom w:val="0"/>
                                              <w:divBdr>
                                                <w:top w:val="none" w:sz="0" w:space="0" w:color="auto"/>
                                                <w:left w:val="none" w:sz="0" w:space="0" w:color="auto"/>
                                                <w:bottom w:val="none" w:sz="0" w:space="0" w:color="auto"/>
                                                <w:right w:val="none" w:sz="0" w:space="0" w:color="auto"/>
                                              </w:divBdr>
                                              <w:divsChild>
                                                <w:div w:id="7523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312360">
      <w:bodyDiv w:val="1"/>
      <w:marLeft w:val="0"/>
      <w:marRight w:val="0"/>
      <w:marTop w:val="0"/>
      <w:marBottom w:val="0"/>
      <w:divBdr>
        <w:top w:val="none" w:sz="0" w:space="0" w:color="auto"/>
        <w:left w:val="none" w:sz="0" w:space="0" w:color="auto"/>
        <w:bottom w:val="none" w:sz="0" w:space="0" w:color="auto"/>
        <w:right w:val="none" w:sz="0" w:space="0" w:color="auto"/>
      </w:divBdr>
      <w:divsChild>
        <w:div w:id="327448064">
          <w:marLeft w:val="0"/>
          <w:marRight w:val="0"/>
          <w:marTop w:val="0"/>
          <w:marBottom w:val="0"/>
          <w:divBdr>
            <w:top w:val="none" w:sz="0" w:space="0" w:color="auto"/>
            <w:left w:val="none" w:sz="0" w:space="0" w:color="auto"/>
            <w:bottom w:val="none" w:sz="0" w:space="0" w:color="auto"/>
            <w:right w:val="none" w:sz="0" w:space="0" w:color="auto"/>
          </w:divBdr>
          <w:divsChild>
            <w:div w:id="1347708255">
              <w:marLeft w:val="0"/>
              <w:marRight w:val="0"/>
              <w:marTop w:val="0"/>
              <w:marBottom w:val="0"/>
              <w:divBdr>
                <w:top w:val="none" w:sz="0" w:space="0" w:color="auto"/>
                <w:left w:val="none" w:sz="0" w:space="0" w:color="auto"/>
                <w:bottom w:val="none" w:sz="0" w:space="0" w:color="auto"/>
                <w:right w:val="none" w:sz="0" w:space="0" w:color="auto"/>
              </w:divBdr>
              <w:divsChild>
                <w:div w:id="366948254">
                  <w:marLeft w:val="0"/>
                  <w:marRight w:val="0"/>
                  <w:marTop w:val="0"/>
                  <w:marBottom w:val="0"/>
                  <w:divBdr>
                    <w:top w:val="none" w:sz="0" w:space="0" w:color="auto"/>
                    <w:left w:val="none" w:sz="0" w:space="0" w:color="auto"/>
                    <w:bottom w:val="none" w:sz="0" w:space="0" w:color="auto"/>
                    <w:right w:val="none" w:sz="0" w:space="0" w:color="auto"/>
                  </w:divBdr>
                  <w:divsChild>
                    <w:div w:id="1198811354">
                      <w:marLeft w:val="1"/>
                      <w:marRight w:val="1"/>
                      <w:marTop w:val="0"/>
                      <w:marBottom w:val="0"/>
                      <w:divBdr>
                        <w:top w:val="none" w:sz="0" w:space="0" w:color="auto"/>
                        <w:left w:val="none" w:sz="0" w:space="0" w:color="auto"/>
                        <w:bottom w:val="none" w:sz="0" w:space="0" w:color="auto"/>
                        <w:right w:val="none" w:sz="0" w:space="0" w:color="auto"/>
                      </w:divBdr>
                      <w:divsChild>
                        <w:div w:id="516697460">
                          <w:marLeft w:val="0"/>
                          <w:marRight w:val="0"/>
                          <w:marTop w:val="0"/>
                          <w:marBottom w:val="0"/>
                          <w:divBdr>
                            <w:top w:val="none" w:sz="0" w:space="0" w:color="auto"/>
                            <w:left w:val="none" w:sz="0" w:space="0" w:color="auto"/>
                            <w:bottom w:val="none" w:sz="0" w:space="0" w:color="auto"/>
                            <w:right w:val="none" w:sz="0" w:space="0" w:color="auto"/>
                          </w:divBdr>
                          <w:divsChild>
                            <w:div w:id="1620406027">
                              <w:marLeft w:val="0"/>
                              <w:marRight w:val="0"/>
                              <w:marTop w:val="0"/>
                              <w:marBottom w:val="360"/>
                              <w:divBdr>
                                <w:top w:val="none" w:sz="0" w:space="0" w:color="auto"/>
                                <w:left w:val="none" w:sz="0" w:space="0" w:color="auto"/>
                                <w:bottom w:val="none" w:sz="0" w:space="0" w:color="auto"/>
                                <w:right w:val="none" w:sz="0" w:space="0" w:color="auto"/>
                              </w:divBdr>
                              <w:divsChild>
                                <w:div w:id="897207180">
                                  <w:marLeft w:val="0"/>
                                  <w:marRight w:val="0"/>
                                  <w:marTop w:val="0"/>
                                  <w:marBottom w:val="0"/>
                                  <w:divBdr>
                                    <w:top w:val="none" w:sz="0" w:space="0" w:color="auto"/>
                                    <w:left w:val="none" w:sz="0" w:space="0" w:color="auto"/>
                                    <w:bottom w:val="none" w:sz="0" w:space="0" w:color="auto"/>
                                    <w:right w:val="none" w:sz="0" w:space="0" w:color="auto"/>
                                  </w:divBdr>
                                  <w:divsChild>
                                    <w:div w:id="1283610665">
                                      <w:marLeft w:val="0"/>
                                      <w:marRight w:val="0"/>
                                      <w:marTop w:val="0"/>
                                      <w:marBottom w:val="0"/>
                                      <w:divBdr>
                                        <w:top w:val="none" w:sz="0" w:space="0" w:color="auto"/>
                                        <w:left w:val="none" w:sz="0" w:space="0" w:color="auto"/>
                                        <w:bottom w:val="none" w:sz="0" w:space="0" w:color="auto"/>
                                        <w:right w:val="none" w:sz="0" w:space="0" w:color="auto"/>
                                      </w:divBdr>
                                      <w:divsChild>
                                        <w:div w:id="1380978965">
                                          <w:marLeft w:val="0"/>
                                          <w:marRight w:val="0"/>
                                          <w:marTop w:val="0"/>
                                          <w:marBottom w:val="0"/>
                                          <w:divBdr>
                                            <w:top w:val="none" w:sz="0" w:space="0" w:color="auto"/>
                                            <w:left w:val="none" w:sz="0" w:space="0" w:color="auto"/>
                                            <w:bottom w:val="none" w:sz="0" w:space="0" w:color="auto"/>
                                            <w:right w:val="none" w:sz="0" w:space="0" w:color="auto"/>
                                          </w:divBdr>
                                          <w:divsChild>
                                            <w:div w:id="1307857658">
                                              <w:marLeft w:val="0"/>
                                              <w:marRight w:val="0"/>
                                              <w:marTop w:val="0"/>
                                              <w:marBottom w:val="0"/>
                                              <w:divBdr>
                                                <w:top w:val="none" w:sz="0" w:space="0" w:color="auto"/>
                                                <w:left w:val="none" w:sz="0" w:space="0" w:color="auto"/>
                                                <w:bottom w:val="none" w:sz="0" w:space="0" w:color="auto"/>
                                                <w:right w:val="none" w:sz="0" w:space="0" w:color="auto"/>
                                              </w:divBdr>
                                              <w:divsChild>
                                                <w:div w:id="14800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4697-B936-499D-B765-E4EBE16E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777</Words>
  <Characters>4381</Characters>
  <Application>Microsoft Office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2017-07-17T07:05:00Z</cp:lastPrinted>
  <dcterms:created xsi:type="dcterms:W3CDTF">2017-07-28T15:34:00Z</dcterms:created>
  <dcterms:modified xsi:type="dcterms:W3CDTF">2017-08-01T10:13:00Z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