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784C15080D34AE7837FA68C26D35851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spacing w:line="276" w:lineRule="auto"/>
        <w:rPr>
          <w:noProof/>
        </w:rPr>
      </w:pPr>
      <w:r>
        <w:rPr>
          <w:noProof/>
        </w:rPr>
        <w:t>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наричано по-нататък „Споразумението“, беше подписано в Брюксел на 9 февруари 1995 г. и влезе в сила на 1 юли 1999 г.</w:t>
      </w:r>
    </w:p>
    <w:p>
      <w:pPr>
        <w:rPr>
          <w:noProof/>
        </w:rPr>
      </w:pPr>
      <w:r>
        <w:rPr>
          <w:noProof/>
          <w:color w:val="000000"/>
        </w:rPr>
        <w:t>Съгласно Акта за присъединяване на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spacing w:line="276" w:lineRule="auto"/>
        <w:rPr>
          <w:noProof/>
        </w:rPr>
      </w:pPr>
      <w:r>
        <w:rPr>
          <w:noProof/>
          <w:color w:val="000000"/>
        </w:rPr>
        <w:t>С Решение на Съвета от 14 септември 2012 г. на Комисията беше разрешено да започне преговори със съответните трети държави с цел да бъдат сключени съответните протоколи. Преговорите с Киргизката република приключиха успешно с размяната на вербални ноти.</w:t>
      </w:r>
    </w:p>
    <w:p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С предложения Протокол Република Хърватия става договаряща се страна по Споразумението, а Съюзът се задължава да предостави автентична версия на Споразумението на хърватски език.</w:t>
      </w:r>
    </w:p>
    <w:p>
      <w:pPr>
        <w:rPr>
          <w:noProof/>
        </w:rPr>
      </w:pPr>
      <w:r>
        <w:rPr>
          <w:noProof/>
        </w:rPr>
        <w:t>Комисията отправя искане към Съвета да сключи Протокола от името на Европейския съюз и неговите държави членки.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Европейският парламент ще бъде призован да даде своето съгласие по Протокола.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>
      <w:pPr>
        <w:pStyle w:val="Rfrenceinterinstitutionnelle"/>
        <w:rPr>
          <w:noProof/>
        </w:rPr>
      </w:pPr>
      <w:r>
        <w:rPr>
          <w:noProof/>
        </w:rPr>
        <w:t>2017/0185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сключване, от името на Европейския съюз и неговите държави членки,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 207 и 209 във връзка с член 218, параграф 6, буква а)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 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  <w:szCs w:val="20"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  <w:szCs w:val="20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…/…/ЕС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на .... [</w:t>
      </w:r>
      <w:r>
        <w:rPr>
          <w:i/>
          <w:noProof/>
        </w:rPr>
        <w:t>дата</w:t>
      </w:r>
      <w:r>
        <w:rPr>
          <w:noProof/>
        </w:rPr>
        <w:t xml:space="preserve">] беше подписан 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 („Протоколът“), при условие че бъде сключен на по-късна дата.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За сключването на Протокола се прилага отделна процедура по отношение на въпросите от компетентността на Европейската общност за атомна енергия.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szCs w:val="20"/>
        </w:rPr>
      </w:pPr>
      <w:r>
        <w:rPr>
          <w:noProof/>
        </w:rPr>
        <w:t>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съюз, се одобрява от името на Европейския съюз и неговите държави членки.</w:t>
      </w:r>
    </w:p>
    <w:p>
      <w:pPr>
        <w:rPr>
          <w:noProof/>
          <w:szCs w:val="20"/>
        </w:rPr>
      </w:pPr>
      <w:r>
        <w:rPr>
          <w:noProof/>
        </w:rPr>
        <w:t>Текстът на този протокол е приложен към настоящото решение.</w:t>
      </w:r>
    </w:p>
    <w:p>
      <w:pPr>
        <w:rPr>
          <w:noProof/>
          <w:szCs w:val="20"/>
        </w:rPr>
      </w:pP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 предвидена в член 4, параграф 1 от Протокола.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i/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.../.../ЕС на Съвета от ... г. за подписване, от името на Европейския съюз и неговите държави членки, и временно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Киргизката република, от друга страна, за да се вземе предвид присъединяването на Република Хърватия към Европейския съюз (ОВ L...).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89C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E1A58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A0C4C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DE1A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FAB3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480F1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9389E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8CA5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nsidérant" w:val="Considérant__1"/>
    <w:docVar w:name="COVERPAGE_EXISTS" w:val="True"/>
    <w:docVar w:name="DQCDateTime" w:val="2017-08-01 08:30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ist Bullet" w:val="List Bullet__1"/>
    <w:docVar w:name="List Bullet 2" w:val="List Bullet 2__1"/>
    <w:docVar w:name="List Bullet 3" w:val="List Bullet 3__1"/>
    <w:docVar w:name="List Number" w:val="List Number__1"/>
    <w:docVar w:name="List Number 2" w:val="List Number 2__1"/>
    <w:docVar w:name="List Number 3" w:val="List Number 3__1"/>
    <w:docVar w:name="List Number 4" w:val="List Number 4__1"/>
    <w:docVar w:name="LW_CONFIDENCE" w:val=" "/>
    <w:docVar w:name="LW_CONST_RESTREINT_UE" w:val="RESTREINT UE"/>
    <w:docVar w:name="LW_CORRIGENDUM" w:val="&lt;UNUSED&gt;"/>
    <w:docVar w:name="LW_COVERPAGE_GUID" w:val="9784C15080D34AE7837FA68C26D35851"/>
    <w:docVar w:name="LW_CROSSREFERENCE" w:val="&lt;UNUSED&gt;"/>
    <w:docVar w:name="LW_DocType" w:val="COM"/>
    <w:docVar w:name="LW_EMISSION" w:val="3.8.2017"/>
    <w:docVar w:name="LW_EMISSION_ISODATE" w:val="2017-08-03"/>
    <w:docVar w:name="LW_EMISSION_LOCATION" w:val="BRX"/>
    <w:docVar w:name="LW_EMISSION_PREFIX" w:val="Брюксел, "/>
    <w:docVar w:name="LW_EMISSION_SUFFIX" w:val=" \u1075?."/>
    <w:docVar w:name="LW_FAITA" w:val="&lt;UNUSED&gt;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&lt;UNUSED&gt;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PERS.SIGNE" w:val="&lt;UNUSED&gt;"/>
    <w:docVar w:name="LW_REF.II.NEW.CP" w:val="NLE"/>
    <w:docVar w:name="LW_REF.II.NEW.CP_NUMBER" w:val="0185"/>
    <w:docVar w:name="LW_REF.II.NEW.CP_YEAR" w:val="2017"/>
    <w:docVar w:name="LW_REF.INST.NEW" w:val="COM"/>
    <w:docVar w:name="LW_REF.INST.NEW_ADOPTED" w:val="final"/>
    <w:docVar w:name="LW_REF.INST.NEW_TEXT" w:val="(2017) 41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79?\u1072? \u1091?\u1089?\u1090?\u1072?\u1085?\u1086?\u1074?\u1103?\u1074?\u1072?\u1085?\u1077? \u1085?\u1072? \u1087?\u1072?\u1088?\u1090?\u1085?\u1100?\u1086?\u1088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0?\u1088?\u1075?\u1080?\u1079?\u1082?\u1072?\u1090?\u1072? \u1088?\u1077?\u1087?\u1091?\u1073?\u1083?\u1080?\u1082?\u1072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CC83-063B-4B7A-9C88-05F5AB7C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500</Words>
  <Characters>2931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2017-05-31T13:37:00Z</cp:lastPrinted>
  <dcterms:created xsi:type="dcterms:W3CDTF">2017-07-25T11:55:00Z</dcterms:created>
  <dcterms:modified xsi:type="dcterms:W3CDTF">2017-08-01T06:30:00Z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LWCR Document">
    <vt:lpwstr>True</vt:lpwstr>
  </property>
  <property fmtid="{D5CDD505-2E9C-101B-9397-08002B2CF9AE}" pid="11" name="LWCR Version">
    <vt:lpwstr>1.6.413</vt:lpwstr>
  </property>
  <property fmtid="{D5CDD505-2E9C-101B-9397-08002B2CF9AE}" pid="12" name="DQCStatus">
    <vt:lpwstr>Green (DQC version 03)</vt:lpwstr>
  </property>
</Properties>
</file>