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83" w:rsidRDefault="00605AD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7AA8B8942D1461682BCFE71EECA0413" style="width:450.75pt;height:393.75pt">
            <v:imagedata r:id="rId9" o:title=""/>
          </v:shape>
        </w:pict>
      </w:r>
    </w:p>
    <w:p w:rsidR="00D62983" w:rsidRDefault="00D62983">
      <w:pPr>
        <w:pStyle w:val="Pagedecouverture"/>
        <w:rPr>
          <w:noProof/>
        </w:rPr>
        <w:sectPr w:rsidR="00D62983" w:rsidSect="00605AD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62983" w:rsidRDefault="00605AD0">
      <w:pPr>
        <w:pStyle w:val="Exposdesmotifstitre"/>
        <w:rPr>
          <w:noProof/>
        </w:rPr>
      </w:pPr>
      <w:r>
        <w:rPr>
          <w:noProof/>
        </w:rPr>
        <w:lastRenderedPageBreak/>
        <w:t>EXPOSÉ DES MOTIFS</w:t>
      </w:r>
    </w:p>
    <w:p w:rsidR="00D62983" w:rsidRDefault="00605AD0">
      <w:pPr>
        <w:rPr>
          <w:noProof/>
        </w:rPr>
      </w:pPr>
      <w:r>
        <w:rPr>
          <w:noProof/>
        </w:rPr>
        <w:t xml:space="preserve">L’accord de partenariat et de coopération établissant un partenariat entre les </w:t>
      </w:r>
      <w:r>
        <w:rPr>
          <w:noProof/>
        </w:rPr>
        <w:t>Communautés européennes et leurs États membres, d’une part, et la République kirghize, d’autre part, (ci</w:t>
      </w:r>
      <w:r>
        <w:rPr>
          <w:noProof/>
        </w:rPr>
        <w:noBreakHyphen/>
        <w:t>après l’«accord») a été signé à Bruxelles le 9 février 1995 et est entré en vigueur le 1</w:t>
      </w:r>
      <w:r>
        <w:rPr>
          <w:noProof/>
          <w:vertAlign w:val="superscript"/>
        </w:rPr>
        <w:t>er</w:t>
      </w:r>
      <w:r>
        <w:rPr>
          <w:noProof/>
        </w:rPr>
        <w:t> juillet 1999.</w:t>
      </w:r>
    </w:p>
    <w:p w:rsidR="00D62983" w:rsidRDefault="00605AD0">
      <w:pPr>
        <w:rPr>
          <w:noProof/>
        </w:rPr>
      </w:pPr>
      <w:r>
        <w:rPr>
          <w:noProof/>
        </w:rPr>
        <w:t>Conformément à son acte d’adhésion, la Croatie</w:t>
      </w:r>
      <w:r>
        <w:rPr>
          <w:noProof/>
        </w:rPr>
        <w:t xml:space="preserve"> s’engage à adhérer aux accords internationaux signés ou conclus par l’Union européenne et ses États membres au moyen d’un protocole à ces accords.</w:t>
      </w:r>
    </w:p>
    <w:p w:rsidR="00D62983" w:rsidRDefault="00605AD0">
      <w:pPr>
        <w:rPr>
          <w:noProof/>
        </w:rPr>
      </w:pPr>
      <w:r>
        <w:rPr>
          <w:noProof/>
        </w:rPr>
        <w:t>Par décision du 14 septembre 2012</w:t>
      </w:r>
      <w:r>
        <w:rPr>
          <w:rStyle w:val="FootnoteReference"/>
          <w:noProof/>
        </w:rPr>
        <w:footnoteReference w:id="1"/>
      </w:r>
      <w:r>
        <w:rPr>
          <w:noProof/>
        </w:rPr>
        <w:t>, le Conseil a autorisé la Commission à ouvrir des négociations avec les p</w:t>
      </w:r>
      <w:r>
        <w:rPr>
          <w:noProof/>
        </w:rPr>
        <w:t>ays tiers concernés afin de conclure les protocoles nécessaires. Les négociations avec la République kirghize ont abouti et ont été conclues par un échange de notes verbales.</w:t>
      </w:r>
    </w:p>
    <w:p w:rsidR="00D62983" w:rsidRDefault="00605AD0">
      <w:pPr>
        <w:rPr>
          <w:noProof/>
        </w:rPr>
      </w:pPr>
      <w:r>
        <w:rPr>
          <w:noProof/>
        </w:rPr>
        <w:t xml:space="preserve">Par le protocole proposé, la République de Croatie est intégrée dans l’accord en </w:t>
      </w:r>
      <w:r>
        <w:rPr>
          <w:noProof/>
        </w:rPr>
        <w:t>tant que partie contractante et l’Union s’engage à fournir la version faisant foi de l’accord en langue croate.</w:t>
      </w:r>
    </w:p>
    <w:p w:rsidR="00D62983" w:rsidRDefault="00605AD0">
      <w:pPr>
        <w:rPr>
          <w:noProof/>
        </w:rPr>
      </w:pPr>
      <w:r>
        <w:rPr>
          <w:noProof/>
        </w:rPr>
        <w:t xml:space="preserve">La Commission ayant jugé satisfaisant le résultat des négociations, elle propose la signature et la conclusion du protocole. Par la proposition </w:t>
      </w:r>
      <w:r>
        <w:rPr>
          <w:noProof/>
        </w:rPr>
        <w:t xml:space="preserve">ci-jointe, la Commission invite le Conseil à autoriser la signature du protocole, au nom de l’Union européenne et de ses États membres. </w:t>
      </w:r>
    </w:p>
    <w:p w:rsidR="00D62983" w:rsidRDefault="00605AD0">
      <w:pPr>
        <w:rPr>
          <w:noProof/>
        </w:rPr>
      </w:pPr>
      <w:r>
        <w:rPr>
          <w:noProof/>
        </w:rPr>
        <w:br w:type="page"/>
      </w:r>
    </w:p>
    <w:p w:rsidR="00D62983" w:rsidRDefault="00605AD0">
      <w:pPr>
        <w:pStyle w:val="Rfrenceinterinstitutionnelle"/>
        <w:rPr>
          <w:noProof/>
        </w:rPr>
      </w:pPr>
      <w:r>
        <w:rPr>
          <w:noProof/>
        </w:rPr>
        <w:t>2017/0184 (NLE)</w:t>
      </w:r>
    </w:p>
    <w:p w:rsidR="00D62983" w:rsidRDefault="00605AD0">
      <w:pPr>
        <w:pStyle w:val="Statut"/>
        <w:rPr>
          <w:noProof/>
        </w:rPr>
      </w:pPr>
      <w:r>
        <w:rPr>
          <w:noProof/>
        </w:rPr>
        <w:t>Proposition de</w:t>
      </w:r>
    </w:p>
    <w:p w:rsidR="00D62983" w:rsidRDefault="00605AD0">
      <w:pPr>
        <w:pStyle w:val="Typedudocument"/>
        <w:rPr>
          <w:noProof/>
        </w:rPr>
      </w:pPr>
      <w:r>
        <w:rPr>
          <w:noProof/>
        </w:rPr>
        <w:t>DÉCISION DU CONSEIL</w:t>
      </w:r>
    </w:p>
    <w:p w:rsidR="00D62983" w:rsidRDefault="00605AD0">
      <w:pPr>
        <w:pStyle w:val="Titreobjet"/>
        <w:rPr>
          <w:noProof/>
        </w:rPr>
      </w:pPr>
      <w:r>
        <w:rPr>
          <w:noProof/>
        </w:rPr>
        <w:t>approuvant la signature, au nom de l’Union européenne et de ses Ét</w:t>
      </w:r>
      <w:r>
        <w:rPr>
          <w:noProof/>
        </w:rPr>
        <w:t>ats membres, et l’application provisoire du protocole à l’accord de partenariat et de coopération établissant un partenariat entre les Communautés européennes et leurs États membres, d’une part, et la République kirghize, d’autre part, visant à tenir compt</w:t>
      </w:r>
      <w:r>
        <w:rPr>
          <w:noProof/>
        </w:rPr>
        <w:t>e de l’adhésion de la République de Croatie à l’Union européenne</w:t>
      </w:r>
    </w:p>
    <w:p w:rsidR="00D62983" w:rsidRDefault="00605AD0">
      <w:pPr>
        <w:pStyle w:val="Institutionquiagit"/>
        <w:outlineLvl w:val="0"/>
        <w:rPr>
          <w:noProof/>
        </w:rPr>
      </w:pPr>
      <w:r>
        <w:rPr>
          <w:noProof/>
        </w:rPr>
        <w:t>LE CONSEIL DE L’UNION EUROPÉENNE,</w:t>
      </w:r>
    </w:p>
    <w:p w:rsidR="00D62983" w:rsidRDefault="00605AD0">
      <w:pPr>
        <w:rPr>
          <w:noProof/>
        </w:rPr>
      </w:pPr>
      <w:r>
        <w:rPr>
          <w:noProof/>
        </w:rPr>
        <w:t>vu le traité sur le fonctionnement de l’Union européenne, et notamment ses articles 207 et 209, en liaison avec l’article 218, paragraphe 5,</w:t>
      </w:r>
    </w:p>
    <w:p w:rsidR="00D62983" w:rsidRDefault="00605AD0">
      <w:pPr>
        <w:rPr>
          <w:noProof/>
        </w:rPr>
      </w:pPr>
      <w:r>
        <w:rPr>
          <w:noProof/>
        </w:rPr>
        <w:t>vu l’acte d’adhé</w:t>
      </w:r>
      <w:r>
        <w:rPr>
          <w:noProof/>
        </w:rPr>
        <w:t>sion de la République de Croatie, et notamment son article 6, paragraphe 2,</w:t>
      </w:r>
    </w:p>
    <w:p w:rsidR="00D62983" w:rsidRDefault="00605AD0">
      <w:pPr>
        <w:rPr>
          <w:noProof/>
        </w:rPr>
      </w:pPr>
      <w:r>
        <w:rPr>
          <w:noProof/>
        </w:rPr>
        <w:t>vu la proposition de la Commission européenne,</w:t>
      </w:r>
    </w:p>
    <w:p w:rsidR="00D62983" w:rsidRDefault="00605AD0">
      <w:pPr>
        <w:rPr>
          <w:noProof/>
        </w:rPr>
      </w:pPr>
      <w:r>
        <w:rPr>
          <w:noProof/>
        </w:rPr>
        <w:t>considérant ce qui suit:</w:t>
      </w:r>
    </w:p>
    <w:p w:rsidR="00D62983" w:rsidRDefault="00605AD0">
      <w:pPr>
        <w:pStyle w:val="ManualConsidrant"/>
        <w:rPr>
          <w:noProof/>
        </w:rPr>
      </w:pPr>
      <w:r>
        <w:t>(1)</w:t>
      </w:r>
      <w:r>
        <w:tab/>
      </w:r>
      <w:r>
        <w:rPr>
          <w:noProof/>
        </w:rPr>
        <w:t xml:space="preserve">Conformément à l’article 6, paragraphe 2, de l’acte d’adhésion de la Croatie, l’adhésion de cette </w:t>
      </w:r>
      <w:r>
        <w:rPr>
          <w:noProof/>
        </w:rPr>
        <w:t>dernière à l’accord de partenariat et de coopération établissant un partenariat entre les Communautés européennes et leurs États membres, d’une part, et la République kirghize, d’autre part, (l'«accord»)</w:t>
      </w:r>
      <w:r>
        <w:rPr>
          <w:rStyle w:val="FootnoteReference"/>
          <w:noProof/>
        </w:rPr>
        <w:footnoteReference w:id="2"/>
      </w:r>
      <w:r>
        <w:rPr>
          <w:noProof/>
        </w:rPr>
        <w:t xml:space="preserve"> doit être approuvée au moyen d’un protocole audit a</w:t>
      </w:r>
      <w:r>
        <w:rPr>
          <w:noProof/>
        </w:rPr>
        <w:t>ccord. Conformément à l’article 6, paragraphe 2, il convient d’appliquer à une telle adhésion une procédure simplifiée par laquelle un protocole doit être conclu par le Conseil statuant à l’unanimité au nom des États membres et par les pays tiers concernés</w:t>
      </w:r>
      <w:r>
        <w:rPr>
          <w:noProof/>
        </w:rPr>
        <w:t xml:space="preserve">. </w:t>
      </w:r>
    </w:p>
    <w:p w:rsidR="00D62983" w:rsidRDefault="00605AD0">
      <w:pPr>
        <w:pStyle w:val="ManualConsidrant"/>
        <w:rPr>
          <w:noProof/>
        </w:rPr>
      </w:pPr>
      <w:r>
        <w:t>(2)</w:t>
      </w:r>
      <w:r>
        <w:tab/>
      </w:r>
      <w:r>
        <w:rPr>
          <w:noProof/>
        </w:rPr>
        <w:t>Le 14 septembre 2012, le Conseil a autorisé la Commission à ouvrir des négociations avec la République kirghize en vue de l’adaptation de l’accord</w:t>
      </w:r>
      <w:r>
        <w:rPr>
          <w:rStyle w:val="FootnoteReference"/>
          <w:noProof/>
        </w:rPr>
        <w:footnoteReference w:id="3"/>
      </w:r>
      <w:r>
        <w:rPr>
          <w:noProof/>
        </w:rPr>
        <w:t>. Ces négociations ont abouti et ont été conclues par un échange de notes verbales.</w:t>
      </w:r>
    </w:p>
    <w:p w:rsidR="00D62983" w:rsidRDefault="00605AD0">
      <w:pPr>
        <w:pStyle w:val="ManualConsidrant"/>
        <w:rPr>
          <w:noProof/>
        </w:rPr>
      </w:pPr>
      <w:r>
        <w:t>(3)</w:t>
      </w:r>
      <w:r>
        <w:tab/>
      </w:r>
      <w:r>
        <w:rPr>
          <w:noProof/>
        </w:rPr>
        <w:t>Par conséquent</w:t>
      </w:r>
      <w:r>
        <w:rPr>
          <w:noProof/>
        </w:rPr>
        <w:t>, il convient que le protocole soit signé au nom de l’Union et de ses États membres, sous réserve de sa conclusion à une date ultérieure.</w:t>
      </w:r>
    </w:p>
    <w:p w:rsidR="00D62983" w:rsidRDefault="00605AD0">
      <w:pPr>
        <w:pStyle w:val="ManualConsidrant"/>
        <w:rPr>
          <w:noProof/>
        </w:rPr>
      </w:pPr>
      <w:r>
        <w:t>(4)</w:t>
      </w:r>
      <w:r>
        <w:tab/>
      </w:r>
      <w:r>
        <w:rPr>
          <w:noProof/>
        </w:rPr>
        <w:t>Afin que le protocole soit appliqué de manière efficace, il convient de l’appliquer à titre provisoire, avec effet</w:t>
      </w:r>
      <w:r>
        <w:rPr>
          <w:noProof/>
        </w:rPr>
        <w:t xml:space="preserve"> à compter de la date d’adhésion de la Croatie à l’Union, </w:t>
      </w:r>
    </w:p>
    <w:p w:rsidR="00D62983" w:rsidRDefault="00605AD0">
      <w:pPr>
        <w:pStyle w:val="Formuledadoption"/>
        <w:outlineLvl w:val="0"/>
        <w:rPr>
          <w:noProof/>
        </w:rPr>
      </w:pPr>
      <w:r>
        <w:rPr>
          <w:noProof/>
        </w:rPr>
        <w:lastRenderedPageBreak/>
        <w:t xml:space="preserve">A ADOPTÉ LA PRÉSENTE DÉCISION: </w:t>
      </w:r>
    </w:p>
    <w:p w:rsidR="00D62983" w:rsidRDefault="00605AD0">
      <w:pPr>
        <w:pStyle w:val="Titrearticle"/>
        <w:outlineLvl w:val="0"/>
        <w:rPr>
          <w:noProof/>
        </w:rPr>
      </w:pPr>
      <w:r>
        <w:rPr>
          <w:noProof/>
        </w:rPr>
        <w:t>Article premier</w:t>
      </w:r>
    </w:p>
    <w:p w:rsidR="00D62983" w:rsidRDefault="00605AD0">
      <w:pPr>
        <w:rPr>
          <w:noProof/>
        </w:rPr>
      </w:pPr>
      <w:r>
        <w:rPr>
          <w:noProof/>
        </w:rPr>
        <w:t>La signature, au nom de l’Union et de ses États membres, du protocole à l’accord de partenariat et de coopération établissant un partenariat entre le</w:t>
      </w:r>
      <w:r>
        <w:rPr>
          <w:noProof/>
        </w:rPr>
        <w:t>s Communautés européennes et leurs États membres, d’une part, et la République kirghize, d’autre part, afin de tenir compte de l’adhésion de la République de Croatie à l’Union européenne, est approuvée au nom de l’Union et de ses États membres, sous réserv</w:t>
      </w:r>
      <w:r>
        <w:rPr>
          <w:noProof/>
        </w:rPr>
        <w:t xml:space="preserve">e de la conclusion dudit protocole. </w:t>
      </w:r>
    </w:p>
    <w:p w:rsidR="00D62983" w:rsidRDefault="00605AD0">
      <w:pPr>
        <w:rPr>
          <w:noProof/>
        </w:rPr>
      </w:pPr>
      <w:r>
        <w:rPr>
          <w:noProof/>
        </w:rPr>
        <w:t>Le texte du protocole est joint à la présente décision.</w:t>
      </w:r>
    </w:p>
    <w:p w:rsidR="00D62983" w:rsidRDefault="00605AD0">
      <w:pPr>
        <w:pStyle w:val="Titrearticle"/>
        <w:outlineLvl w:val="0"/>
        <w:rPr>
          <w:noProof/>
        </w:rPr>
      </w:pPr>
      <w:r>
        <w:rPr>
          <w:noProof/>
        </w:rPr>
        <w:t>Article 2</w:t>
      </w:r>
    </w:p>
    <w:p w:rsidR="00D62983" w:rsidRDefault="00605AD0">
      <w:pPr>
        <w:rPr>
          <w:noProof/>
        </w:rPr>
      </w:pPr>
      <w:r>
        <w:rPr>
          <w:noProof/>
        </w:rPr>
        <w:t xml:space="preserve">Le secrétariat général du Conseil élabore l’instrument de pleins pouvoirs autorisant la ou les personne(s) indiquée(s) par le négociateur du protocole à </w:t>
      </w:r>
      <w:r>
        <w:rPr>
          <w:noProof/>
        </w:rPr>
        <w:t>signer le protocole, sous réserve de sa conclusion.</w:t>
      </w:r>
    </w:p>
    <w:p w:rsidR="00D62983" w:rsidRDefault="00605AD0">
      <w:pPr>
        <w:pStyle w:val="Titrearticle"/>
        <w:outlineLvl w:val="0"/>
        <w:rPr>
          <w:noProof/>
        </w:rPr>
      </w:pPr>
      <w:r>
        <w:rPr>
          <w:noProof/>
        </w:rPr>
        <w:t>Article 3</w:t>
      </w:r>
    </w:p>
    <w:p w:rsidR="00D62983" w:rsidRDefault="00605AD0">
      <w:pPr>
        <w:rPr>
          <w:noProof/>
        </w:rPr>
      </w:pPr>
      <w:r>
        <w:rPr>
          <w:noProof/>
        </w:rPr>
        <w:t>Le protocole s’applique à titre provisoire, conformément à son article 4, paragraphe 3, à compter du 1</w:t>
      </w:r>
      <w:r>
        <w:rPr>
          <w:noProof/>
          <w:vertAlign w:val="superscript"/>
        </w:rPr>
        <w:t>er</w:t>
      </w:r>
      <w:r>
        <w:rPr>
          <w:noProof/>
        </w:rPr>
        <w:t> juillet 2013, dans l’attente de son entrée en vigueur.</w:t>
      </w:r>
    </w:p>
    <w:p w:rsidR="00D62983" w:rsidRDefault="00D62983">
      <w:pPr>
        <w:rPr>
          <w:noProof/>
        </w:rPr>
      </w:pPr>
    </w:p>
    <w:p w:rsidR="00D62983" w:rsidRDefault="00605AD0">
      <w:pPr>
        <w:pStyle w:val="Titrearticle"/>
        <w:outlineLvl w:val="0"/>
        <w:rPr>
          <w:noProof/>
        </w:rPr>
      </w:pPr>
      <w:r>
        <w:rPr>
          <w:noProof/>
        </w:rPr>
        <w:t>Article 4</w:t>
      </w:r>
    </w:p>
    <w:p w:rsidR="00D62983" w:rsidRDefault="00605AD0">
      <w:pPr>
        <w:rPr>
          <w:noProof/>
        </w:rPr>
      </w:pPr>
      <w:r>
        <w:rPr>
          <w:noProof/>
        </w:rPr>
        <w:t xml:space="preserve">La présente décision entre en vigueur le jour de son adoption. </w:t>
      </w:r>
    </w:p>
    <w:p w:rsidR="00D62983" w:rsidRDefault="00605AD0">
      <w:pPr>
        <w:pStyle w:val="Fait"/>
        <w:rPr>
          <w:noProof/>
        </w:rPr>
      </w:pPr>
      <w:r>
        <w:rPr>
          <w:noProof/>
        </w:rPr>
        <w:t>Fait à Bruxelles, le</w:t>
      </w:r>
    </w:p>
    <w:p w:rsidR="00D62983" w:rsidRDefault="00605AD0">
      <w:pPr>
        <w:pStyle w:val="Institutionquisigne"/>
        <w:rPr>
          <w:noProof/>
        </w:rPr>
      </w:pPr>
      <w:r>
        <w:rPr>
          <w:noProof/>
        </w:rPr>
        <w:tab/>
        <w:t>Par le Conseil</w:t>
      </w:r>
    </w:p>
    <w:p w:rsidR="00D62983" w:rsidRDefault="00605AD0">
      <w:pPr>
        <w:pStyle w:val="Personnequisigne"/>
        <w:rPr>
          <w:noProof/>
        </w:rPr>
      </w:pPr>
      <w:r>
        <w:rPr>
          <w:noProof/>
        </w:rPr>
        <w:tab/>
        <w:t>Le président</w:t>
      </w:r>
    </w:p>
    <w:sectPr w:rsidR="00D62983" w:rsidSect="00605AD0">
      <w:footerReference w:type="default" r:id="rId16"/>
      <w:footerReference w:type="first" r:id="rId17"/>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83" w:rsidRDefault="00605AD0">
      <w:pPr>
        <w:spacing w:before="0" w:after="0"/>
      </w:pPr>
      <w:r>
        <w:separator/>
      </w:r>
    </w:p>
  </w:endnote>
  <w:endnote w:type="continuationSeparator" w:id="0">
    <w:p w:rsidR="00D62983" w:rsidRDefault="00605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83" w:rsidRPr="00605AD0" w:rsidRDefault="00605AD0" w:rsidP="00605AD0">
    <w:pPr>
      <w:pStyle w:val="Footer"/>
      <w:rPr>
        <w:rFonts w:ascii="Arial" w:hAnsi="Arial" w:cs="Arial"/>
        <w:b/>
        <w:sz w:val="48"/>
      </w:rPr>
    </w:pPr>
    <w:r w:rsidRPr="00605AD0">
      <w:rPr>
        <w:rFonts w:ascii="Arial" w:hAnsi="Arial" w:cs="Arial"/>
        <w:b/>
        <w:sz w:val="48"/>
      </w:rPr>
      <w:t>FR</w:t>
    </w:r>
    <w:r w:rsidRPr="00605AD0">
      <w:rPr>
        <w:rFonts w:ascii="Arial" w:hAnsi="Arial" w:cs="Arial"/>
        <w:b/>
        <w:sz w:val="48"/>
      </w:rPr>
      <w:tab/>
    </w:r>
    <w:r w:rsidRPr="00605AD0">
      <w:rPr>
        <w:rFonts w:ascii="Arial" w:hAnsi="Arial" w:cs="Arial"/>
        <w:b/>
        <w:sz w:val="48"/>
      </w:rPr>
      <w:tab/>
    </w:r>
    <w:fldSimple w:instr=" DOCVARIABLE &quot;LW_Confidence&quot; \* MERGEFORMAT ">
      <w:r>
        <w:t xml:space="preserve"> </w:t>
      </w:r>
    </w:fldSimple>
    <w:r w:rsidRPr="00605AD0">
      <w:tab/>
    </w:r>
    <w:r w:rsidRPr="00605AD0">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Footer"/>
      <w:rPr>
        <w:rFonts w:ascii="Arial" w:hAnsi="Arial" w:cs="Arial"/>
        <w:b/>
        <w:sz w:val="48"/>
      </w:rPr>
    </w:pPr>
    <w:r w:rsidRPr="00605AD0">
      <w:rPr>
        <w:rFonts w:ascii="Arial" w:hAnsi="Arial" w:cs="Arial"/>
        <w:b/>
        <w:sz w:val="48"/>
      </w:rPr>
      <w:t>FR</w:t>
    </w:r>
    <w:r w:rsidRPr="00605AD0">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605AD0">
      <w:tab/>
    </w:r>
    <w:r w:rsidRPr="00605AD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83" w:rsidRDefault="00605AD0">
      <w:pPr>
        <w:spacing w:before="0" w:after="0"/>
      </w:pPr>
      <w:r>
        <w:separator/>
      </w:r>
    </w:p>
  </w:footnote>
  <w:footnote w:type="continuationSeparator" w:id="0">
    <w:p w:rsidR="00D62983" w:rsidRDefault="00605AD0">
      <w:pPr>
        <w:spacing w:before="0" w:after="0"/>
      </w:pPr>
      <w:r>
        <w:continuationSeparator/>
      </w:r>
    </w:p>
  </w:footnote>
  <w:footnote w:id="1">
    <w:p w:rsidR="00D62983" w:rsidRDefault="00605AD0">
      <w:pPr>
        <w:pStyle w:val="FootnoteText"/>
        <w:ind w:left="0" w:firstLine="0"/>
        <w:rPr>
          <w:lang w:val="fr-BE"/>
        </w:rPr>
      </w:pPr>
      <w:r>
        <w:rPr>
          <w:rStyle w:val="FootnoteReference"/>
        </w:rPr>
        <w:footnoteRef/>
      </w:r>
      <w:r>
        <w:rPr>
          <w:lang w:val="fr-BE"/>
        </w:rPr>
        <w:tab/>
        <w:t>Décision du Conseil autorisant l'ouverture de négoci</w:t>
      </w:r>
      <w:r>
        <w:rPr>
          <w:lang w:val="fr-BE"/>
        </w:rPr>
        <w:t xml:space="preserve">ations pour l'adaptation des accords signés ou conclus par l'Union européenne, ou par l'Union européenne et ses États membres, avec un ou plusieurs pays tiers ou avec des organisations internationales, en raison de l'adhésion de la République de Croatie à </w:t>
      </w:r>
      <w:r>
        <w:rPr>
          <w:lang w:val="fr-BE"/>
        </w:rPr>
        <w:t xml:space="preserve">l'Union européenne (doc. 13351/12 du Conseil RESTREINT). </w:t>
      </w:r>
    </w:p>
  </w:footnote>
  <w:footnote w:id="2">
    <w:p w:rsidR="00D62983" w:rsidRDefault="00605AD0">
      <w:pPr>
        <w:pStyle w:val="FootnoteText"/>
        <w:rPr>
          <w:lang w:val="fr-BE"/>
        </w:rPr>
      </w:pPr>
      <w:r>
        <w:rPr>
          <w:rStyle w:val="FootnoteReference"/>
        </w:rPr>
        <w:footnoteRef/>
      </w:r>
      <w:r>
        <w:rPr>
          <w:lang w:val="fr-BE"/>
        </w:rPr>
        <w:tab/>
        <w:t>Décision 1999/491/CE, CECA, Euratom du Conseil et de la Commission du 12 mai 1999 relative à la conclusion de l'accord de partenariat et de coopération établissant un partenariat entre les Communa</w:t>
      </w:r>
      <w:r>
        <w:rPr>
          <w:lang w:val="fr-BE"/>
        </w:rPr>
        <w:t>utés européennes et leurs États membres, d'une part, et la République kirghize, d'autre part (JO L 196 du 28.7.1999, p. 48).</w:t>
      </w:r>
    </w:p>
  </w:footnote>
  <w:footnote w:id="3">
    <w:p w:rsidR="00D62983" w:rsidRDefault="00605AD0">
      <w:pPr>
        <w:pStyle w:val="FootnoteText"/>
        <w:rPr>
          <w:lang w:val="fr-BE"/>
        </w:rPr>
      </w:pPr>
      <w:r>
        <w:rPr>
          <w:rStyle w:val="FootnoteReference"/>
        </w:rPr>
        <w:footnoteRef/>
      </w:r>
      <w:r>
        <w:rPr>
          <w:lang w:val="fr-BE"/>
        </w:rPr>
        <w:tab/>
        <w:t xml:space="preserve">Décision du Conseil autorisant l'ouverture de négociations pour l'adaptation des accords signés ou conclus par l'Union </w:t>
      </w:r>
      <w:r>
        <w:rPr>
          <w:lang w:val="fr-BE"/>
        </w:rPr>
        <w:t>européenne, ou par l'Union européenne et ses États membres, avec un ou plusieurs pays tiers ou avec des organisations internationales, en raison de l'adhésion de la République de Croatie à l'Union européenne (doc. 13351/12 du Conseil RESTREINT).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D0" w:rsidRPr="00605AD0" w:rsidRDefault="00605AD0" w:rsidP="00605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F6DA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EF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A7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AC02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06C8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DA82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BA366C"/>
    <w:lvl w:ilvl="0">
      <w:start w:val="1"/>
      <w:numFmt w:val="decimal"/>
      <w:pStyle w:val="ListNumber"/>
      <w:lvlText w:val="%1."/>
      <w:lvlJc w:val="left"/>
      <w:pPr>
        <w:tabs>
          <w:tab w:val="num" w:pos="360"/>
        </w:tabs>
        <w:ind w:left="360" w:hanging="360"/>
      </w:pPr>
    </w:lvl>
  </w:abstractNum>
  <w:abstractNum w:abstractNumId="7">
    <w:nsid w:val="FFFFFF89"/>
    <w:multiLevelType w:val="singleLevel"/>
    <w:tmpl w:val="904C25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nsidérant" w:val="Considérant__1"/>
    <w:docVar w:name="COVERPAGE_EXISTS" w:val="True"/>
    <w:docVar w:name="DQCDateTime" w:val="2017-08-01 08:2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ist Bullet" w:val="List Bullet__1"/>
    <w:docVar w:name="List Bullet 2" w:val="List Bullet 2__1"/>
    <w:docVar w:name="List Bullet 3" w:val="List Bullet 3__1"/>
    <w:docVar w:name="List Number" w:val="List Number__1"/>
    <w:docVar w:name="List Number 2" w:val="List Number 2__1"/>
    <w:docVar w:name="List Number 3" w:val="List Number 3__1"/>
    <w:docVar w:name="List Number 4" w:val="List Number 4__1"/>
    <w:docVar w:name="LW_CONFIDENCE" w:val=" "/>
    <w:docVar w:name="LW_CONST_RESTREINT_UE" w:val="RESTREINT UE/EU RESTRICTED"/>
    <w:docVar w:name="LW_CORRIGENDUM" w:val="&lt;UNUSED&gt;"/>
    <w:docVar w:name="LW_COVERPAGE_GUID" w:val="17AA8B8942D1461682BCFE71EECA0413"/>
    <w:docVar w:name="LW_CROSSREFERENCE" w:val="&lt;UNUSED&gt;"/>
    <w:docVar w:name="LW_DocType" w:val="COM"/>
    <w:docVar w:name="LW_EMISSION" w:val="3.8.2017"/>
    <w:docVar w:name="LW_EMISSION_ISODATE" w:val="2017-08-03"/>
    <w:docVar w:name="LW_EMISSION_LOCATION" w:val="BRX"/>
    <w:docVar w:name="LW_EMISSION_PREFIX" w:val="Bruxelles, le "/>
    <w:docVar w:name="LW_EMISSION_SUFFIX" w:val=" "/>
    <w:docVar w:name="LW_FAITA" w:val="Done at Brussels\u8230?, "/>
    <w:docVar w:name="LW_ID_DOCMODEL" w:val="SJ-019"/>
    <w:docVar w:name="LW_ID_DOCSIGNATURE" w:val="SJ-019"/>
    <w:docVar w:name="LW_ID_DOCSTRUCTURE" w:val="COM/PL/ORG"/>
    <w:docVar w:name="LW_ID_DOCTYPE" w:val="SJ-019"/>
    <w:docVar w:name="LW_ID_STATUT" w:val="SJ-019"/>
    <w:docVar w:name="LW_INST.SIGNE" w:val="_x0009_For the Counci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_x0009_The President"/>
    <w:docVar w:name="LW_REF.II.NEW.CP" w:val="NLE"/>
    <w:docVar w:name="LW_REF.II.NEW.CP_NUMBER" w:val="0184"/>
    <w:docVar w:name="LW_REF.II.NEW.CP_YEAR" w:val="2017"/>
    <w:docVar w:name="LW_REF.INST.NEW" w:val="COM"/>
    <w:docVar w:name="LW_REF.INST.NEW_ADOPTED" w:val="final"/>
    <w:docVar w:name="LW_REF.INST.NEW_TEXT" w:val="(2017) 412"/>
    <w:docVar w:name="LW_REF.INTERNE" w:val="&lt;UNUSED&gt;"/>
    <w:docVar w:name="LW_SOUS.TITRE.OBJ.CP" w:val="&lt;UNUSED&gt;"/>
    <w:docVar w:name="LW_STATUT.CP" w:val="Proposition de"/>
    <w:docVar w:name="LW_SUPERTITRE" w:val="&lt;UNUSED&gt;"/>
    <w:docVar w:name="LW_TITRE.OBJ.CP" w:val="approuvant la signature, au nom de l\u8217?Union européenne et de ses États membres, et l\u8217?application provisoire du protocole à l\u8217?accord de partenariat et de coopération établissant un partenariat entre les Communautés européennes et leurs États membres, d\u8217?une part, et la République kirghize, d\u8217?autre part, visant à tenir compte de l\u8217?adhésion de la République de Croatie à l\u8217?Union européenne"/>
    <w:docVar w:name="LW_TYPE.DOC.CP" w:val="DÉCISION DU CONSEIL"/>
  </w:docVars>
  <w:rsids>
    <w:rsidRoot w:val="00D62983"/>
    <w:rsid w:val="00605AD0"/>
    <w:rsid w:val="00D6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417A-8E6E-44C8-A6F4-DC2A3E9B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680</Words>
  <Characters>3602</Characters>
  <Application>Microsoft Office Word</Application>
  <DocSecurity>0</DocSecurity>
  <Lines>73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BARTH Carmen (SG)</cp:lastModifiedBy>
  <cp:revision>19</cp:revision>
  <cp:lastPrinted>2017-08-01T13:21:00Z</cp:lastPrinted>
  <dcterms:created xsi:type="dcterms:W3CDTF">2017-07-20T07:44:00Z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