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D8DF5E5D2247B99E9F2BEAD13E3BF8" style="width:450.7pt;height:365.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0"/>
          <w:noProof/>
        </w:rPr>
        <w:footnoteReference w:id="1"/>
      </w:r>
      <w:r>
        <w:rPr>
          <w:noProof/>
        </w:rPr>
        <w:t xml:space="preserve"> („Директивата за ДДС“) Съветът, действащ с единодушие по предложение на Комисията, може да упълномощи всяка държава членка да прилага специални мерки за дерогация от разпоредбите на посочената директива, за да се опрости процедурата за събиране на ДДС или да се предотвратят определени форми на избягване на данъци и отклонение от данъчно облагане.</w:t>
      </w:r>
    </w:p>
    <w:p>
      <w:pPr>
        <w:rPr>
          <w:noProof/>
        </w:rPr>
      </w:pPr>
      <w:r>
        <w:rPr>
          <w:noProof/>
        </w:rPr>
        <w:t>С писмо, заведено в Комисията на 26 април 2017 г., Литва поиска разрешение да продължи да освобождава от ДДС данъчно задължените лица, чийто годишен оборот не надвишава 45 000 EUR. В съответствие с член 395, параграф 2 от Директивата за ДДС, с писма от 8 и 10 май 2017 г. Комисията информира останалите държави членки за отправеното от Литва искане. С писмо от 11 май 2017 г. Комисията съобщи на Литва, че разполага с пълната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дял XII, глава 1 от Директивата за ДДС се предвижда възможността държавите членки да прилагат специални режими за малките предприятия, включително възможността да освобождават от облагане данъчно задължените лица, чийто годишен оборот е под определен праг. Това освобождаване означава, че данъчно задълженото лице не е длъжно да начислява ДДС върху своите доставки и следователно не може да приспада ДДС за получени доставки, вложени в производството.</w:t>
      </w:r>
    </w:p>
    <w:p>
      <w:pPr>
        <w:rPr>
          <w:noProof/>
        </w:rPr>
      </w:pPr>
      <w:r>
        <w:rPr>
          <w:noProof/>
        </w:rPr>
        <w:t>По силата на член 287, точка 11 от Директивата за ДДС Литва може да освободи от ДДС данъчно задължените лица, чийто годишен оборот е не по-висок от равностойността в национална валута на 29 000 EUR по обменния курс в деня на присъединяването на страната. С Решение за изпълнение 2011/335/ЕС на Съвета</w:t>
      </w:r>
      <w:r>
        <w:rPr>
          <w:rStyle w:val="FootnoteReference0"/>
          <w:noProof/>
        </w:rPr>
        <w:footnoteReference w:id="2"/>
      </w:r>
      <w:r>
        <w:rPr>
          <w:noProof/>
        </w:rPr>
        <w:t xml:space="preserve"> на Литва беше разрешено да прилага по-висок праг и съответно да освободи от ДДС данъчно задължените лица, чийто годишен оборот не надвишава 45 000 EUR. Срокът на прилагане на тази мярка бе удължен с Решение за изпълнение 2014/795/ЕС на Съвета</w:t>
      </w:r>
      <w:r>
        <w:rPr>
          <w:rStyle w:val="FootnoteReference0"/>
          <w:noProof/>
        </w:rPr>
        <w:footnoteReference w:id="3"/>
      </w:r>
      <w:r>
        <w:rPr>
          <w:noProof/>
        </w:rPr>
        <w:t>, което се прилага до 31 декември 2017 г. Литва поиска срокът на прилагане на мярката да бъде удължен за допълнителен период с ограничена продължителност.</w:t>
      </w:r>
    </w:p>
    <w:p>
      <w:pPr>
        <w:rPr>
          <w:noProof/>
        </w:rPr>
      </w:pPr>
      <w:r>
        <w:rPr>
          <w:noProof/>
        </w:rPr>
        <w:t>По-високият праг значително намалява административната тежест и разходите за спазване на данъчното законодателство за малките предприятия. Според Литва прагът в размер на 45 000 EUR не е оказал съществено въздействие върху събирането на приходи от ДДС. Освен това данните показват, че по-голямата част от данъчно задължените лица (около 80—90 %), които са се регистрирали по ДДС и които плащат ДДС, правят това на доброволни начала.</w:t>
      </w:r>
    </w:p>
    <w:p>
      <w:pPr>
        <w:rPr>
          <w:noProof/>
        </w:rPr>
      </w:pPr>
      <w:r>
        <w:rPr>
          <w:noProof/>
        </w:rPr>
        <w:t>Лицата, чийто годишен оборот не надвишава прага, ще продължат да имат възможност да се регистрират за целите на ДДС.</w:t>
      </w:r>
    </w:p>
    <w:p>
      <w:pPr>
        <w:rPr>
          <w:noProof/>
        </w:rPr>
      </w:pPr>
      <w:r>
        <w:rPr>
          <w:noProof/>
        </w:rPr>
        <w:t>Поради това се иска срокът на дерогацията да бъде удължен до 31 декември 2020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color w:val="000000"/>
        </w:rPr>
      </w:pPr>
      <w:r>
        <w:rPr>
          <w:noProof/>
        </w:rPr>
        <w:t>Подобни дерогации вече са предоставени на други държави членки.</w:t>
      </w:r>
      <w:r>
        <w:rPr>
          <w:noProof/>
          <w:color w:val="000000"/>
        </w:rPr>
        <w:t xml:space="preserve"> На Люксембург</w:t>
      </w:r>
      <w:r>
        <w:rPr>
          <w:rStyle w:val="FootnoteReference0"/>
          <w:noProof/>
          <w:color w:val="000000"/>
        </w:rPr>
        <w:footnoteReference w:id="4"/>
      </w:r>
      <w:r>
        <w:rPr>
          <w:noProof/>
          <w:color w:val="000000"/>
        </w:rPr>
        <w:t xml:space="preserve"> бе определен праг от</w:t>
      </w:r>
      <w:r>
        <w:rPr>
          <w:noProof/>
        </w:rPr>
        <w:t xml:space="preserve"> </w:t>
      </w:r>
      <w:r>
        <w:rPr>
          <w:noProof/>
          <w:color w:val="000000"/>
        </w:rPr>
        <w:t>40</w:t>
      </w:r>
      <w:r>
        <w:rPr>
          <w:noProof/>
        </w:rPr>
        <w:t> </w:t>
      </w:r>
      <w:r>
        <w:rPr>
          <w:noProof/>
          <w:color w:val="000000"/>
        </w:rPr>
        <w:t>000 EUR, на Белгия</w:t>
      </w:r>
      <w:r>
        <w:rPr>
          <w:rStyle w:val="FootnoteReference0"/>
          <w:noProof/>
          <w:color w:val="000000"/>
        </w:rPr>
        <w:footnoteReference w:id="5"/>
      </w:r>
      <w:r>
        <w:rPr>
          <w:noProof/>
          <w:color w:val="000000"/>
        </w:rPr>
        <w:t xml:space="preserve"> — праг от 25 000 EUR, на Полша</w:t>
      </w:r>
      <w:r>
        <w:rPr>
          <w:rStyle w:val="FootnoteReference0"/>
          <w:noProof/>
          <w:color w:val="000000"/>
        </w:rPr>
        <w:footnoteReference w:id="6"/>
      </w:r>
      <w:r>
        <w:rPr>
          <w:noProof/>
          <w:color w:val="000000"/>
        </w:rPr>
        <w:t xml:space="preserve"> — праг от</w:t>
      </w:r>
      <w:r>
        <w:rPr>
          <w:noProof/>
        </w:rPr>
        <w:t xml:space="preserve"> </w:t>
      </w:r>
      <w:r>
        <w:rPr>
          <w:noProof/>
          <w:color w:val="000000"/>
        </w:rPr>
        <w:t>40 000 EUR, на Латвия</w:t>
      </w:r>
      <w:r>
        <w:rPr>
          <w:rStyle w:val="FootnoteReference0"/>
          <w:noProof/>
          <w:color w:val="000000"/>
        </w:rPr>
        <w:footnoteReference w:id="7"/>
      </w:r>
      <w:r>
        <w:rPr>
          <w:rStyle w:val="footnotereference"/>
          <w:noProof/>
          <w:color w:val="000000"/>
        </w:rPr>
        <w:t xml:space="preserve"> </w:t>
      </w:r>
      <w:r>
        <w:rPr>
          <w:noProof/>
          <w:color w:val="000000"/>
        </w:rPr>
        <w:t>и Словения</w:t>
      </w:r>
      <w:r>
        <w:rPr>
          <w:rStyle w:val="FootnoteReference0"/>
          <w:noProof/>
          <w:color w:val="000000"/>
        </w:rPr>
        <w:footnoteReference w:id="8"/>
      </w:r>
      <w:r>
        <w:rPr>
          <w:rStyle w:val="footnotereference"/>
          <w:noProof/>
          <w:color w:val="000000"/>
        </w:rPr>
        <w:t xml:space="preserve"> </w:t>
      </w:r>
      <w:r>
        <w:rPr>
          <w:noProof/>
          <w:color w:val="000000"/>
        </w:rPr>
        <w:t>— праг от 50 000 EUR, на Италия</w:t>
      </w:r>
      <w:r>
        <w:rPr>
          <w:rStyle w:val="FootnoteReference0"/>
          <w:noProof/>
          <w:color w:val="000000"/>
        </w:rPr>
        <w:footnoteReference w:id="9"/>
      </w:r>
      <w:r>
        <w:rPr>
          <w:noProof/>
          <w:color w:val="000000"/>
        </w:rPr>
        <w:t xml:space="preserve"> и Румъния</w:t>
      </w:r>
      <w:r>
        <w:rPr>
          <w:rStyle w:val="FootnoteReference0"/>
          <w:noProof/>
          <w:color w:val="000000"/>
        </w:rPr>
        <w:footnoteReference w:id="10"/>
      </w:r>
      <w:r>
        <w:rPr>
          <w:rStyle w:val="footnotereference"/>
          <w:noProof/>
          <w:color w:val="000000"/>
        </w:rPr>
        <w:t xml:space="preserve"> </w:t>
      </w:r>
      <w:r>
        <w:rPr>
          <w:noProof/>
          <w:color w:val="000000"/>
        </w:rPr>
        <w:t>— праг от 65 000 EUR.</w:t>
      </w:r>
    </w:p>
    <w:p>
      <w:pPr>
        <w:rPr>
          <w:noProof/>
        </w:rPr>
      </w:pPr>
      <w:r>
        <w:rPr>
          <w:noProof/>
        </w:rPr>
        <w:t>Дерогациите от Директивата за ДДС следва винаги да бъдат ограничени във времето, за да може тяхното въздействие да бъде оценено. Освен това разпоредбите на членове 281—294 от Директивата за ДДС, отнасящи се до специалния режим за малките предприятия, са в процес на преразглеждане. Както бе обявено в Плана за действие относно ДДС</w:t>
      </w:r>
      <w:r>
        <w:rPr>
          <w:rStyle w:val="FootnoteReference0"/>
          <w:noProof/>
        </w:rPr>
        <w:footnoteReference w:id="11"/>
      </w:r>
      <w:r>
        <w:rPr>
          <w:noProof/>
        </w:rPr>
        <w:t xml:space="preserve"> и в работната програма на Комисията за 2017 г.</w:t>
      </w:r>
      <w:r>
        <w:rPr>
          <w:rStyle w:val="FootnoteReference0"/>
          <w:noProof/>
        </w:rPr>
        <w:footnoteReference w:id="12"/>
      </w:r>
      <w:r>
        <w:rPr>
          <w:noProof/>
        </w:rPr>
        <w:t>, предложението на Комисията под формата на всеобхватен пакет за опростяване следва да бъде представено до края на 2017 г.</w:t>
      </w:r>
    </w:p>
    <w:p>
      <w:pPr>
        <w:rPr>
          <w:rFonts w:eastAsia="Arial Unicode MS"/>
          <w:noProof/>
        </w:rPr>
      </w:pPr>
      <w:r>
        <w:rPr>
          <w:noProof/>
        </w:rPr>
        <w:t>Поради това се предлага срокът на прилагане на мярката да бъде удължен до 31 декември 2020 г. или до датата на влизане в сила на директива за изменение на разпоредбите на Директивата за ДДС, отнасящи се до специалния режим за малките предприятия.</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Мярката е в съответствие с целите на Съюза по отношение на малките предприятия, както са изложени в Съобщението на Комисията „Мисли първо за малките!“ — „Small Business Act“ за Европа“</w:t>
      </w:r>
      <w:r>
        <w:rPr>
          <w:rStyle w:val="FootnoteReference0"/>
          <w:noProof/>
        </w:rPr>
        <w:footnoteReference w:id="13"/>
      </w:r>
      <w:r>
        <w:rPr>
          <w:noProof/>
        </w:rPr>
        <w:t>, в което държавите членки се призовават да вземат предвид характерните особености на малките и средните предприятия, когато създават законодателство и, съответно да опростят съществуващата нормативна уредба.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даването на разрешение на държава членка по нейно искане и не представлява задължение.</w:t>
      </w:r>
    </w:p>
    <w:p>
      <w:pPr>
        <w:rPr>
          <w:noProof/>
        </w:rPr>
      </w:pPr>
      <w:r>
        <w:rPr>
          <w:noProof/>
        </w:rPr>
        <w:t>Предвид ограничения обхват на дерогацията специалната мярка е пропорционална на поставената цел, а именно опростяване за допълнителен брой малки данъчно задължени лица и за данъчната администрация.</w:t>
      </w:r>
    </w:p>
    <w:p>
      <w:pPr>
        <w:pStyle w:val="ManualHeading2"/>
        <w:rPr>
          <w:rFonts w:eastAsia="Arial Unicode MS"/>
          <w:noProof/>
          <w:u w:color="000000"/>
          <w:bdr w:val="nil"/>
        </w:rPr>
      </w:pPr>
      <w:r>
        <w:rPr>
          <w:noProof/>
        </w:rPr>
        <w:t>•</w:t>
      </w:r>
      <w:r>
        <w:rPr>
          <w:noProof/>
        </w:rPr>
        <w:tab/>
        <w:t>Избор на инструмент</w:t>
      </w:r>
    </w:p>
    <w:p>
      <w:pPr>
        <w:spacing w:before="0" w:after="240"/>
        <w:rPr>
          <w:rFonts w:eastAsia="Arial Unicode MS"/>
          <w:noProof/>
        </w:rPr>
      </w:pPr>
      <w:r>
        <w:rPr>
          <w:noProof/>
        </w:rPr>
        <w:t>Предлаган инструмент: решение за изпълнение на Съвета.</w:t>
      </w:r>
    </w:p>
    <w:p>
      <w:pPr>
        <w:spacing w:before="0" w:after="240"/>
        <w:rPr>
          <w:rFonts w:eastAsia="Arial Unicode MS"/>
          <w:noProof/>
        </w:rPr>
      </w:pPr>
      <w:r>
        <w:rPr>
          <w:noProof/>
        </w:rPr>
        <w:t>По силата на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Най-подходящият инструмент е решение за изпълнение на Съвета,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rFonts w:eastAsia="Arial Unicode MS"/>
          <w:noProof/>
        </w:rPr>
      </w:pPr>
      <w:r>
        <w:rPr>
          <w:noProof/>
        </w:rPr>
        <w:t>Настоящото предложение се основава на искане, отправено от Литва,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С предложението за решение за изпълнение на Съвета на Литва се разрешава да продължи да освобождава от облагане с ДДС данъчно задължените лица, чийто годишен оборот не надвишава 45 000 EUR. Лицата, чийто облагаем оборот не надвишава този праг, не са длъжни да се регистрират за целите на ДДС, и така в резултат на мярката административната тежест върху тях ще намалее, тъй като те няма да трябва да водят регистри за ДДС или да подават справка-декларация за ДДС.</w:t>
      </w:r>
    </w:p>
    <w:p>
      <w:pPr>
        <w:rPr>
          <w:noProof/>
        </w:rPr>
      </w:pPr>
      <w:r>
        <w:rPr>
          <w:noProof/>
        </w:rPr>
        <w:t>Според Литва прагът в размер на 45 000 EUR не е оказал съществено въздействие върху събирането на приходи от ДДС.</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 тъй като Литва ще изчисли съответната компенсация в съответствие с член 6 от Регламент (ЕИО, Евратом) № 1553/89 на Съвета.</w:t>
      </w:r>
    </w:p>
    <w:p>
      <w:pPr>
        <w:pStyle w:val="ManualHeading1"/>
        <w:rPr>
          <w:noProof/>
        </w:rPr>
      </w:pPr>
      <w:r>
        <w:rPr>
          <w:noProof/>
        </w:rPr>
        <w:t>5.</w:t>
      </w:r>
      <w:r>
        <w:rPr>
          <w:noProof/>
        </w:rPr>
        <w:tab/>
        <w:t>ДРУГИ ЕЛЕМЕНТИ</w:t>
      </w:r>
    </w:p>
    <w:p>
      <w:pPr>
        <w:rPr>
          <w:noProof/>
        </w:rPr>
      </w:pPr>
      <w:r>
        <w:rPr>
          <w:noProof/>
        </w:rPr>
        <w:t>Предложението включва клауза за изтичане на срока на действие.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2017/0183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0"/>
          <w:noProof/>
        </w:rPr>
        <w:footnoteReference w:id="14"/>
      </w:r>
      <w:r>
        <w:rPr>
          <w:noProof/>
        </w:rPr>
        <w:t>, и по-специално член 395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писмо, заведено в Комисията на 26 април 2017 г., Литва поиска разрешение за мярка за дерогация от член 287, параграф 11 от Директивата за ДДС, за да продължи да освобождава някои данъчно задължени лица, чийто годишен оборот не надвишава 45 000 EUR. Чрез тази мярка въпросните данъчно задължени лица ще бъдат освободени от някои или всички свързани с данъка върху добавената стойност (ДДС) задължения, посочени в дял XI, глави 2—6 от Директивата за ДДС.</w:t>
      </w:r>
    </w:p>
    <w:p>
      <w:pPr>
        <w:pStyle w:val="ManualConsidrant"/>
        <w:rPr>
          <w:noProof/>
        </w:rPr>
      </w:pPr>
      <w:r>
        <w:t>(2)</w:t>
      </w:r>
      <w:r>
        <w:tab/>
      </w:r>
      <w:r>
        <w:rPr>
          <w:noProof/>
        </w:rPr>
        <w:t>С писма от 8 и 10 май 2017 г. Комисията информира другите държави членки за отправеното от Литва искане. С писмо от 11 май 2017 г. Комисията съобщи на Литва, че разполага с пълната информация, необходима за разглеждане на искането.</w:t>
      </w:r>
    </w:p>
    <w:p>
      <w:pPr>
        <w:pStyle w:val="ManualConsidrant"/>
        <w:rPr>
          <w:noProof/>
        </w:rPr>
      </w:pPr>
      <w:r>
        <w:t>(3)</w:t>
      </w:r>
      <w:r>
        <w:tab/>
      </w:r>
      <w:r>
        <w:rPr>
          <w:noProof/>
        </w:rPr>
        <w:t>Държавите членки вече могат да прилагат специален режим за малките предприятия съгласно дял XII от Директивата за ДДС. Удължаването на мярката представлява дерогация от дял XII от Директивата за ДДС само дотолкова, доколкото прагът на годишния оборот на данъчно задълженото лице, за което се прилага специалният режим, е по-висок от прага за Литва в размер на 29 000 EUR, който е разрешен съгласно член 287, параграф 11 от Директивата за ДДС.</w:t>
      </w:r>
    </w:p>
    <w:p>
      <w:pPr>
        <w:pStyle w:val="ManualConsidrant"/>
        <w:rPr>
          <w:noProof/>
        </w:rPr>
      </w:pPr>
      <w:r>
        <w:t>(4)</w:t>
      </w:r>
      <w:r>
        <w:tab/>
      </w:r>
      <w:r>
        <w:rPr>
          <w:noProof/>
        </w:rPr>
        <w:t>С Решение за изпълнение 2011/335/ЕС на Съвета</w:t>
      </w:r>
      <w:r>
        <w:rPr>
          <w:rStyle w:val="FootnoteReference0"/>
          <w:noProof/>
        </w:rPr>
        <w:footnoteReference w:id="15"/>
      </w:r>
      <w:r>
        <w:rPr>
          <w:noProof/>
        </w:rPr>
        <w:t xml:space="preserve"> на Литва бе разрешено, като мярка за дерогация, да освободи до 31 декември 2014 г. данъчно задължените лица, чийто годишен оборот не надвишава 45 000 EUR. С Решение за изпълнение 2014/795/ЕС на Съвета</w:t>
      </w:r>
      <w:r>
        <w:rPr>
          <w:rStyle w:val="FootnoteReference0"/>
          <w:noProof/>
        </w:rPr>
        <w:footnoteReference w:id="16"/>
      </w:r>
      <w:r>
        <w:rPr>
          <w:noProof/>
        </w:rPr>
        <w:t xml:space="preserve"> срокът на прилагане на мярката за дерогация бе удължен до 31 декември 2017 г.</w:t>
      </w:r>
    </w:p>
    <w:p>
      <w:pPr>
        <w:pStyle w:val="ManualConsidrant"/>
        <w:rPr>
          <w:noProof/>
        </w:rPr>
      </w:pPr>
      <w:r>
        <w:t>(5)</w:t>
      </w:r>
      <w:r>
        <w:tab/>
      </w:r>
      <w:r>
        <w:rPr>
          <w:noProof/>
        </w:rPr>
        <w:t>Като се има предвид, че фиксираният праг доведе до намаляване на свързаните с ДДС задължения и по този начин — до намаляване на административните разходи за малките предприятия, на Литва следва да се разреши да прилага мярката за допълнителен период с ограничена продължителност — до 31 декември 2020 г. Данъчно задължените лица могат да решат да продължат да прилагат общия режим на ДДС.</w:t>
      </w:r>
    </w:p>
    <w:p>
      <w:pPr>
        <w:pStyle w:val="ManualConsidrant"/>
        <w:rPr>
          <w:noProof/>
        </w:rPr>
      </w:pPr>
      <w:r>
        <w:t>(6)</w:t>
      </w:r>
      <w:r>
        <w:tab/>
      </w:r>
      <w:r>
        <w:rPr>
          <w:noProof/>
        </w:rPr>
        <w:t>Разпоредбите на членове 281—294 от Директива 2006/112/ЕО относно специалния режим за малките предприятия са предмет на преразглеждане и поради това е възможно преди горепосочената дата да влезе в сила директива за изменение на тези разпоредби от Директивата за ДДС.</w:t>
      </w:r>
    </w:p>
    <w:p>
      <w:pPr>
        <w:pStyle w:val="ManualConsidrant"/>
        <w:rPr>
          <w:noProof/>
        </w:rPr>
      </w:pPr>
      <w:r>
        <w:t>(7)</w:t>
      </w:r>
      <w:r>
        <w:tab/>
      </w:r>
      <w:r>
        <w:rPr>
          <w:noProof/>
        </w:rPr>
        <w:t>Съгласно предоставената от Литва информация удължаването на срока на дерогацията ще има незначително въздействие върху общите приходи от данъци на етапа на крайното потребление.</w:t>
      </w:r>
    </w:p>
    <w:p>
      <w:pPr>
        <w:pStyle w:val="ManualConsidrant"/>
        <w:rPr>
          <w:noProof/>
        </w:rPr>
      </w:pPr>
      <w:r>
        <w:t>(8)</w:t>
      </w:r>
      <w:r>
        <w:tab/>
      </w:r>
      <w:r>
        <w:rPr>
          <w:noProof/>
        </w:rPr>
        <w:t>Дерогацията няма отражение върху собствените ресурси на Съюза, набирани от данъка върху добавената стойност, тъй като Литва ще изчисли съответната компенсация в съответствие с член 6 от Регламент (ЕИО, Евратом) № 1553/89 на Съвета.</w:t>
      </w:r>
    </w:p>
    <w:p>
      <w:pPr>
        <w:pStyle w:val="Formuledadoption"/>
        <w:rPr>
          <w:noProof/>
        </w:rPr>
      </w:pPr>
      <w:r>
        <w:rPr>
          <w:noProof/>
        </w:rPr>
        <w:t>ПРИЕ НАСТОЯЩОТО РЕШЕНИЕ:</w:t>
      </w:r>
    </w:p>
    <w:p>
      <w:pPr>
        <w:pStyle w:val="Titrearticle"/>
        <w:rPr>
          <w:noProof/>
        </w:rPr>
      </w:pPr>
      <w:r>
        <w:rPr>
          <w:noProof/>
        </w:rPr>
        <w:t>Член 1</w:t>
      </w:r>
    </w:p>
    <w:p>
      <w:pPr>
        <w:rPr>
          <w:noProof/>
          <w:color w:val="000000" w:themeColor="text1"/>
        </w:rPr>
      </w:pPr>
      <w:r>
        <w:rPr>
          <w:noProof/>
        </w:rPr>
        <w:t>В член 2, втора алинея от Решение за изпълнение 2011/335/ЕС текстът „датата на влизане в сила на директива за изменение на таваните на годишния оборот, под които данъчно задължените лица могат да бъдат освободени от ДДС, или до 31 декември 2017 г.“ се заменя с „31 декември 2020 г. или до датата на влизане в сила на директива за изменение на разпоредбите на членове 281—294 от Директива 2006/112/ЕО“.</w:t>
      </w:r>
    </w:p>
    <w:p>
      <w:pPr>
        <w:pStyle w:val="Titrearticle"/>
        <w:rPr>
          <w:noProof/>
          <w:color w:val="000000" w:themeColor="text1"/>
        </w:rPr>
      </w:pPr>
      <w:r>
        <w:rPr>
          <w:noProof/>
          <w:color w:val="000000" w:themeColor="text1"/>
        </w:rPr>
        <w:t>Член </w:t>
      </w:r>
      <w:r>
        <w:rPr>
          <w:noProof/>
        </w:rPr>
        <w:t>2</w:t>
      </w:r>
    </w:p>
    <w:p>
      <w:pPr>
        <w:rPr>
          <w:noProof/>
        </w:rPr>
      </w:pPr>
      <w:r>
        <w:rPr>
          <w:noProof/>
        </w:rPr>
        <w:t>Настоящото решение се прилага от 1 януари 2018 г.</w:t>
      </w:r>
    </w:p>
    <w:p>
      <w:pPr>
        <w:pStyle w:val="Titrearticle"/>
        <w:rPr>
          <w:noProof/>
        </w:rPr>
      </w:pPr>
      <w:r>
        <w:rPr>
          <w:noProof/>
        </w:rPr>
        <w:t>Член 3</w:t>
      </w:r>
    </w:p>
    <w:p>
      <w:pPr>
        <w:rPr>
          <w:noProof/>
        </w:rPr>
      </w:pPr>
      <w:r>
        <w:rPr>
          <w:noProof/>
        </w:rPr>
        <w:t>Адресат на настоящото решение е Република Литва.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ОВ L 347, 11.12.2006 г., стр. 1.</w:t>
      </w:r>
    </w:p>
  </w:footnote>
  <w:footnote w:id="2">
    <w:p>
      <w:pPr>
        <w:pStyle w:val="FootnoteText"/>
        <w:rPr>
          <w:color w:val="000000" w:themeColor="text1"/>
          <w:lang w:val="en"/>
        </w:rPr>
      </w:pPr>
      <w:r>
        <w:rPr>
          <w:rStyle w:val="FootnoteReference0"/>
        </w:rPr>
        <w:footnoteRef/>
      </w:r>
      <w:r>
        <w:tab/>
      </w:r>
      <w:r>
        <w:rPr>
          <w:color w:val="000000" w:themeColor="text1"/>
        </w:rPr>
        <w:t>Решение за изпълнение 2011/335/ЕС на Съвета от 30 май 2011 г.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150, 9.6.2011 г., стр. 6).</w:t>
      </w:r>
    </w:p>
  </w:footnote>
  <w:footnote w:id="3">
    <w:p>
      <w:pPr>
        <w:pStyle w:val="FootnoteText"/>
        <w:rPr>
          <w:color w:val="000000" w:themeColor="text1"/>
        </w:rPr>
      </w:pPr>
      <w:r>
        <w:rPr>
          <w:rStyle w:val="FootnoteReference0"/>
        </w:rPr>
        <w:footnoteRef/>
      </w:r>
      <w:r>
        <w:tab/>
      </w:r>
      <w:r>
        <w:rPr>
          <w:color w:val="000000" w:themeColor="text1"/>
        </w:rPr>
        <w:t>Решение за изпълнение 2014/795/ЕС на Съвета от 7 ноември 2014 г. за удължаване на срока на действие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330, 15.11.2014 г., стр. 44).</w:t>
      </w:r>
    </w:p>
    <w:p>
      <w:pPr>
        <w:pStyle w:val="FootnoteText"/>
      </w:pPr>
    </w:p>
  </w:footnote>
  <w:footnote w:id="4">
    <w:p>
      <w:pPr>
        <w:pStyle w:val="FootnoteText"/>
      </w:pPr>
      <w:r>
        <w:rPr>
          <w:rStyle w:val="FootnoteReference0"/>
        </w:rPr>
        <w:footnoteRef/>
      </w:r>
      <w:r>
        <w:tab/>
        <w:t>Решение за изпълнение (ЕС) 2017/319 на Съвета от 21 февруари 2017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47, 24.2.2017 г., стр. 7—8).</w:t>
      </w:r>
    </w:p>
  </w:footnote>
  <w:footnote w:id="5">
    <w:p>
      <w:pPr>
        <w:pStyle w:val="FootnoteText"/>
      </w:pPr>
      <w:r>
        <w:rPr>
          <w:rStyle w:val="FootnoteReference0"/>
        </w:rPr>
        <w:footnoteRef/>
      </w:r>
      <w:r>
        <w:tab/>
        <w:t>Решение за изпълнение (ЕС) 2015/2348 на Съвета от 10 декември 2015 г. за изменение на Решение за изпълнение 2013/53/ЕС за предоставяне на разрешение на Кралство Белгия да въведе специална мярка за дерогация от член 285 от Директива 2006/112/ЕО относно общата система на данъка върху добавената стойност (ОВ L 330, 16.12.2015 г., стр. 51).</w:t>
      </w:r>
    </w:p>
  </w:footnote>
  <w:footnote w:id="6">
    <w:p>
      <w:pPr>
        <w:pStyle w:val="FootnoteText"/>
      </w:pPr>
      <w:r>
        <w:rPr>
          <w:rStyle w:val="FootnoteReference0"/>
        </w:rPr>
        <w:footnoteRef/>
      </w:r>
      <w:r>
        <w:tab/>
        <w:t>Решение за изпълнение (ЕС) 2016/2090 на Съвета от 21 ноември 2016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324, 30.11.2016 г., стр. 7).</w:t>
      </w:r>
    </w:p>
  </w:footnote>
  <w:footnote w:id="7">
    <w:p>
      <w:pPr>
        <w:pStyle w:val="FootnoteText"/>
      </w:pPr>
      <w:r>
        <w:rPr>
          <w:rStyle w:val="FootnoteReference0"/>
        </w:rPr>
        <w:footnoteRef/>
      </w:r>
      <w:r>
        <w:tab/>
      </w:r>
      <w:r>
        <w:rPr>
          <w:color w:val="000000"/>
        </w:rPr>
        <w:t>Решение за изпълнение 2014/796/ЕС на Съвета от 7 ноември 2014 г. за даване на разрешение на Република Латвия да прилага мярка за дерогация от член 287 от Директива 2006/112/ЕО относно общата система на данъка върху добавената стойност (ОВ L 330, 15.11.2014 г., стр. 46).</w:t>
      </w:r>
    </w:p>
  </w:footnote>
  <w:footnote w:id="8">
    <w:p>
      <w:pPr>
        <w:pStyle w:val="FootnoteText"/>
      </w:pPr>
      <w:r>
        <w:rPr>
          <w:rStyle w:val="FootnoteReference0"/>
        </w:rPr>
        <w:footnoteRef/>
      </w:r>
      <w:r>
        <w:tab/>
      </w:r>
      <w:r>
        <w:rPr>
          <w:color w:val="000000"/>
        </w:rPr>
        <w:t>Решение за изпълнение (ЕС) 2015/2089 на Съвета от 10 ноември 2015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302, 19.11.2015 г., стр. 107).</w:t>
      </w:r>
    </w:p>
  </w:footnote>
  <w:footnote w:id="9">
    <w:p>
      <w:pPr>
        <w:pStyle w:val="FootnoteText"/>
      </w:pPr>
      <w:r>
        <w:rPr>
          <w:rStyle w:val="FootnoteReference0"/>
        </w:rPr>
        <w:footnoteRef/>
      </w:r>
      <w:r>
        <w:tab/>
        <w:t>Решение за изпълнение (ЕС) 2016/1988 на Съвета от 8 ноември 2016 г.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w:t>
      </w:r>
    </w:p>
  </w:footnote>
  <w:footnote w:id="10">
    <w:p>
      <w:pPr>
        <w:pStyle w:val="FootnoteText"/>
      </w:pPr>
      <w:r>
        <w:rPr>
          <w:rStyle w:val="FootnoteReference0"/>
        </w:rPr>
        <w:footnoteRef/>
      </w:r>
      <w:r>
        <w:tab/>
      </w:r>
      <w:r>
        <w:rPr>
          <w:color w:val="000000"/>
        </w:rPr>
        <w:t>Решение за изпълнение 2014/931/ЕС на Съвета от 16 декември 2014 г. за удължаване на срока на прилагане на Решение за изпълнение 2012/181/ЕС за предоставяне на разрешение на Румъния да въведе специална мярка за дерогация от член 287 от Директива 2006/112/ЕО относно общата система на данъка върху добавената стойност (ОВ L 365, 19.12.2014 г., стр. 145).</w:t>
      </w:r>
    </w:p>
  </w:footnote>
  <w:footnote w:id="11">
    <w:p>
      <w:pPr>
        <w:pStyle w:val="FootnoteText"/>
      </w:pPr>
      <w:r>
        <w:rPr>
          <w:rStyle w:val="FootnoteReference0"/>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„Към единно пространство на ЕС по отношение на ДДС — Време за избор“, Брюксел, 7.4.2016 г., COM(2016)148 final.</w:t>
      </w:r>
    </w:p>
  </w:footnote>
  <w:footnote w:id="12">
    <w:p>
      <w:pPr>
        <w:pStyle w:val="FootnoteText"/>
      </w:pPr>
      <w:r>
        <w:rPr>
          <w:rStyle w:val="FootnoteReference0"/>
        </w:rPr>
        <w:footnoteRef/>
      </w:r>
      <w:r>
        <w:tab/>
        <w:t>Работна програма на Комисията за 2017 г. — Европа на резултатите: закрила, предоставяне на повече права и защита на гражданите, Страсбург, 25.10.2016 г., COM(2016)710 final.</w:t>
      </w:r>
    </w:p>
  </w:footnote>
  <w:footnote w:id="13">
    <w:p>
      <w:pPr>
        <w:pStyle w:val="FootnoteText"/>
      </w:pPr>
      <w:r>
        <w:rPr>
          <w:rStyle w:val="FootnoteReference0"/>
        </w:rPr>
        <w:footnoteRef/>
      </w:r>
      <w:r>
        <w:tab/>
        <w:t>COM(2008) 394 от 25 юни 2008 г.</w:t>
      </w:r>
    </w:p>
  </w:footnote>
  <w:footnote w:id="14">
    <w:p>
      <w:pPr>
        <w:pStyle w:val="FootnoteText"/>
      </w:pPr>
      <w:r>
        <w:rPr>
          <w:rStyle w:val="FootnoteReference0"/>
        </w:rPr>
        <w:footnoteRef/>
      </w:r>
      <w:r>
        <w:tab/>
        <w:t>ОВ L 347, 11.12.2006 г., стр. 1.</w:t>
      </w:r>
    </w:p>
  </w:footnote>
  <w:footnote w:id="15">
    <w:p>
      <w:pPr>
        <w:pStyle w:val="FootnoteText"/>
        <w:rPr>
          <w:color w:val="000000" w:themeColor="text1"/>
        </w:rPr>
      </w:pPr>
      <w:r>
        <w:rPr>
          <w:rStyle w:val="FootnoteReference0"/>
        </w:rPr>
        <w:footnoteRef/>
      </w:r>
      <w:r>
        <w:tab/>
      </w:r>
      <w:r>
        <w:rPr>
          <w:color w:val="000000" w:themeColor="text1"/>
        </w:rPr>
        <w:t>Решение за изпълнение 2011/335/ЕС на Съвета от 30 май 2011 г.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150, 9.6.2011 г., стр. 6).</w:t>
      </w:r>
    </w:p>
  </w:footnote>
  <w:footnote w:id="16">
    <w:p>
      <w:pPr>
        <w:pStyle w:val="FootnoteText"/>
        <w:rPr>
          <w:color w:val="000000" w:themeColor="text1"/>
        </w:rPr>
      </w:pPr>
      <w:r>
        <w:rPr>
          <w:rStyle w:val="FootnoteReference0"/>
        </w:rPr>
        <w:footnoteRef/>
      </w:r>
      <w:r>
        <w:tab/>
      </w:r>
      <w:r>
        <w:rPr>
          <w:color w:val="000000" w:themeColor="text1"/>
        </w:rPr>
        <w:t>Решение за изпълнение 2014/795/ЕС на Съвета от 7 ноември 2014 г. за удължаване на срока на действие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330, 15.11.2014 г., стр.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6216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D2DA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C834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C81D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F268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CEC4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EB4C6"/>
    <w:lvl w:ilvl="0">
      <w:start w:val="1"/>
      <w:numFmt w:val="decimal"/>
      <w:pStyle w:val="ListNumber"/>
      <w:lvlText w:val="%1."/>
      <w:lvlJc w:val="left"/>
      <w:pPr>
        <w:tabs>
          <w:tab w:val="num" w:pos="360"/>
        </w:tabs>
        <w:ind w:left="360" w:hanging="360"/>
      </w:pPr>
    </w:lvl>
  </w:abstractNum>
  <w:abstractNum w:abstractNumId="7">
    <w:nsid w:val="FFFFFF89"/>
    <w:multiLevelType w:val="singleLevel"/>
    <w:tmpl w:val="2BC821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7 10:06: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3D8DF5E5D2247B99E9F2BEAD13E3BF8"/>
    <w:docVar w:name="LW_CROSSREFERENCE" w:val="&lt;UNUSED&gt;"/>
    <w:docVar w:name="LW_DocType" w:val="COM"/>
    <w:docVar w:name="LW_EMISSION" w:val="3.8.2017"/>
    <w:docVar w:name="LW_EMISSION_ISODATE" w:val="2017-08-03"/>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3"/>
    <w:docVar w:name="LW_REF.II.NEW.CP_YEAR" w:val="2017"/>
    <w:docVar w:name="LW_REF.INST.NEW" w:val="COM"/>
    <w:docVar w:name="LW_REF.INST.NEW_ADOPTED" w:val="final"/>
    <w:docVar w:name="LW_REF.INST.NEW_TEXT" w:val="(2017) 410"/>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1/335/\u1045?\u1057? \u1079?\u1072? \u1076?\u1072?\u1074?\u1072?\u1085?\u1077? \u1085?\u1072? \u1088?\u1072?\u1079?\u1088?\u1077?\u1096?\u1077?\u1085?\u1080?\u1077? \u1085?\u1072? \u1056?\u1077?\u1087?\u1091?\u1073?\u1083?\u1080?\u1082?\u1072? \u1051?\u1080?\u1090?\u1074?\u1072? \u1076?\u1072? \u1087?\u1088?\u1080?\u1083?\u1072?\u1075?\u1072?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footnotereference">
    <w:name w:val="footnotereference"/>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footnotereference">
    <w:name w:val="footnotereference"/>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0573">
      <w:bodyDiv w:val="1"/>
      <w:marLeft w:val="0"/>
      <w:marRight w:val="0"/>
      <w:marTop w:val="0"/>
      <w:marBottom w:val="0"/>
      <w:divBdr>
        <w:top w:val="none" w:sz="0" w:space="0" w:color="auto"/>
        <w:left w:val="none" w:sz="0" w:space="0" w:color="auto"/>
        <w:bottom w:val="none" w:sz="0" w:space="0" w:color="auto"/>
        <w:right w:val="none" w:sz="0" w:space="0" w:color="auto"/>
      </w:divBdr>
      <w:divsChild>
        <w:div w:id="2009364089">
          <w:marLeft w:val="0"/>
          <w:marRight w:val="0"/>
          <w:marTop w:val="0"/>
          <w:marBottom w:val="0"/>
          <w:divBdr>
            <w:top w:val="none" w:sz="0" w:space="0" w:color="auto"/>
            <w:left w:val="none" w:sz="0" w:space="0" w:color="auto"/>
            <w:bottom w:val="none" w:sz="0" w:space="0" w:color="auto"/>
            <w:right w:val="none" w:sz="0" w:space="0" w:color="auto"/>
          </w:divBdr>
          <w:divsChild>
            <w:div w:id="753017208">
              <w:marLeft w:val="0"/>
              <w:marRight w:val="0"/>
              <w:marTop w:val="0"/>
              <w:marBottom w:val="0"/>
              <w:divBdr>
                <w:top w:val="none" w:sz="0" w:space="0" w:color="auto"/>
                <w:left w:val="none" w:sz="0" w:space="0" w:color="auto"/>
                <w:bottom w:val="none" w:sz="0" w:space="0" w:color="auto"/>
                <w:right w:val="none" w:sz="0" w:space="0" w:color="auto"/>
              </w:divBdr>
              <w:divsChild>
                <w:div w:id="721172829">
                  <w:marLeft w:val="0"/>
                  <w:marRight w:val="0"/>
                  <w:marTop w:val="0"/>
                  <w:marBottom w:val="0"/>
                  <w:divBdr>
                    <w:top w:val="none" w:sz="0" w:space="0" w:color="auto"/>
                    <w:left w:val="none" w:sz="0" w:space="0" w:color="auto"/>
                    <w:bottom w:val="none" w:sz="0" w:space="0" w:color="auto"/>
                    <w:right w:val="none" w:sz="0" w:space="0" w:color="auto"/>
                  </w:divBdr>
                  <w:divsChild>
                    <w:div w:id="398868235">
                      <w:marLeft w:val="1"/>
                      <w:marRight w:val="1"/>
                      <w:marTop w:val="0"/>
                      <w:marBottom w:val="0"/>
                      <w:divBdr>
                        <w:top w:val="none" w:sz="0" w:space="0" w:color="auto"/>
                        <w:left w:val="none" w:sz="0" w:space="0" w:color="auto"/>
                        <w:bottom w:val="none" w:sz="0" w:space="0" w:color="auto"/>
                        <w:right w:val="none" w:sz="0" w:space="0" w:color="auto"/>
                      </w:divBdr>
                      <w:divsChild>
                        <w:div w:id="1240745903">
                          <w:marLeft w:val="0"/>
                          <w:marRight w:val="0"/>
                          <w:marTop w:val="0"/>
                          <w:marBottom w:val="0"/>
                          <w:divBdr>
                            <w:top w:val="none" w:sz="0" w:space="0" w:color="auto"/>
                            <w:left w:val="none" w:sz="0" w:space="0" w:color="auto"/>
                            <w:bottom w:val="none" w:sz="0" w:space="0" w:color="auto"/>
                            <w:right w:val="none" w:sz="0" w:space="0" w:color="auto"/>
                          </w:divBdr>
                          <w:divsChild>
                            <w:div w:id="967123355">
                              <w:marLeft w:val="0"/>
                              <w:marRight w:val="0"/>
                              <w:marTop w:val="0"/>
                              <w:marBottom w:val="360"/>
                              <w:divBdr>
                                <w:top w:val="none" w:sz="0" w:space="0" w:color="auto"/>
                                <w:left w:val="none" w:sz="0" w:space="0" w:color="auto"/>
                                <w:bottom w:val="none" w:sz="0" w:space="0" w:color="auto"/>
                                <w:right w:val="none" w:sz="0" w:space="0" w:color="auto"/>
                              </w:divBdr>
                              <w:divsChild>
                                <w:div w:id="1653486907">
                                  <w:marLeft w:val="0"/>
                                  <w:marRight w:val="0"/>
                                  <w:marTop w:val="0"/>
                                  <w:marBottom w:val="0"/>
                                  <w:divBdr>
                                    <w:top w:val="none" w:sz="0" w:space="0" w:color="auto"/>
                                    <w:left w:val="none" w:sz="0" w:space="0" w:color="auto"/>
                                    <w:bottom w:val="none" w:sz="0" w:space="0" w:color="auto"/>
                                    <w:right w:val="none" w:sz="0" w:space="0" w:color="auto"/>
                                  </w:divBdr>
                                  <w:divsChild>
                                    <w:div w:id="7063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19327">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C2822-2FDB-4594-9F4A-15FB9B1B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1629</Words>
  <Characters>8749</Characters>
  <Application>Microsoft Office Word</Application>
  <DocSecurity>0</DocSecurity>
  <Lines>171</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2017-06-30T08:31:00Z</cp:lastPrinted>
  <dcterms:created xsi:type="dcterms:W3CDTF">2017-07-25T15:53:00Z</dcterms:created>
  <dcterms:modified xsi:type="dcterms:W3CDTF">2017-07-27T08:06:00Z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