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146003F41AD4F2DBF270138367F4D06" style="width:450.75pt;height:366pt">
            <v:imagedata r:id="rId10" o:title=""/>
          </v:shape>
        </w:pict>
      </w:r>
    </w:p>
    <w:p>
      <w:pPr>
        <w:rPr>
          <w:noProof/>
        </w:rPr>
        <w:sectPr>
          <w:footerReference w:type="default" r:id="rId11"/>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 xml:space="preserve">Настоящото предложение се отнася до решение за установяване на позиция, която да се заеме от името на Съюза в рамките на Международния съвет по захарта във връзка с планираното решение за удължаване на срока на действие на Международното споразумение за захарта от 1992 г. с още две години. </w:t>
      </w:r>
    </w:p>
    <w:p>
      <w:pPr>
        <w:pStyle w:val="ManualHeading1"/>
        <w:rPr>
          <w:rFonts w:eastAsia="Arial Unicode MS"/>
          <w:noProof/>
        </w:rPr>
      </w:pPr>
      <w:r>
        <w:t>2.</w:t>
      </w:r>
      <w:r>
        <w:tab/>
      </w:r>
      <w:r>
        <w:rPr>
          <w:noProof/>
        </w:rPr>
        <w:t>Контекст на предложението</w:t>
      </w:r>
    </w:p>
    <w:p>
      <w:pPr>
        <w:pStyle w:val="ManualHeading2"/>
        <w:rPr>
          <w:noProof/>
        </w:rPr>
      </w:pPr>
      <w:r>
        <w:t>2.1.</w:t>
      </w:r>
      <w:r>
        <w:tab/>
      </w:r>
      <w:r>
        <w:rPr>
          <w:noProof/>
        </w:rPr>
        <w:t>Международното споразумение за захарта от 1992 г.</w:t>
      </w:r>
    </w:p>
    <w:p>
      <w:pPr>
        <w:pStyle w:val="NormalWeb"/>
        <w:jc w:val="both"/>
        <w:rPr>
          <w:rFonts w:eastAsia="Arial Unicode MS"/>
          <w:i/>
          <w:noProof/>
        </w:rPr>
      </w:pPr>
      <w:r>
        <w:rPr>
          <w:noProof/>
        </w:rPr>
        <w:t>Целта на Международното споразумение за захарта от 1992 г. (наричано по-долу „споразумението“) е да гарантира засилване на международното сътрудничество по въпросите, които имат пряко или непряко отношение към захарта в света, да създаде рамка за междуправителствени консултации за захарта и начините да се подобри световната икономика в сектора на захарта, да улесни търговията със захар чрез събиране и предоставяне на информация относно световния пазар на захар и други подсладители и да насърчи повишеното търсене на захар, по-специално за нетрадиционни начини на употреба. Споразумението влезе в сила на 1 януари 1993 г.</w:t>
      </w:r>
      <w:r>
        <w:rPr>
          <w:noProof/>
          <w:highlight w:val="yellow"/>
        </w:rPr>
        <w:t xml:space="preserve"> </w:t>
      </w:r>
    </w:p>
    <w:p>
      <w:pPr>
        <w:rPr>
          <w:rFonts w:eastAsia="Arial Unicode MS"/>
          <w:noProof/>
        </w:rPr>
      </w:pPr>
      <w:r>
        <w:rPr>
          <w:noProof/>
        </w:rPr>
        <w:t>Европейският съюз е страна по споразумението</w:t>
      </w:r>
      <w:r>
        <w:rPr>
          <w:rStyle w:val="FootnoteReference"/>
          <w:noProof/>
        </w:rPr>
        <w:footnoteReference w:id="1"/>
      </w:r>
      <w:r>
        <w:rPr>
          <w:noProof/>
        </w:rPr>
        <w:t xml:space="preserve">. </w:t>
      </w:r>
    </w:p>
    <w:p>
      <w:pPr>
        <w:pStyle w:val="ManualHeading2"/>
        <w:rPr>
          <w:noProof/>
        </w:rPr>
      </w:pPr>
      <w:r>
        <w:t>2.2.</w:t>
      </w:r>
      <w:r>
        <w:tab/>
      </w:r>
      <w:r>
        <w:rPr>
          <w:noProof/>
        </w:rPr>
        <w:t>Международният съвет по захарта</w:t>
      </w:r>
    </w:p>
    <w:p>
      <w:pPr>
        <w:pStyle w:val="NormalWeb"/>
        <w:jc w:val="both"/>
        <w:rPr>
          <w:noProof/>
          <w:color w:val="111111"/>
          <w:sz w:val="23"/>
          <w:szCs w:val="23"/>
        </w:rPr>
      </w:pPr>
      <w:r>
        <w:rPr>
          <w:noProof/>
        </w:rPr>
        <w:t>Международният съвет по захарта е органът, отговарящ за изпълнението на всички функции, необходими за прилагането на разпоредбите на споразумението. Той приема правила и разпоредби, включително правилника за дейността на съвета и на неговите комитети, както и финансовите правила и правилника за служителите на организацията. Съветът води необходимата документация и публикува годишен доклад и друга подходяща информация.</w:t>
      </w:r>
      <w:r>
        <w:rPr>
          <w:noProof/>
          <w:color w:val="111111"/>
          <w:sz w:val="23"/>
        </w:rPr>
        <w:t xml:space="preserve"> </w:t>
      </w:r>
    </w:p>
    <w:p>
      <w:pPr>
        <w:pStyle w:val="NormalWeb"/>
        <w:jc w:val="both"/>
        <w:rPr>
          <w:noProof/>
          <w:color w:val="202020"/>
          <w:sz w:val="23"/>
          <w:szCs w:val="23"/>
        </w:rPr>
      </w:pPr>
      <w:r>
        <w:rPr>
          <w:noProof/>
          <w:color w:val="111111"/>
          <w:sz w:val="23"/>
        </w:rPr>
        <w:t>Членовете на споразумението притежават общо 2000 гласа. Всеки един от членовете има определен брой гласове, който всяка година се преизчислява съобразно предварително определени в споразумението критерии. По принцип съветът приема всички решения и препоръки с консенсус, освен ако в споразумението е предвидено друго. Ако не бъде постигнат консенсус, решенията се приемат с обикновено мнозинство, освен ако в споразумението е предвидено специално гласуване.</w:t>
      </w:r>
    </w:p>
    <w:p>
      <w:pPr>
        <w:pStyle w:val="ManualHeading2"/>
        <w:rPr>
          <w:noProof/>
        </w:rPr>
      </w:pPr>
      <w:r>
        <w:t>2.3.</w:t>
      </w:r>
      <w:r>
        <w:tab/>
      </w:r>
      <w:r>
        <w:rPr>
          <w:noProof/>
        </w:rPr>
        <w:t>Предвиденият акт на Международния съвет по захарта</w:t>
      </w:r>
    </w:p>
    <w:p>
      <w:pPr>
        <w:rPr>
          <w:rFonts w:eastAsia="Arial Unicode MS"/>
          <w:noProof/>
        </w:rPr>
      </w:pPr>
      <w:r>
        <w:rPr>
          <w:noProof/>
        </w:rPr>
        <w:t xml:space="preserve">След 51-вата му сесия от 22 юни 2017 г. Международният съвет по захарта следва да вземе решение относно удължаването на срока на действие на Международното споразумение за захарта от 1992 г. с още 2 години („предвидения акт“). Решението ще бъде взето посредством писмена процедура. </w:t>
      </w:r>
    </w:p>
    <w:p>
      <w:pPr>
        <w:rPr>
          <w:rFonts w:eastAsia="Arial Unicode MS"/>
          <w:noProof/>
        </w:rPr>
      </w:pPr>
      <w:r>
        <w:rPr>
          <w:noProof/>
        </w:rPr>
        <w:t>Предвиденият акт е задължителен за страните по споразумението в съответствие с член 45, параграф 2 от споразумението, в който се предвижда следното:</w:t>
      </w:r>
      <w:r>
        <w:t xml:space="preserve"> </w:t>
      </w:r>
      <w:r>
        <w:rPr>
          <w:noProof/>
        </w:rPr>
        <w:t>„</w:t>
      </w:r>
      <w:r>
        <w:rPr>
          <w:noProof/>
          <w:color w:val="111111"/>
          <w:sz w:val="23"/>
        </w:rPr>
        <w:t>Със специално гласуване Съветът може да продължи настоящото споразумение след 31 декември 1995 г., за последователни периоди, като всеки период е не по-дълъг от две години. Членовете, които не приемат така решеното продължение, съобщават това на Съвета писмено и престават да бъдат страни по настоящото споразумение, считано от началото на периода на продължаването срока на действие</w:t>
      </w:r>
      <w:r>
        <w:t>.</w:t>
      </w:r>
      <w:r>
        <w:rPr>
          <w:noProof/>
        </w:rPr>
        <w:t>“</w:t>
      </w:r>
      <w:r>
        <w:t xml:space="preserve"> </w:t>
      </w:r>
    </w:p>
    <w:p>
      <w:pPr>
        <w:pStyle w:val="ManualHeading1"/>
        <w:rPr>
          <w:rFonts w:eastAsia="Arial Unicode MS"/>
          <w:noProof/>
        </w:rPr>
      </w:pPr>
      <w:r>
        <w:t>3.</w:t>
      </w:r>
      <w:r>
        <w:tab/>
      </w:r>
      <w:r>
        <w:rPr>
          <w:noProof/>
        </w:rPr>
        <w:t>Позиция, която да се заеме от името на Съюза</w:t>
      </w:r>
    </w:p>
    <w:p>
      <w:pPr>
        <w:rPr>
          <w:rFonts w:eastAsia="Arial Unicode MS"/>
          <w:noProof/>
        </w:rPr>
      </w:pPr>
      <w:r>
        <w:rPr>
          <w:noProof/>
        </w:rPr>
        <w:t xml:space="preserve">Международното споразумение за захарта от 1992 г. (наричано по-долу: „споразумението“) беше сключено от Общността с Решение 92/580/ЕИО и влезе в сила на 1 януари 1993 г. за срок от три години до 31 декември 1995 г. Оттогава срокът му редовно е удължаван за допълнителни периоди от по две години. Последно срокът на споразумението бе удължен с решение на Международния съвет по захарта през юни 2015 г. и то остава в сила до 31 декември 2017 г. В интерес на Съюза е действието на споразумението да бъде удължено за срок до две години. </w:t>
      </w:r>
    </w:p>
    <w:p>
      <w:pPr>
        <w:rPr>
          <w:rFonts w:eastAsia="Arial Unicode MS"/>
          <w:noProof/>
        </w:rPr>
      </w:pPr>
      <w:r>
        <w:rPr>
          <w:noProof/>
        </w:rPr>
        <w:t xml:space="preserve">Удължаването на действието на споразумението означава продължаване на финансовата вноска на ЕС към административния бюджет на споразумението и поражда правно действие. Тази вноска се вписва към позиция 05 06 01 от бюджета на Европейския съюз („Международни споразумения в сферата на селското стопанство“). </w:t>
      </w:r>
    </w:p>
    <w:p>
      <w:pPr>
        <w:rPr>
          <w:rFonts w:eastAsia="Arial Unicode MS"/>
          <w:noProof/>
        </w:rPr>
      </w:pPr>
      <w:r>
        <w:rPr>
          <w:noProof/>
        </w:rPr>
        <w:t xml:space="preserve">Целта на настоящото предложение е Съветът да упълномощи Комисията да съобщи на Международния съвет по захарта в писмена форма от името на Съюза, че Съюзът подкрепя удължаването на срока на споразумението до 31 декември 2019 г. </w:t>
      </w:r>
    </w:p>
    <w:p>
      <w:pPr>
        <w:rPr>
          <w:rFonts w:eastAsia="Arial Unicode MS"/>
          <w:noProof/>
        </w:rPr>
      </w:pPr>
      <w:r>
        <w:rPr>
          <w:noProof/>
        </w:rPr>
        <w:t xml:space="preserve">Необходима е позиция на Съюза, тъй като удължаването на срока на споразумението поражда правно действие за Съюза. </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 които пораждат правно действие по силата на разпоредбите на международното право, регулиращи съответната организация. То също така включва инструменти, които нямат задължителен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2"/>
      </w:r>
      <w:r>
        <w:rPr>
          <w:noProof/>
        </w:rPr>
        <w:t>.</w:t>
      </w:r>
    </w:p>
    <w:p>
      <w:pPr>
        <w:pStyle w:val="ManualHeading3"/>
        <w:rPr>
          <w:noProof/>
        </w:rPr>
      </w:pPr>
      <w:r>
        <w:t>4.1.2.</w:t>
      </w:r>
      <w:r>
        <w:tab/>
      </w:r>
      <w:r>
        <w:rPr>
          <w:noProof/>
        </w:rPr>
        <w:t>Приложение в конкретния случай</w:t>
      </w:r>
    </w:p>
    <w:p>
      <w:pPr>
        <w:rPr>
          <w:noProof/>
        </w:rPr>
      </w:pPr>
      <w:r>
        <w:rPr>
          <w:noProof/>
        </w:rPr>
        <w:t>Международният съвет по захарта е орган, създаден със споразумение, а именно Международното споразумение за захарта от 1992 г.</w:t>
      </w:r>
    </w:p>
    <w:p>
      <w:pPr>
        <w:rPr>
          <w:noProof/>
        </w:rPr>
      </w:pPr>
      <w:r>
        <w:rPr>
          <w:noProof/>
        </w:rPr>
        <w:t xml:space="preserve">Актът, който Международният съвет по захарта има за задача да приеме, представлява акт с правно действие. Предвиденият акт ще бъде задължителен съгласно международното право в съответствие с член 45, параграф 2 от споразумението.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въз основа на който се заема позиция от името на Съюза. Ако предвиденият акт има двойна цел или е съставен от две части, като едната цел или част е основна, а другата е само акцесорна, решението съгласно член 218, параграф 9 от ДФЕС трябва да има едно-единствено правно основание, а именно правно основание, което съответства на основната или преобладаващата цел или съставна част.</w:t>
      </w:r>
    </w:p>
    <w:p>
      <w:pPr>
        <w:pStyle w:val="ManualHeading3"/>
        <w:rPr>
          <w:noProof/>
        </w:rPr>
      </w:pPr>
      <w:r>
        <w:t>4.2.2.</w:t>
      </w:r>
      <w:r>
        <w:tab/>
      </w:r>
      <w:r>
        <w:rPr>
          <w:noProof/>
        </w:rPr>
        <w:t>Приложение в конкретния случай</w:t>
      </w:r>
    </w:p>
    <w:p>
      <w:pPr>
        <w:rPr>
          <w:noProof/>
        </w:rPr>
      </w:pPr>
      <w:r>
        <w:rPr>
          <w:noProof/>
        </w:rPr>
        <w:t>Основната цел и съдържанието на предвидения акт са свързани с общата търговска политика.</w:t>
      </w:r>
    </w:p>
    <w:p>
      <w:pPr>
        <w:rPr>
          <w:noProof/>
        </w:rPr>
      </w:pPr>
      <w:r>
        <w:rPr>
          <w:noProof/>
        </w:rPr>
        <w:t>Поради това материалноправното основание за предложеното решение е член 207 от ДФЕС.</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207 от ДФЕС във връзка с член 218, параграф 9.</w:t>
      </w:r>
    </w:p>
    <w:p>
      <w:pPr>
        <w:rPr>
          <w:noProof/>
        </w:rPr>
        <w:sectPr>
          <w:footerReference w:type="default" r:id="rId12"/>
          <w:footerReference w:type="first" r:id="rId13"/>
          <w:pgSz w:w="11907" w:h="16839"/>
          <w:pgMar w:top="1134" w:right="1417" w:bottom="1134" w:left="1417" w:header="709" w:footer="709" w:gutter="0"/>
          <w:cols w:space="708"/>
          <w:docGrid w:linePitch="360"/>
        </w:sectPr>
      </w:pPr>
    </w:p>
    <w:p>
      <w:pPr>
        <w:pStyle w:val="Rfrenceinterinstitutionnelle"/>
        <w:rPr>
          <w:noProof/>
        </w:rPr>
      </w:pPr>
      <w:r>
        <w:rPr>
          <w:noProof/>
        </w:rPr>
        <w:t>2017/0187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се заеме от името на Европейския съюз в рамките на Международния съвет по захарта по отношение на удължаването на срока на действие на Международното споразумение за захарта от 1992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Международното споразумение за захарта от 1992 г. („споразумението“) беше сключено с Решение 92/580/ЕИО на Съвета</w:t>
      </w:r>
      <w:r>
        <w:rPr>
          <w:rStyle w:val="FootnoteReference"/>
          <w:noProof/>
        </w:rPr>
        <w:footnoteReference w:id="3"/>
      </w:r>
      <w:r>
        <w:rPr>
          <w:noProof/>
        </w:rPr>
        <w:t xml:space="preserve"> и влезе в сила на 1 януари 1993 г. за срок от три години до 31 декември 1995 г. Оттогава срокът му редовно е удължаван за допълнителни периоди от по две години. Последно срокът на споразумението бе удължен с решение на Международния съвет по захарта през юни 2015 г.</w:t>
      </w:r>
      <w:r>
        <w:rPr>
          <w:rStyle w:val="FootnoteReference"/>
          <w:noProof/>
        </w:rPr>
        <w:footnoteReference w:id="4"/>
      </w:r>
      <w:r>
        <w:rPr>
          <w:noProof/>
        </w:rPr>
        <w:t xml:space="preserve"> и остава в сила до 31 декември 2017 г. </w:t>
      </w:r>
    </w:p>
    <w:p>
      <w:pPr>
        <w:pStyle w:val="ManualConsidrant"/>
        <w:rPr>
          <w:noProof/>
        </w:rPr>
      </w:pPr>
      <w:r>
        <w:t>(2)</w:t>
      </w:r>
      <w:r>
        <w:tab/>
      </w:r>
      <w:r>
        <w:rPr>
          <w:noProof/>
        </w:rPr>
        <w:t>Съгласно член 45, параграф 2 от споразумението „със специално гласуване Съветът може да продължи настоящото споразумение след 31 декември 1995 г., за последователни периоди, като всеки период е не по-дълъг от две години. Членовете, които не приемат така решеното продължение, съобщават това на Съвета писмено и престават да бъдат страни по настоящото споразумение, считано от началото на периода на продължаването срока на действие.“</w:t>
      </w:r>
    </w:p>
    <w:p>
      <w:pPr>
        <w:pStyle w:val="ManualConsidrant"/>
        <w:rPr>
          <w:noProof/>
        </w:rPr>
      </w:pPr>
      <w:r>
        <w:t>(3)</w:t>
      </w:r>
      <w:r>
        <w:tab/>
      </w:r>
      <w:r>
        <w:rPr>
          <w:noProof/>
        </w:rPr>
        <w:t xml:space="preserve">След 51-вата му сесия от 22 юни 2017 г. Международният съвет по захарта следва да вземе решение относно удължаването на срока на действие на Международното споразумение за захарта от 1992 г. с още 2 години („предвидения акт“). Решението ще бъде взето посредством писмена процедура. </w:t>
      </w:r>
    </w:p>
    <w:p>
      <w:pPr>
        <w:pStyle w:val="ManualConsidrant"/>
        <w:rPr>
          <w:noProof/>
        </w:rPr>
      </w:pPr>
      <w:r>
        <w:t>(4)</w:t>
      </w:r>
      <w:r>
        <w:tab/>
      </w:r>
      <w:r>
        <w:rPr>
          <w:noProof/>
        </w:rPr>
        <w:t>Целесъобразно е да се определи позицията, която да се заеме от името на Съюза в рамките на Международния съвет по захарта, тъй удължаването на срока на действие на споразумението ще бъде задължително за Съюза.</w:t>
      </w:r>
    </w:p>
    <w:p>
      <w:pPr>
        <w:pStyle w:val="ManualConsidrant"/>
        <w:rPr>
          <w:noProof/>
        </w:rPr>
      </w:pPr>
      <w:r>
        <w:t>(5)</w:t>
      </w:r>
      <w:r>
        <w:tab/>
      </w:r>
      <w:r>
        <w:rPr>
          <w:noProof/>
        </w:rPr>
        <w:t>В интерес на Съюза е действието на споразумението да бъде удължено за срок до две години.</w:t>
      </w:r>
    </w:p>
    <w:p>
      <w:pPr>
        <w:pStyle w:val="ManualConsidrant"/>
        <w:rPr>
          <w:noProof/>
        </w:rPr>
      </w:pPr>
      <w:r>
        <w:t>(6)</w:t>
      </w:r>
      <w:r>
        <w:tab/>
      </w:r>
      <w:r>
        <w:rPr>
          <w:noProof/>
        </w:rPr>
        <w:t>В рамките на Международния съвет по захарта Съюзът се представлява от Комисията в съответствие с член 17, параграф 1 от Договора за Европейския съюз (ДФЕС).</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Писмената позиция, която да се заеме от името на Съюза след 51-вата сесия на Международния съвет по захарта, е следната:</w:t>
      </w:r>
    </w:p>
    <w:p>
      <w:pPr>
        <w:rPr>
          <w:noProof/>
        </w:rPr>
      </w:pPr>
      <w:r>
        <w:rPr>
          <w:noProof/>
        </w:rPr>
        <w:t>Упълномощава се Комисията да заеме позиция в подкрепа на удължаването на срока на действие на Международното споразумение за захарта от 1992 г. за допълнителен срок от не повече от две години.</w:t>
      </w:r>
    </w:p>
    <w:p>
      <w:pPr>
        <w:pStyle w:val="Titrearticle"/>
        <w:rPr>
          <w:noProof/>
        </w:rPr>
      </w:pPr>
      <w:r>
        <w:rPr>
          <w:noProof/>
        </w:rPr>
        <w:t>Член 2</w:t>
      </w:r>
    </w:p>
    <w:p>
      <w:pPr>
        <w:rPr>
          <w:noProof/>
        </w:rPr>
      </w:pPr>
      <w:r>
        <w:rPr>
          <w:noProof/>
        </w:rPr>
        <w:t xml:space="preserve">След приемането му актът на Международния съвет по захарта се публикува в </w:t>
      </w:r>
      <w:r>
        <w:rPr>
          <w:i/>
          <w:noProof/>
        </w:rPr>
        <w:t>Официален вестник на Европейския съюз</w:t>
      </w:r>
      <w:r>
        <w:rPr>
          <w:noProof/>
        </w:rPr>
        <w:t>.</w:t>
      </w:r>
    </w:p>
    <w:p>
      <w:pPr>
        <w:pStyle w:val="Titrearticle"/>
        <w:rPr>
          <w:noProof/>
        </w:rPr>
      </w:pPr>
      <w:r>
        <w:rPr>
          <w:noProof/>
        </w:rPr>
        <w:t>Член 3</w:t>
      </w:r>
    </w:p>
    <w:p>
      <w:pPr>
        <w:pStyle w:val="Titrearticle"/>
        <w:keepLines/>
        <w:jc w:val="both"/>
        <w:rPr>
          <w:noProof/>
        </w:rPr>
      </w:pPr>
      <w:r>
        <w:rPr>
          <w:i w:val="0"/>
          <w:noProof/>
        </w:rPr>
        <w:t>Адресат на настоящото решение е Комисията.</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keepNext/>
        <w:rPr>
          <w:noProof/>
        </w:rPr>
        <w:sectPr>
          <w:pgSz w:w="11907" w:h="16839"/>
          <w:pgMar w:top="1134" w:right="1417" w:bottom="1134" w:left="1417" w:header="709" w:footer="709" w:gutter="0"/>
          <w:cols w:space="708"/>
          <w:docGrid w:linePitch="360"/>
        </w:sectPr>
      </w:pPr>
      <w:r>
        <w:rPr>
          <w:noProof/>
        </w:rPr>
        <w:tab/>
        <w:t>Председател</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3884"/>
        <w:gridCol w:w="1275"/>
        <w:gridCol w:w="142"/>
        <w:gridCol w:w="1134"/>
        <w:gridCol w:w="142"/>
        <w:gridCol w:w="283"/>
        <w:gridCol w:w="567"/>
        <w:gridCol w:w="1134"/>
      </w:tblGrid>
      <w:tr>
        <w:trPr>
          <w:trHeight w:val="355"/>
        </w:trPr>
        <w:tc>
          <w:tcPr>
            <w:tcW w:w="7144" w:type="dxa"/>
            <w:gridSpan w:val="6"/>
            <w:vMerge w:val="restart"/>
          </w:tcPr>
          <w:p>
            <w:pPr>
              <w:pStyle w:val="Fichefinanciretitretable"/>
              <w:keepNext/>
              <w:rPr>
                <w:noProof/>
              </w:rPr>
            </w:pPr>
            <w:r>
              <w:rPr>
                <w:noProof/>
              </w:rPr>
              <w:t>ФИНАНСОВА ОБОСНОВКА</w:t>
            </w:r>
          </w:p>
        </w:tc>
        <w:tc>
          <w:tcPr>
            <w:tcW w:w="1984" w:type="dxa"/>
            <w:gridSpan w:val="3"/>
          </w:tcPr>
          <w:p>
            <w:pPr>
              <w:pStyle w:val="Fichefinanciretextetable"/>
              <w:keepNext/>
            </w:pPr>
            <w:r>
              <w:t>Fin Stat/17/MK/ig/</w:t>
            </w:r>
          </w:p>
          <w:p>
            <w:pPr>
              <w:pStyle w:val="Fichefinanciretextetable"/>
              <w:keepNext/>
            </w:pPr>
            <w:r>
              <w:rPr>
                <w:noProof/>
              </w:rPr>
              <w:t>rev1_3163147</w:t>
            </w:r>
          </w:p>
          <w:p>
            <w:pPr>
              <w:pStyle w:val="Fichefinanciretextetable"/>
              <w:keepNext/>
            </w:pPr>
            <w:r>
              <w:rPr>
                <w:noProof/>
                <w:sz w:val="16"/>
              </w:rPr>
              <w:t>agri.ddg3.g.4(2017)3127013</w:t>
            </w:r>
          </w:p>
        </w:tc>
      </w:tr>
      <w:tr>
        <w:trPr>
          <w:trHeight w:val="355"/>
        </w:trPr>
        <w:tc>
          <w:tcPr>
            <w:tcW w:w="7144" w:type="dxa"/>
            <w:gridSpan w:val="6"/>
            <w:vMerge/>
            <w:tcBorders>
              <w:bottom w:val="nil"/>
            </w:tcBorders>
          </w:tcPr>
          <w:p>
            <w:pPr>
              <w:pStyle w:val="Fichefinanciretitretable"/>
              <w:keepNext/>
              <w:rPr>
                <w:noProof/>
              </w:rPr>
            </w:pPr>
          </w:p>
        </w:tc>
        <w:tc>
          <w:tcPr>
            <w:tcW w:w="1984" w:type="dxa"/>
            <w:gridSpan w:val="3"/>
          </w:tcPr>
          <w:p>
            <w:pPr>
              <w:pStyle w:val="Fichefinanciretextetable"/>
              <w:keepNext/>
            </w:pPr>
            <w:r>
              <w:rPr>
                <w:rFonts w:ascii="Arial" w:hAnsi="Arial"/>
                <w:i/>
                <w:noProof/>
                <w:spacing w:val="-3"/>
              </w:rPr>
              <w:t>6.221.2017.1</w:t>
            </w:r>
          </w:p>
        </w:tc>
      </w:tr>
      <w:tr>
        <w:tc>
          <w:tcPr>
            <w:tcW w:w="7144" w:type="dxa"/>
            <w:gridSpan w:val="6"/>
            <w:tcBorders>
              <w:top w:val="nil"/>
            </w:tcBorders>
          </w:tcPr>
          <w:p>
            <w:pPr>
              <w:pStyle w:val="Fichefinanciretextetable"/>
              <w:keepNext/>
              <w:rPr>
                <w:noProof/>
              </w:rPr>
            </w:pPr>
          </w:p>
        </w:tc>
        <w:tc>
          <w:tcPr>
            <w:tcW w:w="1984" w:type="dxa"/>
            <w:gridSpan w:val="3"/>
          </w:tcPr>
          <w:p>
            <w:pPr>
              <w:pStyle w:val="Fichefinanciretextetable"/>
              <w:keepNext/>
            </w:pPr>
            <w:r>
              <w:rPr>
                <w:noProof/>
              </w:rPr>
              <w:t>ДАТА: 11</w:t>
            </w:r>
            <w:r>
              <w:t>.7.2017 г.</w:t>
            </w:r>
          </w:p>
          <w:p>
            <w:pPr>
              <w:pStyle w:val="Fichefinanciretextetable"/>
              <w:keepNext/>
              <w:rPr>
                <w:noProof/>
              </w:rPr>
            </w:pPr>
          </w:p>
        </w:tc>
      </w:tr>
      <w:tr>
        <w:tc>
          <w:tcPr>
            <w:tcW w:w="567" w:type="dxa"/>
            <w:tcBorders>
              <w:right w:val="nil"/>
            </w:tcBorders>
          </w:tcPr>
          <w:p>
            <w:pPr>
              <w:pStyle w:val="Fichefinanciretextetable"/>
              <w:keepNext/>
              <w:rPr>
                <w:noProof/>
              </w:rPr>
            </w:pPr>
            <w:r>
              <w:rPr>
                <w:noProof/>
              </w:rPr>
              <w:t>1.</w:t>
            </w:r>
          </w:p>
        </w:tc>
        <w:tc>
          <w:tcPr>
            <w:tcW w:w="6577" w:type="dxa"/>
            <w:gridSpan w:val="5"/>
            <w:tcBorders>
              <w:left w:val="nil"/>
              <w:right w:val="nil"/>
            </w:tcBorders>
          </w:tcPr>
          <w:p>
            <w:pPr>
              <w:pStyle w:val="Fichefinanciretextetable"/>
              <w:keepNext/>
              <w:rPr>
                <w:noProof/>
              </w:rPr>
            </w:pPr>
            <w:r>
              <w:rPr>
                <w:noProof/>
              </w:rPr>
              <w:t>БЮДЖЕТЕН РЕД:</w:t>
            </w:r>
          </w:p>
          <w:p>
            <w:pPr>
              <w:pStyle w:val="Fichefinanciretextetable"/>
              <w:keepNext/>
              <w:rPr>
                <w:noProof/>
              </w:rPr>
            </w:pPr>
            <w:r>
              <w:rPr>
                <w:noProof/>
              </w:rPr>
              <w:t>ГЛАВА 05 06 — МЕЖДУНАРОДНИ АСПЕКТИ В ОБЛАСТ НА ПОЛИТИКАТА „ЗЕМЕДЕЛИЕ И РАЗВИТИЕ НА СЕЛСКИТЕ РАЙОНИ“</w:t>
            </w:r>
          </w:p>
          <w:p>
            <w:pPr>
              <w:pStyle w:val="Fichefinanciretextetable"/>
              <w:keepNext/>
              <w:rPr>
                <w:noProof/>
              </w:rPr>
            </w:pPr>
            <w:r>
              <w:rPr>
                <w:noProof/>
              </w:rPr>
              <w:t>05 06 01 - Международни споразумения в сферата на селското стопанство</w:t>
            </w:r>
          </w:p>
          <w:p>
            <w:pPr>
              <w:pStyle w:val="Fichefinanciretextetable"/>
              <w:keepNext/>
              <w:rPr>
                <w:noProof/>
              </w:rPr>
            </w:pPr>
          </w:p>
        </w:tc>
        <w:tc>
          <w:tcPr>
            <w:tcW w:w="1984" w:type="dxa"/>
            <w:gridSpan w:val="3"/>
            <w:tcBorders>
              <w:left w:val="nil"/>
            </w:tcBorders>
          </w:tcPr>
          <w:p>
            <w:pPr>
              <w:pStyle w:val="Fichefinanciretextetable"/>
              <w:keepNext/>
              <w:rPr>
                <w:noProof/>
              </w:rPr>
            </w:pPr>
            <w:r>
              <w:rPr>
                <w:noProof/>
              </w:rPr>
              <w:t>БЮДЖЕТНИ КРЕДИТИ:</w:t>
            </w:r>
          </w:p>
          <w:p>
            <w:pPr>
              <w:pStyle w:val="Fichefinanciretextetable"/>
              <w:keepNext/>
              <w:rPr>
                <w:noProof/>
              </w:rPr>
            </w:pPr>
          </w:p>
          <w:p>
            <w:pPr>
              <w:pStyle w:val="Fichefinanciretextetable"/>
              <w:keepNext/>
              <w:rPr>
                <w:noProof/>
              </w:rPr>
            </w:pPr>
            <w:r>
              <w:rPr>
                <w:noProof/>
              </w:rPr>
              <w:t>B2017: 8 105 849 EUR</w:t>
            </w:r>
          </w:p>
          <w:p>
            <w:pPr>
              <w:pStyle w:val="Fichefinanciretextetable"/>
              <w:keepNext/>
              <w:rPr>
                <w:noProof/>
              </w:rPr>
            </w:pPr>
            <w:r>
              <w:rPr>
                <w:noProof/>
              </w:rPr>
              <w:t>DB2018: 7 228 000 EUR</w:t>
            </w:r>
          </w:p>
        </w:tc>
      </w:tr>
      <w:tr>
        <w:tc>
          <w:tcPr>
            <w:tcW w:w="567" w:type="dxa"/>
            <w:tcBorders>
              <w:bottom w:val="nil"/>
              <w:right w:val="nil"/>
            </w:tcBorders>
          </w:tcPr>
          <w:p>
            <w:pPr>
              <w:pStyle w:val="Fichefinanciretextetable"/>
              <w:keepNext/>
              <w:rPr>
                <w:noProof/>
              </w:rPr>
            </w:pPr>
            <w:r>
              <w:rPr>
                <w:noProof/>
              </w:rPr>
              <w:t>2.</w:t>
            </w:r>
          </w:p>
        </w:tc>
        <w:tc>
          <w:tcPr>
            <w:tcW w:w="8561" w:type="dxa"/>
            <w:gridSpan w:val="8"/>
            <w:tcBorders>
              <w:left w:val="nil"/>
            </w:tcBorders>
          </w:tcPr>
          <w:p>
            <w:pPr>
              <w:pStyle w:val="Fichefinanciretextetable"/>
              <w:keepNext/>
              <w:rPr>
                <w:noProof/>
              </w:rPr>
            </w:pPr>
            <w:r>
              <w:rPr>
                <w:noProof/>
              </w:rPr>
              <w:t>НАИМЕНОВАНИЕ:</w:t>
            </w:r>
            <w:r>
              <w:rPr>
                <w:noProof/>
              </w:rPr>
              <w:br/>
              <w:t>Предложение за Решение на Съвета относно позицията, която да се заеме от името на Европейския съюз в рамките на Международния съвет по захарта по отношение на удължаването на срока на действие на Международното споразумение за захарта от 1992 г.</w:t>
            </w:r>
          </w:p>
          <w:p>
            <w:pPr>
              <w:pStyle w:val="Fichefinanciretextetable"/>
              <w:keepNext/>
              <w:rPr>
                <w:noProof/>
              </w:rPr>
            </w:pPr>
          </w:p>
        </w:tc>
      </w:tr>
      <w:tr>
        <w:tc>
          <w:tcPr>
            <w:tcW w:w="567" w:type="dxa"/>
            <w:tcBorders>
              <w:bottom w:val="nil"/>
              <w:right w:val="nil"/>
            </w:tcBorders>
          </w:tcPr>
          <w:p>
            <w:pPr>
              <w:pStyle w:val="Fichefinanciretextetable"/>
              <w:keepNext/>
              <w:rPr>
                <w:noProof/>
              </w:rPr>
            </w:pPr>
            <w:r>
              <w:rPr>
                <w:noProof/>
              </w:rPr>
              <w:t>3.</w:t>
            </w:r>
          </w:p>
        </w:tc>
        <w:tc>
          <w:tcPr>
            <w:tcW w:w="8561" w:type="dxa"/>
            <w:gridSpan w:val="8"/>
            <w:tcBorders>
              <w:left w:val="nil"/>
            </w:tcBorders>
          </w:tcPr>
          <w:p>
            <w:pPr>
              <w:pStyle w:val="Fichefinanciretextetable"/>
              <w:keepNext/>
              <w:rPr>
                <w:noProof/>
              </w:rPr>
            </w:pPr>
            <w:r>
              <w:rPr>
                <w:noProof/>
              </w:rPr>
              <w:t>ПРАВНО ОСНОВАНИЕ: Член 207 във връзка с член 218, параграф 9 от Договора за функционирането на Европейския съюз.</w:t>
            </w:r>
          </w:p>
          <w:p>
            <w:pPr>
              <w:pStyle w:val="Fichefinanciretextetable"/>
              <w:keepNext/>
              <w:rPr>
                <w:noProof/>
              </w:rPr>
            </w:pPr>
          </w:p>
        </w:tc>
      </w:tr>
      <w:tr>
        <w:tc>
          <w:tcPr>
            <w:tcW w:w="567" w:type="dxa"/>
            <w:tcBorders>
              <w:right w:val="nil"/>
            </w:tcBorders>
          </w:tcPr>
          <w:p>
            <w:pPr>
              <w:pStyle w:val="Fichefinanciretextetable"/>
              <w:keepNext/>
              <w:rPr>
                <w:noProof/>
              </w:rPr>
            </w:pPr>
            <w:r>
              <w:rPr>
                <w:noProof/>
              </w:rPr>
              <w:t>4.</w:t>
            </w:r>
          </w:p>
        </w:tc>
        <w:tc>
          <w:tcPr>
            <w:tcW w:w="8561" w:type="dxa"/>
            <w:gridSpan w:val="8"/>
            <w:tcBorders>
              <w:left w:val="nil"/>
            </w:tcBorders>
          </w:tcPr>
          <w:p>
            <w:pPr>
              <w:pStyle w:val="Fichefinanciretextetable"/>
              <w:keepNext/>
              <w:rPr>
                <w:noProof/>
              </w:rPr>
            </w:pPr>
            <w:r>
              <w:rPr>
                <w:noProof/>
              </w:rPr>
              <w:t>ЦЕЛИ:</w:t>
            </w:r>
          </w:p>
          <w:p>
            <w:pPr>
              <w:pStyle w:val="Fichefinanciretextetable"/>
              <w:keepNext/>
              <w:rPr>
                <w:noProof/>
              </w:rPr>
            </w:pPr>
            <w:r>
              <w:rPr>
                <w:noProof/>
              </w:rPr>
              <w:t>Удължаване с още две години на срока на действие на съществуващото Международно споразумение за захарта (1.1.2018—31.12.2019 г.). (няма финансово отражение през 2017 г.).</w:t>
            </w:r>
          </w:p>
          <w:p>
            <w:pPr>
              <w:pStyle w:val="Fichefinanciretextetable"/>
              <w:keepNext/>
              <w:rPr>
                <w:noProof/>
              </w:rPr>
            </w:pPr>
          </w:p>
        </w:tc>
      </w:tr>
      <w:tr>
        <w:tc>
          <w:tcPr>
            <w:tcW w:w="567" w:type="dxa"/>
            <w:tcBorders>
              <w:bottom w:val="nil"/>
              <w:right w:val="nil"/>
            </w:tcBorders>
          </w:tcPr>
          <w:p>
            <w:pPr>
              <w:pStyle w:val="Fichefinanciretextetable"/>
              <w:keepNext/>
              <w:rPr>
                <w:noProof/>
              </w:rPr>
            </w:pPr>
            <w:r>
              <w:rPr>
                <w:noProof/>
              </w:rPr>
              <w:t>5.</w:t>
            </w:r>
          </w:p>
        </w:tc>
        <w:tc>
          <w:tcPr>
            <w:tcW w:w="3884" w:type="dxa"/>
            <w:tcBorders>
              <w:left w:val="nil"/>
            </w:tcBorders>
          </w:tcPr>
          <w:p>
            <w:pPr>
              <w:pStyle w:val="Fichefinanciretextetable"/>
              <w:keepNext/>
              <w:rPr>
                <w:noProof/>
              </w:rPr>
            </w:pPr>
            <w:r>
              <w:rPr>
                <w:noProof/>
              </w:rPr>
              <w:t>ФИНАНСОВО ОТРАЖЕНИЕ</w:t>
            </w:r>
          </w:p>
        </w:tc>
        <w:tc>
          <w:tcPr>
            <w:tcW w:w="1417" w:type="dxa"/>
            <w:gridSpan w:val="2"/>
          </w:tcPr>
          <w:p>
            <w:pPr>
              <w:pStyle w:val="Fichefinanciretextetable"/>
              <w:keepNext/>
              <w:jc w:val="center"/>
              <w:rPr>
                <w:noProof/>
              </w:rPr>
            </w:pPr>
            <w:r>
              <w:rPr>
                <w:noProof/>
              </w:rPr>
              <w:t>ПЕРИОД ОТ 12 МЕСЕЦА</w:t>
            </w:r>
            <w:r>
              <w:rPr>
                <w:noProof/>
              </w:rPr>
              <w:br/>
            </w:r>
            <w:r>
              <w:rPr>
                <w:noProof/>
              </w:rPr>
              <w:br/>
            </w:r>
            <w:r>
              <w:rPr>
                <w:noProof/>
              </w:rPr>
              <w:br/>
              <w:t>(в млн. евро)</w:t>
            </w:r>
          </w:p>
        </w:tc>
        <w:tc>
          <w:tcPr>
            <w:tcW w:w="1559" w:type="dxa"/>
            <w:gridSpan w:val="3"/>
          </w:tcPr>
          <w:p>
            <w:pPr>
              <w:pStyle w:val="Fichefinanciretextetable"/>
              <w:keepNext/>
              <w:jc w:val="center"/>
              <w:rPr>
                <w:noProof/>
              </w:rPr>
            </w:pPr>
            <w:r>
              <w:rPr>
                <w:noProof/>
              </w:rPr>
              <w:t>ТЕКУЩА ФИНАНСОВА ГОДИНА</w:t>
            </w:r>
          </w:p>
          <w:p>
            <w:pPr>
              <w:pStyle w:val="Fichefinanciretextetable"/>
              <w:keepNext/>
              <w:jc w:val="center"/>
              <w:rPr>
                <w:noProof/>
              </w:rPr>
            </w:pPr>
            <w:r>
              <w:rPr>
                <w:noProof/>
              </w:rPr>
              <w:t>2017 г.</w:t>
            </w:r>
          </w:p>
          <w:p>
            <w:pPr>
              <w:pStyle w:val="Fichefinanciretextetable"/>
              <w:keepNext/>
              <w:jc w:val="center"/>
              <w:rPr>
                <w:noProof/>
              </w:rPr>
            </w:pPr>
            <w:r>
              <w:rPr>
                <w:noProof/>
              </w:rPr>
              <w:t>(в млн. евро)</w:t>
            </w:r>
          </w:p>
        </w:tc>
        <w:tc>
          <w:tcPr>
            <w:tcW w:w="1701" w:type="dxa"/>
            <w:gridSpan w:val="2"/>
          </w:tcPr>
          <w:p>
            <w:pPr>
              <w:pStyle w:val="Fichefinanciretextetable"/>
              <w:keepNext/>
              <w:jc w:val="center"/>
              <w:rPr>
                <w:noProof/>
              </w:rPr>
            </w:pPr>
            <w:r>
              <w:rPr>
                <w:noProof/>
              </w:rPr>
              <w:t>СЛЕДВАЩА ФИНАНСОВА ГОДИНА</w:t>
            </w:r>
          </w:p>
          <w:p>
            <w:pPr>
              <w:pStyle w:val="Fichefinanciretextetable"/>
              <w:keepNext/>
              <w:jc w:val="center"/>
              <w:rPr>
                <w:noProof/>
              </w:rPr>
            </w:pPr>
            <w:r>
              <w:rPr>
                <w:noProof/>
              </w:rPr>
              <w:t>2018 г. (млн. евро)</w:t>
            </w:r>
          </w:p>
        </w:tc>
      </w:tr>
      <w:tr>
        <w:tc>
          <w:tcPr>
            <w:tcW w:w="567" w:type="dxa"/>
            <w:tcBorders>
              <w:bottom w:val="nil"/>
              <w:right w:val="nil"/>
            </w:tcBorders>
          </w:tcPr>
          <w:p>
            <w:pPr>
              <w:pStyle w:val="Fichefinanciretextetable"/>
              <w:keepNext/>
              <w:rPr>
                <w:noProof/>
              </w:rPr>
            </w:pPr>
            <w:r>
              <w:rPr>
                <w:noProof/>
              </w:rPr>
              <w:t>5,0</w:t>
            </w:r>
          </w:p>
        </w:tc>
        <w:tc>
          <w:tcPr>
            <w:tcW w:w="3884" w:type="dxa"/>
            <w:tcBorders>
              <w:left w:val="nil"/>
            </w:tcBorders>
          </w:tcPr>
          <w:p>
            <w:pPr>
              <w:pStyle w:val="Fichefinanciretextetable"/>
              <w:keepNext/>
              <w:rPr>
                <w:noProof/>
              </w:rPr>
            </w:pPr>
            <w:r>
              <w:rPr>
                <w:noProof/>
              </w:rPr>
              <w:t>РАЗХОДИ</w:t>
            </w:r>
          </w:p>
          <w:p>
            <w:pPr>
              <w:pStyle w:val="Fichefinanciretextetable"/>
              <w:keepNext/>
              <w:rPr>
                <w:noProof/>
              </w:rPr>
            </w:pPr>
            <w:r>
              <w:rPr>
                <w:noProof/>
              </w:rPr>
              <w:t>-</w:t>
            </w:r>
            <w:r>
              <w:rPr>
                <w:noProof/>
              </w:rPr>
              <w:tab/>
              <w:t>ЗА СМЕТКА НА БЮДЖЕТА НА ЕС</w:t>
            </w:r>
            <w:r>
              <w:rPr>
                <w:noProof/>
              </w:rPr>
              <w:br/>
              <w:t>(ВЪЗСТАНОВЯВАНИЯ/ИНТЕРВЕНЦИИ)</w:t>
            </w:r>
          </w:p>
          <w:p>
            <w:pPr>
              <w:pStyle w:val="Fichefinanciretextetable"/>
              <w:keepNext/>
              <w:rPr>
                <w:noProof/>
              </w:rPr>
            </w:pPr>
            <w:r>
              <w:rPr>
                <w:noProof/>
              </w:rPr>
              <w:t>-</w:t>
            </w:r>
            <w:r>
              <w:rPr>
                <w:noProof/>
              </w:rPr>
              <w:tab/>
              <w:t>НА НАЦИОНАЛНИТЕ ОРГАНИ</w:t>
            </w:r>
          </w:p>
          <w:p>
            <w:pPr>
              <w:pStyle w:val="Fichefinanciretextetable"/>
              <w:keepNext/>
              <w:rPr>
                <w:noProof/>
              </w:rPr>
            </w:pPr>
            <w:r>
              <w:rPr>
                <w:noProof/>
              </w:rPr>
              <w:t>-</w:t>
            </w:r>
            <w:r>
              <w:rPr>
                <w:noProof/>
              </w:rPr>
              <w:tab/>
              <w:t>ДРУГИ</w:t>
            </w:r>
          </w:p>
        </w:tc>
        <w:tc>
          <w:tcPr>
            <w:tcW w:w="1417" w:type="dxa"/>
            <w:gridSpan w:val="2"/>
          </w:tcPr>
          <w:p>
            <w:pPr>
              <w:pStyle w:val="Fichefinanciretextetable"/>
              <w:keepNext/>
              <w:jc w:val="center"/>
              <w:rPr>
                <w:noProof/>
              </w:rPr>
            </w:pPr>
          </w:p>
        </w:tc>
        <w:tc>
          <w:tcPr>
            <w:tcW w:w="1559" w:type="dxa"/>
            <w:gridSpan w:val="3"/>
          </w:tcPr>
          <w:p>
            <w:pPr>
              <w:pStyle w:val="Fichefinanciretextetable"/>
              <w:keepNext/>
              <w:jc w:val="center"/>
              <w:rPr>
                <w:noProof/>
              </w:rPr>
            </w:pPr>
          </w:p>
        </w:tc>
        <w:tc>
          <w:tcPr>
            <w:tcW w:w="1701" w:type="dxa"/>
            <w:gridSpan w:val="2"/>
          </w:tcPr>
          <w:p>
            <w:pPr>
              <w:pStyle w:val="Fichefinanciretextetable"/>
              <w:keepNext/>
              <w:tabs>
                <w:tab w:val="left" w:pos="435"/>
                <w:tab w:val="center" w:pos="794"/>
              </w:tabs>
              <w:rPr>
                <w:noProof/>
              </w:rPr>
            </w:pPr>
            <w:r>
              <w:rPr>
                <w:noProof/>
              </w:rPr>
              <w:tab/>
              <w:t>0,49</w:t>
            </w:r>
          </w:p>
        </w:tc>
      </w:tr>
      <w:tr>
        <w:tc>
          <w:tcPr>
            <w:tcW w:w="567" w:type="dxa"/>
            <w:tcBorders>
              <w:right w:val="nil"/>
            </w:tcBorders>
          </w:tcPr>
          <w:p>
            <w:pPr>
              <w:pStyle w:val="Fichefinanciretextetable"/>
              <w:keepNext/>
              <w:rPr>
                <w:noProof/>
              </w:rPr>
            </w:pPr>
            <w:r>
              <w:rPr>
                <w:noProof/>
              </w:rPr>
              <w:t>5,1</w:t>
            </w:r>
          </w:p>
        </w:tc>
        <w:tc>
          <w:tcPr>
            <w:tcW w:w="3884" w:type="dxa"/>
            <w:tcBorders>
              <w:left w:val="nil"/>
            </w:tcBorders>
          </w:tcPr>
          <w:p>
            <w:pPr>
              <w:pStyle w:val="Fichefinanciretextetable"/>
              <w:keepNext/>
              <w:rPr>
                <w:noProof/>
              </w:rPr>
            </w:pPr>
            <w:r>
              <w:rPr>
                <w:noProof/>
              </w:rPr>
              <w:t>ПРИХОДИ</w:t>
            </w:r>
          </w:p>
          <w:p>
            <w:pPr>
              <w:pStyle w:val="Fichefinanciretextetable"/>
              <w:keepNext/>
              <w:rPr>
                <w:noProof/>
              </w:rPr>
            </w:pPr>
            <w:r>
              <w:rPr>
                <w:noProof/>
              </w:rPr>
              <w:t>-</w:t>
            </w:r>
            <w:r>
              <w:rPr>
                <w:noProof/>
              </w:rPr>
              <w:tab/>
              <w:t xml:space="preserve">СОБСТВЕНИ РЕСУРСИ НА ЕС </w:t>
            </w:r>
            <w:r>
              <w:rPr>
                <w:noProof/>
              </w:rPr>
              <w:br/>
              <w:t>(НАЛОЗИ/МИТА)</w:t>
            </w:r>
          </w:p>
          <w:p>
            <w:pPr>
              <w:pStyle w:val="Fichefinanciretextetable"/>
              <w:keepNext/>
              <w:rPr>
                <w:noProof/>
              </w:rPr>
            </w:pPr>
            <w:r>
              <w:rPr>
                <w:noProof/>
              </w:rPr>
              <w:t>-</w:t>
            </w:r>
            <w:r>
              <w:rPr>
                <w:noProof/>
              </w:rPr>
              <w:tab/>
              <w:t>НАЦИОНАЛНИ</w:t>
            </w:r>
          </w:p>
        </w:tc>
        <w:tc>
          <w:tcPr>
            <w:tcW w:w="1417" w:type="dxa"/>
            <w:gridSpan w:val="2"/>
          </w:tcPr>
          <w:p>
            <w:pPr>
              <w:pStyle w:val="Fichefinanciretextetable"/>
              <w:keepNext/>
              <w:jc w:val="center"/>
              <w:rPr>
                <w:noProof/>
              </w:rPr>
            </w:pPr>
          </w:p>
        </w:tc>
        <w:tc>
          <w:tcPr>
            <w:tcW w:w="1559" w:type="dxa"/>
            <w:gridSpan w:val="3"/>
          </w:tcPr>
          <w:p>
            <w:pPr>
              <w:pStyle w:val="Fichefinanciretextetable"/>
              <w:keepNext/>
              <w:jc w:val="center"/>
              <w:rPr>
                <w:noProof/>
              </w:rPr>
            </w:pPr>
          </w:p>
        </w:tc>
        <w:tc>
          <w:tcPr>
            <w:tcW w:w="1701" w:type="dxa"/>
            <w:gridSpan w:val="2"/>
          </w:tcPr>
          <w:p>
            <w:pPr>
              <w:pStyle w:val="Fichefinanciretextetable"/>
              <w:keepNext/>
              <w:jc w:val="center"/>
              <w:rPr>
                <w:noProof/>
              </w:rPr>
            </w:pPr>
          </w:p>
        </w:tc>
      </w:tr>
      <w:tr>
        <w:tc>
          <w:tcPr>
            <w:tcW w:w="567" w:type="dxa"/>
            <w:tcBorders>
              <w:bottom w:val="nil"/>
              <w:right w:val="nil"/>
            </w:tcBorders>
          </w:tcPr>
          <w:p>
            <w:pPr>
              <w:pStyle w:val="Fichefinanciretextetable"/>
              <w:keepNext/>
              <w:rPr>
                <w:noProof/>
              </w:rPr>
            </w:pPr>
          </w:p>
        </w:tc>
        <w:tc>
          <w:tcPr>
            <w:tcW w:w="3884" w:type="dxa"/>
            <w:tcBorders>
              <w:left w:val="nil"/>
              <w:bottom w:val="nil"/>
            </w:tcBorders>
          </w:tcPr>
          <w:p>
            <w:pPr>
              <w:pStyle w:val="Fichefinanciretextetable"/>
              <w:keepNext/>
              <w:rPr>
                <w:noProof/>
              </w:rPr>
            </w:pPr>
          </w:p>
        </w:tc>
        <w:tc>
          <w:tcPr>
            <w:tcW w:w="1275" w:type="dxa"/>
            <w:tcBorders>
              <w:bottom w:val="nil"/>
            </w:tcBorders>
          </w:tcPr>
          <w:p>
            <w:pPr>
              <w:pStyle w:val="Fichefinanciretextetable"/>
              <w:keepNext/>
              <w:jc w:val="center"/>
              <w:rPr>
                <w:noProof/>
              </w:rPr>
            </w:pPr>
            <w:r>
              <w:rPr>
                <w:noProof/>
              </w:rPr>
              <w:t>2019 г.</w:t>
            </w:r>
          </w:p>
          <w:p>
            <w:pPr>
              <w:pStyle w:val="Fichefinanciretextetable"/>
              <w:keepNext/>
              <w:jc w:val="center"/>
              <w:rPr>
                <w:noProof/>
              </w:rPr>
            </w:pPr>
            <w:r>
              <w:rPr>
                <w:noProof/>
              </w:rPr>
              <w:t>(в млн. евро)</w:t>
            </w:r>
          </w:p>
        </w:tc>
        <w:tc>
          <w:tcPr>
            <w:tcW w:w="1276" w:type="dxa"/>
            <w:gridSpan w:val="2"/>
            <w:tcBorders>
              <w:bottom w:val="nil"/>
            </w:tcBorders>
          </w:tcPr>
          <w:p>
            <w:pPr>
              <w:pStyle w:val="Fichefinanciretextetable"/>
              <w:keepNext/>
              <w:jc w:val="center"/>
            </w:pPr>
          </w:p>
        </w:tc>
        <w:tc>
          <w:tcPr>
            <w:tcW w:w="992" w:type="dxa"/>
            <w:gridSpan w:val="3"/>
            <w:tcBorders>
              <w:bottom w:val="nil"/>
            </w:tcBorders>
          </w:tcPr>
          <w:p>
            <w:pPr>
              <w:pStyle w:val="Fichefinanciretextetable"/>
              <w:keepNext/>
              <w:jc w:val="center"/>
            </w:pPr>
          </w:p>
        </w:tc>
        <w:tc>
          <w:tcPr>
            <w:tcW w:w="1134" w:type="dxa"/>
            <w:tcBorders>
              <w:bottom w:val="nil"/>
            </w:tcBorders>
          </w:tcPr>
          <w:p>
            <w:pPr>
              <w:pStyle w:val="Fichefinanciretextetable"/>
              <w:keepNext/>
              <w:jc w:val="center"/>
            </w:pPr>
          </w:p>
        </w:tc>
      </w:tr>
      <w:tr>
        <w:tc>
          <w:tcPr>
            <w:tcW w:w="567" w:type="dxa"/>
            <w:tcBorders>
              <w:top w:val="nil"/>
              <w:bottom w:val="nil"/>
              <w:right w:val="nil"/>
            </w:tcBorders>
          </w:tcPr>
          <w:p>
            <w:pPr>
              <w:pStyle w:val="Fichefinanciretextetable"/>
              <w:keepNext/>
              <w:rPr>
                <w:noProof/>
              </w:rPr>
            </w:pPr>
            <w:r>
              <w:rPr>
                <w:noProof/>
              </w:rPr>
              <w:t>5.0.1</w:t>
            </w:r>
          </w:p>
        </w:tc>
        <w:tc>
          <w:tcPr>
            <w:tcW w:w="3884" w:type="dxa"/>
            <w:tcBorders>
              <w:top w:val="nil"/>
              <w:left w:val="nil"/>
              <w:bottom w:val="nil"/>
            </w:tcBorders>
          </w:tcPr>
          <w:p>
            <w:pPr>
              <w:pStyle w:val="Fichefinanciretextetable"/>
              <w:keepNext/>
              <w:rPr>
                <w:noProof/>
              </w:rPr>
            </w:pPr>
            <w:r>
              <w:rPr>
                <w:noProof/>
              </w:rPr>
              <w:t>ОЧАКВАНИ РАЗХОДИ</w:t>
            </w:r>
          </w:p>
        </w:tc>
        <w:tc>
          <w:tcPr>
            <w:tcW w:w="1275" w:type="dxa"/>
            <w:tcBorders>
              <w:bottom w:val="nil"/>
            </w:tcBorders>
          </w:tcPr>
          <w:p>
            <w:pPr>
              <w:pStyle w:val="Fichefinanciretextetable"/>
              <w:keepNext/>
              <w:jc w:val="center"/>
              <w:rPr>
                <w:noProof/>
              </w:rPr>
            </w:pPr>
            <w:r>
              <w:rPr>
                <w:noProof/>
              </w:rPr>
              <w:t>0,57</w:t>
            </w:r>
          </w:p>
        </w:tc>
        <w:tc>
          <w:tcPr>
            <w:tcW w:w="1276" w:type="dxa"/>
            <w:gridSpan w:val="2"/>
            <w:tcBorders>
              <w:bottom w:val="nil"/>
            </w:tcBorders>
          </w:tcPr>
          <w:p>
            <w:pPr>
              <w:pStyle w:val="Fichefinanciretextetable"/>
              <w:keepNext/>
              <w:jc w:val="center"/>
              <w:rPr>
                <w:noProof/>
              </w:rPr>
            </w:pPr>
          </w:p>
        </w:tc>
        <w:tc>
          <w:tcPr>
            <w:tcW w:w="992" w:type="dxa"/>
            <w:gridSpan w:val="3"/>
            <w:tcBorders>
              <w:bottom w:val="nil"/>
            </w:tcBorders>
          </w:tcPr>
          <w:p>
            <w:pPr>
              <w:pStyle w:val="Fichefinanciretextetable"/>
              <w:keepNext/>
              <w:jc w:val="center"/>
              <w:rPr>
                <w:noProof/>
              </w:rPr>
            </w:pPr>
          </w:p>
        </w:tc>
        <w:tc>
          <w:tcPr>
            <w:tcW w:w="1134" w:type="dxa"/>
            <w:tcBorders>
              <w:bottom w:val="nil"/>
            </w:tcBorders>
          </w:tcPr>
          <w:p>
            <w:pPr>
              <w:pStyle w:val="Fichefinanciretextetable"/>
              <w:keepNext/>
              <w:jc w:val="center"/>
              <w:rPr>
                <w:noProof/>
              </w:rPr>
            </w:pPr>
          </w:p>
        </w:tc>
      </w:tr>
      <w:tr>
        <w:tc>
          <w:tcPr>
            <w:tcW w:w="567" w:type="dxa"/>
            <w:tcBorders>
              <w:top w:val="nil"/>
              <w:right w:val="nil"/>
            </w:tcBorders>
          </w:tcPr>
          <w:p>
            <w:pPr>
              <w:pStyle w:val="Fichefinanciretextetable"/>
              <w:keepNext/>
              <w:rPr>
                <w:noProof/>
              </w:rPr>
            </w:pPr>
            <w:r>
              <w:rPr>
                <w:noProof/>
              </w:rPr>
              <w:t>5.1.1</w:t>
            </w:r>
          </w:p>
        </w:tc>
        <w:tc>
          <w:tcPr>
            <w:tcW w:w="3884" w:type="dxa"/>
            <w:tcBorders>
              <w:top w:val="nil"/>
              <w:left w:val="nil"/>
            </w:tcBorders>
          </w:tcPr>
          <w:p>
            <w:pPr>
              <w:pStyle w:val="Fichefinanciretextetable"/>
              <w:keepNext/>
              <w:rPr>
                <w:noProof/>
              </w:rPr>
            </w:pPr>
            <w:r>
              <w:rPr>
                <w:noProof/>
              </w:rPr>
              <w:t>ОЧАКВАНИ ПРИХОДИ</w:t>
            </w:r>
          </w:p>
        </w:tc>
        <w:tc>
          <w:tcPr>
            <w:tcW w:w="1275" w:type="dxa"/>
            <w:tcBorders>
              <w:top w:val="nil"/>
            </w:tcBorders>
          </w:tcPr>
          <w:p>
            <w:pPr>
              <w:pStyle w:val="Fichefinanciretextetable"/>
              <w:keepNext/>
              <w:jc w:val="center"/>
              <w:rPr>
                <w:noProof/>
              </w:rPr>
            </w:pPr>
          </w:p>
        </w:tc>
        <w:tc>
          <w:tcPr>
            <w:tcW w:w="1276" w:type="dxa"/>
            <w:gridSpan w:val="2"/>
            <w:tcBorders>
              <w:top w:val="nil"/>
            </w:tcBorders>
          </w:tcPr>
          <w:p>
            <w:pPr>
              <w:pStyle w:val="Fichefinanciretextetable"/>
              <w:keepNext/>
              <w:jc w:val="center"/>
              <w:rPr>
                <w:noProof/>
              </w:rPr>
            </w:pPr>
          </w:p>
        </w:tc>
        <w:tc>
          <w:tcPr>
            <w:tcW w:w="992" w:type="dxa"/>
            <w:gridSpan w:val="3"/>
            <w:tcBorders>
              <w:top w:val="nil"/>
            </w:tcBorders>
          </w:tcPr>
          <w:p>
            <w:pPr>
              <w:pStyle w:val="Fichefinanciretextetable"/>
              <w:keepNext/>
              <w:jc w:val="center"/>
              <w:rPr>
                <w:noProof/>
              </w:rPr>
            </w:pPr>
          </w:p>
        </w:tc>
        <w:tc>
          <w:tcPr>
            <w:tcW w:w="1134" w:type="dxa"/>
            <w:tcBorders>
              <w:top w:val="nil"/>
            </w:tcBorders>
          </w:tcPr>
          <w:p>
            <w:pPr>
              <w:pStyle w:val="Fichefinanciretextetable"/>
              <w:keepNext/>
              <w:jc w:val="center"/>
              <w:rPr>
                <w:noProof/>
              </w:rPr>
            </w:pPr>
          </w:p>
        </w:tc>
      </w:tr>
      <w:tr>
        <w:tc>
          <w:tcPr>
            <w:tcW w:w="567" w:type="dxa"/>
            <w:tcBorders>
              <w:right w:val="nil"/>
            </w:tcBorders>
          </w:tcPr>
          <w:p>
            <w:pPr>
              <w:pStyle w:val="Fichefinanciretextetable"/>
              <w:keepNext/>
              <w:rPr>
                <w:noProof/>
              </w:rPr>
            </w:pPr>
            <w:r>
              <w:rPr>
                <w:noProof/>
              </w:rPr>
              <w:t>5.2</w:t>
            </w:r>
          </w:p>
        </w:tc>
        <w:tc>
          <w:tcPr>
            <w:tcW w:w="8561" w:type="dxa"/>
            <w:gridSpan w:val="8"/>
            <w:tcBorders>
              <w:left w:val="nil"/>
            </w:tcBorders>
          </w:tcPr>
          <w:p>
            <w:pPr>
              <w:pStyle w:val="Fichefinanciretextetable"/>
              <w:keepNext/>
              <w:spacing w:before="60" w:after="60"/>
              <w:rPr>
                <w:noProof/>
              </w:rPr>
            </w:pPr>
            <w:r>
              <w:rPr>
                <w:noProof/>
              </w:rPr>
              <w:t xml:space="preserve">МЕТОД НА ИЗЧИСЛЕНИЕ: Въз основа на предположения за приблизителния брой гласове на ЕС (варира всяка година) и на прогнозната сума в GBP за всеки един глас. </w:t>
            </w:r>
          </w:p>
        </w:tc>
      </w:tr>
      <w:tr>
        <w:tc>
          <w:tcPr>
            <w:tcW w:w="567" w:type="dxa"/>
            <w:tcBorders>
              <w:bottom w:val="nil"/>
              <w:right w:val="nil"/>
            </w:tcBorders>
          </w:tcPr>
          <w:p>
            <w:pPr>
              <w:pStyle w:val="Fichefinanciretextetable"/>
              <w:keepNext/>
              <w:rPr>
                <w:noProof/>
              </w:rPr>
            </w:pPr>
            <w:r>
              <w:rPr>
                <w:noProof/>
              </w:rPr>
              <w:t>6.0</w:t>
            </w:r>
          </w:p>
        </w:tc>
        <w:tc>
          <w:tcPr>
            <w:tcW w:w="7427" w:type="dxa"/>
            <w:gridSpan w:val="7"/>
            <w:tcBorders>
              <w:left w:val="nil"/>
              <w:right w:val="nil"/>
            </w:tcBorders>
          </w:tcPr>
          <w:p>
            <w:pPr>
              <w:pStyle w:val="Fichefinanciretextetable"/>
              <w:keepNext/>
              <w:spacing w:before="60" w:after="60"/>
              <w:rPr>
                <w:noProof/>
              </w:rPr>
            </w:pPr>
            <w:r>
              <w:rPr>
                <w:noProof/>
              </w:rPr>
              <w:t>МОЖЕ ЛИ ПРОЕКТЪТ ДА БЪДЕ ФИНАНСИРАН ОТ БЮДЖЕТНИ КРЕДИТИ, ВПИСАНИ В СЪОТВЕТНАТА ГЛАВА НА ТЕКУЩИЯ БЮДЖЕТ?</w:t>
            </w:r>
          </w:p>
        </w:tc>
        <w:tc>
          <w:tcPr>
            <w:tcW w:w="1134" w:type="dxa"/>
            <w:tcBorders>
              <w:left w:val="nil"/>
              <w:bottom w:val="nil"/>
            </w:tcBorders>
          </w:tcPr>
          <w:p>
            <w:pPr>
              <w:pStyle w:val="Fichefinanciretextetable"/>
              <w:keepNext/>
              <w:jc w:val="center"/>
              <w:rPr>
                <w:noProof/>
              </w:rPr>
            </w:pPr>
            <w:r>
              <w:rPr>
                <w:noProof/>
              </w:rPr>
              <w:t>ДА НЕ</w:t>
            </w:r>
          </w:p>
        </w:tc>
      </w:tr>
      <w:tr>
        <w:tc>
          <w:tcPr>
            <w:tcW w:w="567" w:type="dxa"/>
            <w:tcBorders>
              <w:bottom w:val="nil"/>
              <w:right w:val="nil"/>
            </w:tcBorders>
          </w:tcPr>
          <w:p>
            <w:pPr>
              <w:pStyle w:val="Fichefinanciretextetable"/>
              <w:keepNext/>
              <w:rPr>
                <w:noProof/>
              </w:rPr>
            </w:pPr>
            <w:r>
              <w:rPr>
                <w:noProof/>
              </w:rPr>
              <w:t>6.1</w:t>
            </w:r>
          </w:p>
        </w:tc>
        <w:tc>
          <w:tcPr>
            <w:tcW w:w="7427" w:type="dxa"/>
            <w:gridSpan w:val="7"/>
            <w:tcBorders>
              <w:left w:val="nil"/>
              <w:right w:val="nil"/>
            </w:tcBorders>
          </w:tcPr>
          <w:p>
            <w:pPr>
              <w:pStyle w:val="Fichefinanciretextetable"/>
              <w:keepNext/>
              <w:spacing w:before="60" w:after="60"/>
              <w:rPr>
                <w:noProof/>
              </w:rPr>
            </w:pPr>
            <w:r>
              <w:rPr>
                <w:noProof/>
              </w:rPr>
              <w:t>МОЖЕ ЛИ ПРОЕКТЪТ ДА БЪДЕ ФИНАНСИРАН ЧРЕЗ ПРЕХВЪРЛЯНЕ МЕЖДУ ГЛАВИ ОТ ТЕКУЩИЯ БЮДЖЕТ?</w:t>
            </w:r>
          </w:p>
        </w:tc>
        <w:tc>
          <w:tcPr>
            <w:tcW w:w="1134" w:type="dxa"/>
            <w:tcBorders>
              <w:left w:val="nil"/>
              <w:bottom w:val="nil"/>
            </w:tcBorders>
          </w:tcPr>
          <w:p>
            <w:pPr>
              <w:pStyle w:val="Fichefinanciretextetable"/>
              <w:keepNext/>
              <w:jc w:val="center"/>
              <w:rPr>
                <w:noProof/>
              </w:rPr>
            </w:pPr>
          </w:p>
        </w:tc>
      </w:tr>
      <w:tr>
        <w:tc>
          <w:tcPr>
            <w:tcW w:w="567" w:type="dxa"/>
            <w:tcBorders>
              <w:bottom w:val="nil"/>
              <w:right w:val="nil"/>
            </w:tcBorders>
          </w:tcPr>
          <w:p>
            <w:pPr>
              <w:pStyle w:val="Fichefinanciretextetable"/>
              <w:keepNext/>
              <w:rPr>
                <w:noProof/>
              </w:rPr>
            </w:pPr>
            <w:r>
              <w:rPr>
                <w:noProof/>
              </w:rPr>
              <w:t>6.2</w:t>
            </w:r>
          </w:p>
        </w:tc>
        <w:tc>
          <w:tcPr>
            <w:tcW w:w="7427" w:type="dxa"/>
            <w:gridSpan w:val="7"/>
            <w:tcBorders>
              <w:left w:val="nil"/>
              <w:right w:val="nil"/>
            </w:tcBorders>
          </w:tcPr>
          <w:p>
            <w:pPr>
              <w:pStyle w:val="Fichefinanciretextetable"/>
              <w:keepNext/>
              <w:spacing w:before="60" w:after="60"/>
              <w:rPr>
                <w:noProof/>
              </w:rPr>
            </w:pPr>
            <w:r>
              <w:rPr>
                <w:noProof/>
              </w:rPr>
              <w:t>ЩЕ БЪДЕ ЛИ НЕОБХОДИМ ДОПЪЛНИТЕЛЕН БЮДЖЕТ?</w:t>
            </w:r>
          </w:p>
        </w:tc>
        <w:tc>
          <w:tcPr>
            <w:tcW w:w="1134" w:type="dxa"/>
            <w:tcBorders>
              <w:left w:val="nil"/>
              <w:bottom w:val="nil"/>
            </w:tcBorders>
          </w:tcPr>
          <w:p>
            <w:pPr>
              <w:pStyle w:val="Fichefinanciretextetable"/>
              <w:keepNext/>
              <w:rPr>
                <w:noProof/>
              </w:rPr>
            </w:pPr>
          </w:p>
        </w:tc>
      </w:tr>
      <w:tr>
        <w:tc>
          <w:tcPr>
            <w:tcW w:w="567" w:type="dxa"/>
            <w:tcBorders>
              <w:right w:val="nil"/>
            </w:tcBorders>
          </w:tcPr>
          <w:p>
            <w:pPr>
              <w:pStyle w:val="Fichefinanciretextetable"/>
              <w:keepNext/>
              <w:rPr>
                <w:noProof/>
              </w:rPr>
            </w:pPr>
            <w:r>
              <w:rPr>
                <w:noProof/>
              </w:rPr>
              <w:t>6.3</w:t>
            </w:r>
          </w:p>
        </w:tc>
        <w:tc>
          <w:tcPr>
            <w:tcW w:w="7427" w:type="dxa"/>
            <w:gridSpan w:val="7"/>
            <w:tcBorders>
              <w:left w:val="nil"/>
              <w:right w:val="nil"/>
            </w:tcBorders>
          </w:tcPr>
          <w:p>
            <w:pPr>
              <w:pStyle w:val="Fichefinanciretextetable"/>
              <w:keepNext/>
              <w:spacing w:before="60" w:after="60"/>
              <w:rPr>
                <w:noProof/>
              </w:rPr>
            </w:pPr>
            <w:r>
              <w:rPr>
                <w:noProof/>
              </w:rPr>
              <w:t>ЩЕ БЪДЕ ЛИ НЕОБХОДИМО ВПИСВАНЕТО НА БЮДЖЕТНИ КРЕДИТИ В БЪДЕЩИ БЮДЖЕТИ?</w:t>
            </w:r>
          </w:p>
        </w:tc>
        <w:tc>
          <w:tcPr>
            <w:tcW w:w="1134" w:type="dxa"/>
            <w:tcBorders>
              <w:left w:val="nil"/>
            </w:tcBorders>
          </w:tcPr>
          <w:p>
            <w:pPr>
              <w:pStyle w:val="Fichefinanciretextetable"/>
              <w:keepNext/>
              <w:jc w:val="center"/>
            </w:pPr>
            <w:r>
              <w:rPr>
                <w:noProof/>
              </w:rPr>
              <w:t>ДА НЕ</w:t>
            </w:r>
          </w:p>
        </w:tc>
      </w:tr>
      <w:tr>
        <w:tc>
          <w:tcPr>
            <w:tcW w:w="9128" w:type="dxa"/>
            <w:gridSpan w:val="9"/>
          </w:tcPr>
          <w:p>
            <w:pPr>
              <w:keepNext/>
              <w:autoSpaceDE w:val="0"/>
              <w:autoSpaceDN w:val="0"/>
              <w:adjustRightInd w:val="0"/>
              <w:rPr>
                <w:noProof/>
              </w:rPr>
            </w:pPr>
            <w:r>
              <w:rPr>
                <w:noProof/>
                <w:sz w:val="20"/>
              </w:rPr>
              <w:t xml:space="preserve">Размерът на ефективно изплатените средства може да варира в зависимост от крайния брой на получените от ЕС гласове, от сумата в GBP за всеки един глас, както и от обменния курс EUR/GBP. </w:t>
            </w:r>
          </w:p>
        </w:tc>
      </w:tr>
    </w:tbl>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Решение 92/580/ЕИО на Съвета от 13.11.1992 г.; ОВ L 379 от 23.12.1992 г., стр. 15.</w:t>
      </w:r>
    </w:p>
  </w:footnote>
  <w:footnote w:id="2">
    <w:p>
      <w:pPr>
        <w:pStyle w:val="FootnoteText"/>
      </w:pPr>
      <w:r>
        <w:rPr>
          <w:rStyle w:val="FootnoteReference"/>
        </w:rPr>
        <w:footnoteRef/>
      </w:r>
      <w:r>
        <w:tab/>
        <w:t xml:space="preserve">Дело C-399/12, Германия/Съвет (OIV), ECLI:EU:C:2014:2258, точки 61—64. </w:t>
      </w:r>
    </w:p>
  </w:footnote>
  <w:footnote w:id="3">
    <w:p>
      <w:pPr>
        <w:pStyle w:val="FootnoteText"/>
      </w:pPr>
      <w:r>
        <w:rPr>
          <w:rStyle w:val="FootnoteReference"/>
        </w:rPr>
        <w:footnoteRef/>
      </w:r>
      <w:r>
        <w:tab/>
        <w:t>ОВ L 379, 23.12.1992 г., стр. 15.</w:t>
      </w:r>
    </w:p>
  </w:footnote>
  <w:footnote w:id="4">
    <w:p>
      <w:pPr>
        <w:pStyle w:val="FootnoteText"/>
      </w:pPr>
      <w:r>
        <w:rPr>
          <w:rStyle w:val="FootnoteReference"/>
        </w:rPr>
        <w:footnoteRef/>
      </w:r>
      <w:r>
        <w:tab/>
        <w:t>ОВ L 234, 8.9.2015 г., стр.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7-07-31 10:11:4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3"/>
    <w:docVar w:name="DQCStatus" w:val="Green"/>
    <w:docVar w:name="DQCVersion" w:val="3"/>
    <w:docVar w:name="DQCWithWarnings" w:val="0"/>
    <w:docVar w:name="LW_CONFIDENCE" w:val=" "/>
    <w:docVar w:name="LW_CONST_RESTREINT_UE" w:val="RESTREINT UE"/>
    <w:docVar w:name="LW_CORRIGENDUM" w:val="&lt;UNUSED&gt;"/>
    <w:docVar w:name="LW_COVERPAGE_GUID" w:val="0146003F41AD4F2DBF270138367F4D06"/>
    <w:docVar w:name="LW_CROSSREFERENCE" w:val="&lt;UNUSED&gt;"/>
    <w:docVar w:name="LW_DocType" w:val="COM"/>
    <w:docVar w:name="LW_EMISSION" w:val="7.8.2017"/>
    <w:docVar w:name="LW_EMISSION_ISODATE" w:val="2017-08-0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87"/>
    <w:docVar w:name="LW_REF.II.NEW.CP_YEAR" w:val="2017"/>
    <w:docVar w:name="LW_REF.INST.NEW" w:val="COM"/>
    <w:docVar w:name="LW_REF.INST.NEW_ADOPTED" w:val="final"/>
    <w:docVar w:name="LW_REF.INST.NEW_TEXT" w:val="(2017) 416"/>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89?\u1077? \u1079?\u1072?\u1077?\u1084?\u1077? \u1086?\u1090? \u1080?\u1084?\u1077?\u1090?\u1086? \u1085?\u1072? \u1045?\u1074?\u1088?\u1086?\u1087?\u1077?\u1081?\u1089?\u1082?\u1080?\u1103? \u1089?\u1098?\u1102?\u1079? \u1074? \u1088?\u1072?\u1084?\u1082?\u1080?\u1090?\u1077? \u1085?\u1072? \u1052?\u1077?\u1078?\u1076?\u1091?\u1085?\u1072?\u1088?\u1086?\u1076?\u1085?\u1080?\u1103? \u1089?\u1098?\u1074?\u1077?\u1090? \u1087?\u1086? \u1079?\u1072?\u1093?\u1072?\u1088?\u1090?\u1072? \u1087?\u1086? \u1086?\u1090?\u1085?\u1086?\u1096?\u1077?\u1085?\u1080?\u1077? \u1085?\u1072? \u1091?\u1076?\u1098?\u1083?\u1078?\u1072?\u1074?\u1072?\u1085?\u1077?\u1090?\u1086? \u1085?\u1072? \u1089?\u1088?\u1086?\u1082?\u1072? \u1085?\u1072? \u1076?\u1077?\u1081?\u1089?\u1090?\u1074?\u1080?\u1077? \u1085?\u1072? \u1052?\u1077?\u1078?\u1076?\u1091?\u1085?\u1072?\u1088?\u1086?\u1076?\u1085?\u1086?\u1090?\u1086? \u1089?\u1087?\u1086?\u1088?\u1072?\u1079?\u1091?\u1084?\u1077?\u1085?\u1080?\u1077? \u1079?\u1072? \u1079?\u1072?\u1093?\u1072?\u1088?\u1090?\u1072? \u1086?\u1090? 1992 \u107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List Number 3"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uiPriority w:val="99"/>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unhideWhenUsed/>
    <w:pPr>
      <w:spacing w:before="100" w:beforeAutospacing="1" w:after="100" w:afterAutospacing="1"/>
      <w:jc w:val="left"/>
    </w:pPr>
    <w:rPr>
      <w:szCs w:val="24"/>
    </w:rPr>
  </w:style>
  <w:style w:type="paragraph" w:styleId="Revision">
    <w:name w:val="Revision"/>
    <w:hidden/>
    <w:uiPriority w:val="99"/>
    <w:semiHidden/>
    <w:rPr>
      <w:sz w:val="24"/>
    </w:rPr>
  </w:style>
  <w:style w:type="paragraph" w:customStyle="1" w:styleId="Fichefinanciretextetable">
    <w:name w:val="Fiche financière texte (table)"/>
    <w:basedOn w:val="Normal"/>
    <w:pPr>
      <w:spacing w:before="0" w:after="0"/>
      <w:jc w:val="left"/>
    </w:pPr>
    <w:rPr>
      <w:sz w:val="20"/>
      <w:szCs w:val="20"/>
    </w:rPr>
  </w:style>
  <w:style w:type="paragraph" w:customStyle="1" w:styleId="Fichefinanciretitretable">
    <w:name w:val="Fiche financière titre (table)"/>
    <w:basedOn w:val="Normal"/>
    <w:pPr>
      <w:jc w:val="center"/>
    </w:pPr>
    <w:rPr>
      <w:b/>
      <w:sz w:val="40"/>
      <w:szCs w:val="20"/>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1960069878">
      <w:bodyDiv w:val="1"/>
      <w:marLeft w:val="0"/>
      <w:marRight w:val="0"/>
      <w:marTop w:val="0"/>
      <w:marBottom w:val="0"/>
      <w:divBdr>
        <w:top w:val="none" w:sz="0" w:space="0" w:color="auto"/>
        <w:left w:val="none" w:sz="0" w:space="0" w:color="auto"/>
        <w:bottom w:val="none" w:sz="0" w:space="0" w:color="auto"/>
        <w:right w:val="none" w:sz="0" w:space="0" w:color="auto"/>
      </w:divBdr>
      <w:divsChild>
        <w:div w:id="884565959">
          <w:marLeft w:val="0"/>
          <w:marRight w:val="0"/>
          <w:marTop w:val="0"/>
          <w:marBottom w:val="0"/>
          <w:divBdr>
            <w:top w:val="single" w:sz="6" w:space="0" w:color="FFFFFF"/>
            <w:left w:val="single" w:sz="6" w:space="0" w:color="FFFFFF"/>
            <w:bottom w:val="single" w:sz="6" w:space="0" w:color="FFFFFF"/>
            <w:right w:val="single" w:sz="6" w:space="0" w:color="FFFFFF"/>
          </w:divBdr>
          <w:divsChild>
            <w:div w:id="1057699572">
              <w:marLeft w:val="0"/>
              <w:marRight w:val="0"/>
              <w:marTop w:val="450"/>
              <w:marBottom w:val="900"/>
              <w:divBdr>
                <w:top w:val="none" w:sz="0" w:space="0" w:color="auto"/>
                <w:left w:val="none" w:sz="0" w:space="0" w:color="auto"/>
                <w:bottom w:val="none" w:sz="0" w:space="0" w:color="auto"/>
                <w:right w:val="none" w:sz="0" w:space="0" w:color="auto"/>
              </w:divBdr>
              <w:divsChild>
                <w:div w:id="1671984435">
                  <w:marLeft w:val="0"/>
                  <w:marRight w:val="0"/>
                  <w:marTop w:val="0"/>
                  <w:marBottom w:val="0"/>
                  <w:divBdr>
                    <w:top w:val="none" w:sz="0" w:space="0" w:color="auto"/>
                    <w:left w:val="none" w:sz="0" w:space="0" w:color="auto"/>
                    <w:bottom w:val="none" w:sz="0" w:space="0" w:color="auto"/>
                    <w:right w:val="none" w:sz="0" w:space="0" w:color="auto"/>
                  </w:divBdr>
                  <w:divsChild>
                    <w:div w:id="5336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4BAF8794-C95E-4E4C-BE10-3E5E0D4E2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1712</Words>
  <Characters>9523</Characters>
  <Application>Microsoft Office Word</Application>
  <DocSecurity>0</DocSecurity>
  <Lines>272</Lines>
  <Paragraphs>140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2017-07-28T10:21:00Z</dcterms:created>
  <dcterms:modified xsi:type="dcterms:W3CDTF">2017-07-31T08:11:00Z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SJ-019</vt:lpwstr>
  </property>
  <property fmtid="{D5CDD505-2E9C-101B-9397-08002B2CF9AE}" pid="8" name="DQCStatus">
    <vt:lpwstr>Green (DQC version 03)</vt:lpwstr>
  </property>
</Properties>
</file>