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37" w:rsidRDefault="006205F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64A2093F9814C0080B72367F9F297F3" style="width:450.45pt;height:307.3pt">
            <v:imagedata r:id="rId9" o:title=""/>
          </v:shape>
        </w:pict>
      </w:r>
    </w:p>
    <w:bookmarkEnd w:id="0"/>
    <w:p w:rsidR="00031437" w:rsidRDefault="00031437">
      <w:pPr>
        <w:rPr>
          <w:noProof/>
        </w:rPr>
        <w:sectPr w:rsidR="0003143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31437" w:rsidRDefault="00031437">
      <w:pPr>
        <w:pStyle w:val="TOCHeading"/>
        <w:rPr>
          <w:rFonts w:asciiTheme="minorHAnsi" w:eastAsiaTheme="minorHAnsi" w:hAnsiTheme="minorHAnsi" w:cstheme="minorBidi"/>
          <w:b w:val="0"/>
          <w:noProof/>
          <w:sz w:val="22"/>
          <w:szCs w:val="22"/>
        </w:rPr>
      </w:pPr>
      <w:bookmarkStart w:id="2" w:name="_Toc472070538"/>
      <w:bookmarkStart w:id="3" w:name="_Toc288721580"/>
    </w:p>
    <w:sdt>
      <w:sdtPr>
        <w:rPr>
          <w:rFonts w:asciiTheme="minorHAnsi" w:eastAsiaTheme="minorHAnsi" w:hAnsiTheme="minorHAnsi" w:cstheme="minorBidi"/>
          <w:b w:val="0"/>
          <w:noProof/>
          <w:sz w:val="22"/>
          <w:szCs w:val="22"/>
        </w:rPr>
        <w:id w:val="1153098532"/>
        <w:docPartObj>
          <w:docPartGallery w:val="Table of Contents"/>
          <w:docPartUnique/>
        </w:docPartObj>
      </w:sdtPr>
      <w:sdtEndPr>
        <w:rPr>
          <w:bCs/>
        </w:rPr>
      </w:sdtEndPr>
      <w:sdtContent>
        <w:p w:rsidR="00031437" w:rsidRDefault="006205F3">
          <w:pPr>
            <w:pStyle w:val="TOCHeading"/>
            <w:rPr>
              <w:noProof/>
            </w:rPr>
          </w:pPr>
          <w:r>
            <w:rPr>
              <w:noProof/>
            </w:rPr>
            <w:t>TABLE DES MATIÈRES</w:t>
          </w:r>
        </w:p>
        <w:p w:rsidR="00031437" w:rsidRDefault="006205F3">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6923875"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_Toc486923875 \h </w:instrText>
            </w:r>
            <w:r>
              <w:rPr>
                <w:noProof/>
                <w:webHidden/>
              </w:rPr>
            </w:r>
            <w:r>
              <w:rPr>
                <w:noProof/>
                <w:webHidden/>
              </w:rPr>
              <w:fldChar w:fldCharType="separate"/>
            </w:r>
            <w:r>
              <w:rPr>
                <w:noProof/>
                <w:webHidden/>
              </w:rPr>
              <w:t>3</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76"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Règlement relatif aux statistiques structurelles sur les entreprises</w:t>
            </w:r>
            <w:r>
              <w:rPr>
                <w:noProof/>
                <w:webHidden/>
              </w:rPr>
              <w:tab/>
            </w:r>
            <w:r>
              <w:rPr>
                <w:noProof/>
                <w:webHidden/>
              </w:rPr>
              <w:fldChar w:fldCharType="begin"/>
            </w:r>
            <w:r>
              <w:rPr>
                <w:noProof/>
                <w:webHidden/>
              </w:rPr>
              <w:instrText xml:space="preserve"> PAGEREF _Toc486923876 \h </w:instrText>
            </w:r>
            <w:r>
              <w:rPr>
                <w:noProof/>
                <w:webHidden/>
              </w:rPr>
            </w:r>
            <w:r>
              <w:rPr>
                <w:noProof/>
                <w:webHidden/>
              </w:rPr>
              <w:fldChar w:fldCharType="separate"/>
            </w:r>
            <w:r>
              <w:rPr>
                <w:noProof/>
                <w:webHidden/>
              </w:rPr>
              <w:t>3</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77" w:history="1">
            <w:r>
              <w:rPr>
                <w:rStyle w:val="Hyperlink"/>
                <w:noProof/>
              </w:rPr>
              <w:t>1.2.</w:t>
            </w:r>
            <w:r>
              <w:rPr>
                <w:rFonts w:asciiTheme="minorHAnsi" w:eastAsiaTheme="minorEastAsia" w:hAnsiTheme="minorHAnsi" w:cstheme="minorBidi"/>
                <w:noProof/>
                <w:sz w:val="22"/>
                <w:szCs w:val="22"/>
                <w:lang w:val="en-GB" w:eastAsia="en-GB" w:bidi="ar-SA"/>
              </w:rPr>
              <w:tab/>
            </w:r>
            <w:r>
              <w:rPr>
                <w:rStyle w:val="Hyperlink"/>
                <w:noProof/>
              </w:rPr>
              <w:t>Contenu des principaux ensembles de données</w:t>
            </w:r>
            <w:r>
              <w:rPr>
                <w:noProof/>
                <w:webHidden/>
              </w:rPr>
              <w:tab/>
            </w:r>
            <w:r>
              <w:rPr>
                <w:noProof/>
                <w:webHidden/>
              </w:rPr>
              <w:fldChar w:fldCharType="begin"/>
            </w:r>
            <w:r>
              <w:rPr>
                <w:noProof/>
                <w:webHidden/>
              </w:rPr>
              <w:instrText xml:space="preserve"> PAGEREF _Toc486923877 \h </w:instrText>
            </w:r>
            <w:r>
              <w:rPr>
                <w:noProof/>
                <w:webHidden/>
              </w:rPr>
            </w:r>
            <w:r>
              <w:rPr>
                <w:noProof/>
                <w:webHidden/>
              </w:rPr>
              <w:fldChar w:fldCharType="separate"/>
            </w:r>
            <w:r>
              <w:rPr>
                <w:noProof/>
                <w:webHidden/>
              </w:rPr>
              <w:t>3</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78" w:history="1">
            <w:r>
              <w:rPr>
                <w:rStyle w:val="Hyperlink"/>
                <w:noProof/>
              </w:rPr>
              <w:t>1.3.</w:t>
            </w:r>
            <w:r>
              <w:rPr>
                <w:rFonts w:asciiTheme="minorHAnsi" w:eastAsiaTheme="minorEastAsia" w:hAnsiTheme="minorHAnsi" w:cstheme="minorBidi"/>
                <w:noProof/>
                <w:sz w:val="22"/>
                <w:szCs w:val="22"/>
                <w:lang w:val="en-GB" w:eastAsia="en-GB" w:bidi="ar-SA"/>
              </w:rPr>
              <w:tab/>
            </w:r>
            <w:r>
              <w:rPr>
                <w:rStyle w:val="Hyperlink"/>
                <w:noProof/>
              </w:rPr>
              <w:t>Accessibilité des SSE</w:t>
            </w:r>
            <w:r>
              <w:rPr>
                <w:noProof/>
                <w:webHidden/>
              </w:rPr>
              <w:tab/>
            </w:r>
            <w:r>
              <w:rPr>
                <w:noProof/>
                <w:webHidden/>
              </w:rPr>
              <w:fldChar w:fldCharType="begin"/>
            </w:r>
            <w:r>
              <w:rPr>
                <w:noProof/>
                <w:webHidden/>
              </w:rPr>
              <w:instrText xml:space="preserve"> PAGEREF _Toc486923878 \h </w:instrText>
            </w:r>
            <w:r>
              <w:rPr>
                <w:noProof/>
                <w:webHidden/>
              </w:rPr>
            </w:r>
            <w:r>
              <w:rPr>
                <w:noProof/>
                <w:webHidden/>
              </w:rPr>
              <w:fldChar w:fldCharType="separate"/>
            </w:r>
            <w:r>
              <w:rPr>
                <w:noProof/>
                <w:webHidden/>
              </w:rPr>
              <w:t>5</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79" w:history="1">
            <w:r>
              <w:rPr>
                <w:rStyle w:val="Hyperlink"/>
                <w:noProof/>
              </w:rPr>
              <w:t>1.4.</w:t>
            </w:r>
            <w:r>
              <w:rPr>
                <w:rFonts w:asciiTheme="minorHAnsi" w:eastAsiaTheme="minorEastAsia" w:hAnsiTheme="minorHAnsi" w:cstheme="minorBidi"/>
                <w:noProof/>
                <w:sz w:val="22"/>
                <w:szCs w:val="22"/>
                <w:lang w:val="en-GB" w:eastAsia="en-GB" w:bidi="ar-SA"/>
              </w:rPr>
              <w:tab/>
            </w:r>
            <w:r>
              <w:rPr>
                <w:rStyle w:val="Hyperlink"/>
                <w:noProof/>
              </w:rPr>
              <w:t>Publications en 2015 et en 2016</w:t>
            </w:r>
            <w:r>
              <w:rPr>
                <w:noProof/>
                <w:webHidden/>
              </w:rPr>
              <w:tab/>
            </w:r>
            <w:r>
              <w:rPr>
                <w:noProof/>
                <w:webHidden/>
              </w:rPr>
              <w:fldChar w:fldCharType="begin"/>
            </w:r>
            <w:r>
              <w:rPr>
                <w:noProof/>
                <w:webHidden/>
              </w:rPr>
              <w:instrText xml:space="preserve"> PAGEREF _Toc486923879 \h </w:instrText>
            </w:r>
            <w:r>
              <w:rPr>
                <w:noProof/>
                <w:webHidden/>
              </w:rPr>
            </w:r>
            <w:r>
              <w:rPr>
                <w:noProof/>
                <w:webHidden/>
              </w:rPr>
              <w:fldChar w:fldCharType="separate"/>
            </w:r>
            <w:r>
              <w:rPr>
                <w:noProof/>
                <w:webHidden/>
              </w:rPr>
              <w:t>5</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80"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EFFICACITÉ DU RÈGLEMENT ET PERTINENCE DES ENSEMBLES DE DONNÉES</w:t>
            </w:r>
            <w:r>
              <w:rPr>
                <w:noProof/>
                <w:webHidden/>
              </w:rPr>
              <w:tab/>
            </w:r>
            <w:r>
              <w:rPr>
                <w:noProof/>
                <w:webHidden/>
              </w:rPr>
              <w:fldChar w:fldCharType="begin"/>
            </w:r>
            <w:r>
              <w:rPr>
                <w:noProof/>
                <w:webHidden/>
              </w:rPr>
              <w:instrText xml:space="preserve"> PAGEREF _Toc486923880 \h </w:instrText>
            </w:r>
            <w:r>
              <w:rPr>
                <w:noProof/>
                <w:webHidden/>
              </w:rPr>
            </w:r>
            <w:r>
              <w:rPr>
                <w:noProof/>
                <w:webHidden/>
              </w:rPr>
              <w:fldChar w:fldCharType="separate"/>
            </w:r>
            <w:r>
              <w:rPr>
                <w:noProof/>
                <w:webHidden/>
              </w:rPr>
              <w:t>6</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81"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Disponibilité et exhaustivité des données</w:t>
            </w:r>
            <w:r>
              <w:rPr>
                <w:noProof/>
                <w:webHidden/>
              </w:rPr>
              <w:tab/>
            </w:r>
            <w:r>
              <w:rPr>
                <w:noProof/>
                <w:webHidden/>
              </w:rPr>
              <w:fldChar w:fldCharType="begin"/>
            </w:r>
            <w:r>
              <w:rPr>
                <w:noProof/>
                <w:webHidden/>
              </w:rPr>
              <w:instrText xml:space="preserve"> PAGEREF _Toc486923881 \h </w:instrText>
            </w:r>
            <w:r>
              <w:rPr>
                <w:noProof/>
                <w:webHidden/>
              </w:rPr>
            </w:r>
            <w:r>
              <w:rPr>
                <w:noProof/>
                <w:webHidden/>
              </w:rPr>
              <w:fldChar w:fldCharType="separate"/>
            </w:r>
            <w:r>
              <w:rPr>
                <w:noProof/>
                <w:webHidden/>
              </w:rPr>
              <w:t>6</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82"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Règles de confidentialité et mise en œuvre de</w:t>
            </w:r>
            <w:r>
              <w:rPr>
                <w:rStyle w:val="Hyperlink"/>
                <w:noProof/>
              </w:rPr>
              <w:t xml:space="preserve"> celles-ci</w:t>
            </w:r>
            <w:r>
              <w:rPr>
                <w:noProof/>
                <w:webHidden/>
              </w:rPr>
              <w:tab/>
            </w:r>
            <w:r>
              <w:rPr>
                <w:noProof/>
                <w:webHidden/>
              </w:rPr>
              <w:fldChar w:fldCharType="begin"/>
            </w:r>
            <w:r>
              <w:rPr>
                <w:noProof/>
                <w:webHidden/>
              </w:rPr>
              <w:instrText xml:space="preserve"> PAGEREF _Toc486923882 \h </w:instrText>
            </w:r>
            <w:r>
              <w:rPr>
                <w:noProof/>
                <w:webHidden/>
              </w:rPr>
            </w:r>
            <w:r>
              <w:rPr>
                <w:noProof/>
                <w:webHidden/>
              </w:rPr>
              <w:fldChar w:fldCharType="separate"/>
            </w:r>
            <w:r>
              <w:rPr>
                <w:noProof/>
                <w:webHidden/>
              </w:rPr>
              <w:t>8</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83"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Utilité des SSE</w:t>
            </w:r>
            <w:r>
              <w:rPr>
                <w:noProof/>
                <w:webHidden/>
              </w:rPr>
              <w:tab/>
            </w:r>
            <w:r>
              <w:rPr>
                <w:noProof/>
                <w:webHidden/>
              </w:rPr>
              <w:fldChar w:fldCharType="begin"/>
            </w:r>
            <w:r>
              <w:rPr>
                <w:noProof/>
                <w:webHidden/>
              </w:rPr>
              <w:instrText xml:space="preserve"> PAGEREF _Toc486923883 \h </w:instrText>
            </w:r>
            <w:r>
              <w:rPr>
                <w:noProof/>
                <w:webHidden/>
              </w:rPr>
            </w:r>
            <w:r>
              <w:rPr>
                <w:noProof/>
                <w:webHidden/>
              </w:rPr>
              <w:fldChar w:fldCharType="separate"/>
            </w:r>
            <w:r>
              <w:rPr>
                <w:noProof/>
                <w:webHidden/>
              </w:rPr>
              <w:t>9</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84"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EXACTITUDE</w:t>
            </w:r>
            <w:r>
              <w:rPr>
                <w:noProof/>
                <w:webHidden/>
              </w:rPr>
              <w:tab/>
            </w:r>
            <w:r>
              <w:rPr>
                <w:noProof/>
                <w:webHidden/>
              </w:rPr>
              <w:fldChar w:fldCharType="begin"/>
            </w:r>
            <w:r>
              <w:rPr>
                <w:noProof/>
                <w:webHidden/>
              </w:rPr>
              <w:instrText xml:space="preserve"> PAGEREF _Toc486923884 \h </w:instrText>
            </w:r>
            <w:r>
              <w:rPr>
                <w:noProof/>
                <w:webHidden/>
              </w:rPr>
            </w:r>
            <w:r>
              <w:rPr>
                <w:noProof/>
                <w:webHidden/>
              </w:rPr>
              <w:fldChar w:fldCharType="separate"/>
            </w:r>
            <w:r>
              <w:rPr>
                <w:noProof/>
                <w:webHidden/>
              </w:rPr>
              <w:t>10</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85"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 xml:space="preserve">COHÉRENCE </w:t>
            </w:r>
            <w:r>
              <w:rPr>
                <w:rStyle w:val="Hyperlink"/>
                <w:noProof/>
              </w:rPr>
              <w:t>ET COMPARABILITÉ</w:t>
            </w:r>
            <w:r>
              <w:rPr>
                <w:noProof/>
                <w:webHidden/>
              </w:rPr>
              <w:tab/>
            </w:r>
            <w:r>
              <w:rPr>
                <w:noProof/>
                <w:webHidden/>
              </w:rPr>
              <w:fldChar w:fldCharType="begin"/>
            </w:r>
            <w:r>
              <w:rPr>
                <w:noProof/>
                <w:webHidden/>
              </w:rPr>
              <w:instrText xml:space="preserve"> PAGEREF _Toc486923885 \h </w:instrText>
            </w:r>
            <w:r>
              <w:rPr>
                <w:noProof/>
                <w:webHidden/>
              </w:rPr>
            </w:r>
            <w:r>
              <w:rPr>
                <w:noProof/>
                <w:webHidden/>
              </w:rPr>
              <w:fldChar w:fldCharType="separate"/>
            </w:r>
            <w:r>
              <w:rPr>
                <w:noProof/>
                <w:webHidden/>
              </w:rPr>
              <w:t>11</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86"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Cohérence</w:t>
            </w:r>
            <w:r>
              <w:rPr>
                <w:noProof/>
                <w:webHidden/>
              </w:rPr>
              <w:tab/>
            </w:r>
            <w:r>
              <w:rPr>
                <w:noProof/>
                <w:webHidden/>
              </w:rPr>
              <w:fldChar w:fldCharType="begin"/>
            </w:r>
            <w:r>
              <w:rPr>
                <w:noProof/>
                <w:webHidden/>
              </w:rPr>
              <w:instrText xml:space="preserve"> PAGEREF _Toc486923886 \h </w:instrText>
            </w:r>
            <w:r>
              <w:rPr>
                <w:noProof/>
                <w:webHidden/>
              </w:rPr>
            </w:r>
            <w:r>
              <w:rPr>
                <w:noProof/>
                <w:webHidden/>
              </w:rPr>
              <w:fldChar w:fldCharType="separate"/>
            </w:r>
            <w:r>
              <w:rPr>
                <w:noProof/>
                <w:webHidden/>
              </w:rPr>
              <w:t>11</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87"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Comparabilité</w:t>
            </w:r>
            <w:r>
              <w:rPr>
                <w:noProof/>
                <w:webHidden/>
              </w:rPr>
              <w:tab/>
            </w:r>
            <w:r>
              <w:rPr>
                <w:noProof/>
                <w:webHidden/>
              </w:rPr>
              <w:fldChar w:fldCharType="begin"/>
            </w:r>
            <w:r>
              <w:rPr>
                <w:noProof/>
                <w:webHidden/>
              </w:rPr>
              <w:instrText xml:space="preserve"> PAGEREF _Toc486923887 \h </w:instrText>
            </w:r>
            <w:r>
              <w:rPr>
                <w:noProof/>
                <w:webHidden/>
              </w:rPr>
            </w:r>
            <w:r>
              <w:rPr>
                <w:noProof/>
                <w:webHidden/>
              </w:rPr>
              <w:fldChar w:fldCharType="separate"/>
            </w:r>
            <w:r>
              <w:rPr>
                <w:noProof/>
                <w:webHidden/>
              </w:rPr>
              <w:t>11</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8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DÉLAIS DE TRANSMISSION DES DONNÉES</w:t>
            </w:r>
            <w:r>
              <w:rPr>
                <w:noProof/>
                <w:webHidden/>
              </w:rPr>
              <w:tab/>
            </w:r>
            <w:r>
              <w:rPr>
                <w:noProof/>
                <w:webHidden/>
              </w:rPr>
              <w:fldChar w:fldCharType="begin"/>
            </w:r>
            <w:r>
              <w:rPr>
                <w:noProof/>
                <w:webHidden/>
              </w:rPr>
              <w:instrText xml:space="preserve"> PAGEREF _Toc486923888 \h </w:instrText>
            </w:r>
            <w:r>
              <w:rPr>
                <w:noProof/>
                <w:webHidden/>
              </w:rPr>
            </w:r>
            <w:r>
              <w:rPr>
                <w:noProof/>
                <w:webHidden/>
              </w:rPr>
              <w:fldChar w:fldCharType="separate"/>
            </w:r>
            <w:r>
              <w:rPr>
                <w:noProof/>
                <w:webHidden/>
              </w:rPr>
              <w:t>11</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89"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ACCESSIBILITÉ ET CLARTÉ</w:t>
            </w:r>
            <w:r>
              <w:rPr>
                <w:noProof/>
                <w:webHidden/>
              </w:rPr>
              <w:tab/>
            </w:r>
            <w:r>
              <w:rPr>
                <w:noProof/>
                <w:webHidden/>
              </w:rPr>
              <w:fldChar w:fldCharType="begin"/>
            </w:r>
            <w:r>
              <w:rPr>
                <w:noProof/>
                <w:webHidden/>
              </w:rPr>
              <w:instrText xml:space="preserve"> PAGEREF _Toc486923889 \h </w:instrText>
            </w:r>
            <w:r>
              <w:rPr>
                <w:noProof/>
                <w:webHidden/>
              </w:rPr>
            </w:r>
            <w:r>
              <w:rPr>
                <w:noProof/>
                <w:webHidden/>
              </w:rPr>
              <w:fldChar w:fldCharType="separate"/>
            </w:r>
            <w:r>
              <w:rPr>
                <w:noProof/>
                <w:webHidden/>
              </w:rPr>
              <w:t>12</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90" w:history="1">
            <w:r>
              <w:rPr>
                <w:rStyle w:val="Hyperlink"/>
                <w:noProof/>
              </w:rPr>
              <w:t>7.</w:t>
            </w:r>
            <w:r>
              <w:rPr>
                <w:rFonts w:asciiTheme="minorHAnsi" w:eastAsiaTheme="minorEastAsia" w:hAnsiTheme="minorHAnsi" w:cstheme="minorBidi"/>
                <w:noProof/>
                <w:sz w:val="22"/>
                <w:szCs w:val="22"/>
                <w:lang w:val="en-GB" w:eastAsia="en-GB" w:bidi="ar-SA"/>
              </w:rPr>
              <w:tab/>
            </w:r>
            <w:r>
              <w:rPr>
                <w:rStyle w:val="Hyperlink"/>
                <w:noProof/>
              </w:rPr>
              <w:t>RESPECT DU RÈGLEMENT SSE</w:t>
            </w:r>
            <w:r>
              <w:rPr>
                <w:noProof/>
                <w:webHidden/>
              </w:rPr>
              <w:tab/>
            </w:r>
            <w:r>
              <w:rPr>
                <w:noProof/>
                <w:webHidden/>
              </w:rPr>
              <w:fldChar w:fldCharType="begin"/>
            </w:r>
            <w:r>
              <w:rPr>
                <w:noProof/>
                <w:webHidden/>
              </w:rPr>
              <w:instrText xml:space="preserve"> PAGEREF _Toc486923890 \h </w:instrText>
            </w:r>
            <w:r>
              <w:rPr>
                <w:noProof/>
                <w:webHidden/>
              </w:rPr>
            </w:r>
            <w:r>
              <w:rPr>
                <w:noProof/>
                <w:webHidden/>
              </w:rPr>
              <w:fldChar w:fldCharType="separate"/>
            </w:r>
            <w:r>
              <w:rPr>
                <w:noProof/>
                <w:webHidden/>
              </w:rPr>
              <w:t>12</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r>
            <w:rPr>
              <w:rStyle w:val="Hyperlink"/>
              <w:noProof/>
              <w:color w:val="auto"/>
              <w:u w:val="none"/>
            </w:rPr>
            <w:t>8.</w:t>
          </w:r>
          <w:r>
            <w:rPr>
              <w:rStyle w:val="Hyperlink"/>
              <w:noProof/>
              <w:color w:val="auto"/>
              <w:u w:val="none"/>
            </w:rPr>
            <w:tab/>
          </w:r>
          <w:hyperlink w:anchor="_Toc486923891" w:history="1">
            <w:r>
              <w:rPr>
                <w:rStyle w:val="Hyperlink"/>
                <w:noProof/>
              </w:rPr>
              <w:t>CHARGE PESANT SUR LES ENTREPRISES ET MODIFICATIONS INTRODUITES OU ENVISAGÉES DANS LES SSE</w:t>
            </w:r>
            <w:r>
              <w:rPr>
                <w:noProof/>
                <w:webHidden/>
              </w:rPr>
              <w:tab/>
            </w:r>
            <w:r>
              <w:rPr>
                <w:noProof/>
                <w:webHidden/>
              </w:rPr>
              <w:fldChar w:fldCharType="begin"/>
            </w:r>
            <w:r>
              <w:rPr>
                <w:noProof/>
                <w:webHidden/>
              </w:rPr>
              <w:instrText xml:space="preserve"> PAGEREF </w:instrText>
            </w:r>
            <w:r>
              <w:rPr>
                <w:noProof/>
                <w:webHidden/>
              </w:rPr>
              <w:instrText xml:space="preserve">_Toc486923891 \h </w:instrText>
            </w:r>
            <w:r>
              <w:rPr>
                <w:noProof/>
                <w:webHidden/>
              </w:rPr>
            </w:r>
            <w:r>
              <w:rPr>
                <w:noProof/>
                <w:webHidden/>
              </w:rPr>
              <w:fldChar w:fldCharType="separate"/>
            </w:r>
            <w:r>
              <w:rPr>
                <w:noProof/>
                <w:webHidden/>
              </w:rPr>
              <w:t>14</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92" w:history="1">
            <w:r>
              <w:rPr>
                <w:rStyle w:val="Hyperlink"/>
                <w:noProof/>
              </w:rPr>
              <w:t>8.1.</w:t>
            </w:r>
            <w:r>
              <w:rPr>
                <w:rFonts w:asciiTheme="minorHAnsi" w:eastAsiaTheme="minorEastAsia" w:hAnsiTheme="minorHAnsi" w:cstheme="minorBidi"/>
                <w:noProof/>
                <w:sz w:val="22"/>
                <w:szCs w:val="22"/>
                <w:lang w:val="en-GB" w:eastAsia="en-GB" w:bidi="ar-SA"/>
              </w:rPr>
              <w:tab/>
            </w:r>
            <w:r>
              <w:rPr>
                <w:rStyle w:val="Hyperlink"/>
                <w:noProof/>
              </w:rPr>
              <w:t>Contexte</w:t>
            </w:r>
            <w:r>
              <w:rPr>
                <w:noProof/>
                <w:webHidden/>
              </w:rPr>
              <w:tab/>
            </w:r>
            <w:r>
              <w:rPr>
                <w:noProof/>
                <w:webHidden/>
              </w:rPr>
              <w:fldChar w:fldCharType="begin"/>
            </w:r>
            <w:r>
              <w:rPr>
                <w:noProof/>
                <w:webHidden/>
              </w:rPr>
              <w:instrText xml:space="preserve"> PAGEREF _Toc486923892 \h </w:instrText>
            </w:r>
            <w:r>
              <w:rPr>
                <w:noProof/>
                <w:webHidden/>
              </w:rPr>
            </w:r>
            <w:r>
              <w:rPr>
                <w:noProof/>
                <w:webHidden/>
              </w:rPr>
              <w:fldChar w:fldCharType="separate"/>
            </w:r>
            <w:r>
              <w:rPr>
                <w:noProof/>
                <w:webHidden/>
              </w:rPr>
              <w:t>14</w:t>
            </w:r>
            <w:r>
              <w:rPr>
                <w:noProof/>
                <w:webHidden/>
              </w:rPr>
              <w:fldChar w:fldCharType="end"/>
            </w:r>
          </w:hyperlink>
        </w:p>
        <w:p w:rsidR="00031437" w:rsidRDefault="006205F3">
          <w:pPr>
            <w:pStyle w:val="TOC2"/>
            <w:rPr>
              <w:rFonts w:asciiTheme="minorHAnsi" w:eastAsiaTheme="minorEastAsia" w:hAnsiTheme="minorHAnsi" w:cstheme="minorBidi"/>
              <w:noProof/>
              <w:sz w:val="22"/>
              <w:szCs w:val="22"/>
              <w:lang w:val="en-GB" w:eastAsia="en-GB" w:bidi="ar-SA"/>
            </w:rPr>
          </w:pPr>
          <w:hyperlink w:anchor="_Toc486923893" w:history="1">
            <w:r>
              <w:rPr>
                <w:rStyle w:val="Hyperlink"/>
                <w:noProof/>
              </w:rPr>
              <w:t>8.2.</w:t>
            </w:r>
            <w:r>
              <w:rPr>
                <w:rFonts w:asciiTheme="minorHAnsi" w:eastAsiaTheme="minorEastAsia" w:hAnsiTheme="minorHAnsi" w:cstheme="minorBidi"/>
                <w:noProof/>
                <w:sz w:val="22"/>
                <w:szCs w:val="22"/>
                <w:lang w:val="en-GB" w:eastAsia="en-GB" w:bidi="ar-SA"/>
              </w:rPr>
              <w:tab/>
            </w:r>
            <w:r>
              <w:rPr>
                <w:rStyle w:val="Hyperlink"/>
                <w:noProof/>
              </w:rPr>
              <w:t>Modifications introduites ou envisagées dans les SSE</w:t>
            </w:r>
            <w:r>
              <w:rPr>
                <w:noProof/>
                <w:webHidden/>
              </w:rPr>
              <w:tab/>
            </w:r>
            <w:r>
              <w:rPr>
                <w:noProof/>
                <w:webHidden/>
              </w:rPr>
              <w:fldChar w:fldCharType="begin"/>
            </w:r>
            <w:r>
              <w:rPr>
                <w:noProof/>
                <w:webHidden/>
              </w:rPr>
              <w:instrText xml:space="preserve"> PAGEREF _Toc486923893 \h </w:instrText>
            </w:r>
            <w:r>
              <w:rPr>
                <w:noProof/>
                <w:webHidden/>
              </w:rPr>
            </w:r>
            <w:r>
              <w:rPr>
                <w:noProof/>
                <w:webHidden/>
              </w:rPr>
              <w:fldChar w:fldCharType="separate"/>
            </w:r>
            <w:r>
              <w:rPr>
                <w:noProof/>
                <w:webHidden/>
              </w:rPr>
              <w:t>15</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lang w:val="en-GB" w:eastAsia="en-GB" w:bidi="ar-SA"/>
            </w:rPr>
          </w:pPr>
          <w:hyperlink w:anchor="_Toc486923894" w:history="1">
            <w:r>
              <w:rPr>
                <w:rStyle w:val="Hyperlink"/>
                <w:noProof/>
              </w:rPr>
              <w:t>9.</w:t>
            </w:r>
            <w:r>
              <w:rPr>
                <w:rFonts w:asciiTheme="minorHAnsi" w:eastAsiaTheme="minorEastAsia" w:hAnsiTheme="minorHAnsi" w:cstheme="minorBidi"/>
                <w:noProof/>
                <w:sz w:val="22"/>
                <w:szCs w:val="22"/>
                <w:lang w:val="en-GB" w:eastAsia="en-GB" w:bidi="ar-SA"/>
              </w:rPr>
              <w:tab/>
            </w:r>
            <w:r>
              <w:rPr>
                <w:rStyle w:val="Hyperlink"/>
                <w:noProof/>
              </w:rPr>
              <w:t>ÉVOLUTION ULTÉRIEURE</w:t>
            </w:r>
            <w:r>
              <w:rPr>
                <w:noProof/>
                <w:webHidden/>
              </w:rPr>
              <w:tab/>
            </w:r>
            <w:r>
              <w:rPr>
                <w:noProof/>
                <w:webHidden/>
              </w:rPr>
              <w:fldChar w:fldCharType="begin"/>
            </w:r>
            <w:r>
              <w:rPr>
                <w:noProof/>
                <w:webHidden/>
              </w:rPr>
              <w:instrText xml:space="preserve"> PAGEREF _Toc486923894 \h </w:instrText>
            </w:r>
            <w:r>
              <w:rPr>
                <w:noProof/>
                <w:webHidden/>
              </w:rPr>
            </w:r>
            <w:r>
              <w:rPr>
                <w:noProof/>
                <w:webHidden/>
              </w:rPr>
              <w:fldChar w:fldCharType="separate"/>
            </w:r>
            <w:r>
              <w:rPr>
                <w:noProof/>
                <w:webHidden/>
              </w:rPr>
              <w:t>16</w:t>
            </w:r>
            <w:r>
              <w:rPr>
                <w:noProof/>
                <w:webHidden/>
              </w:rPr>
              <w:fldChar w:fldCharType="end"/>
            </w:r>
          </w:hyperlink>
        </w:p>
        <w:p w:rsidR="00031437" w:rsidRDefault="006205F3">
          <w:pPr>
            <w:pStyle w:val="TOC1"/>
            <w:rPr>
              <w:rFonts w:asciiTheme="minorHAnsi" w:eastAsiaTheme="minorEastAsia" w:hAnsiTheme="minorHAnsi" w:cstheme="minorBidi"/>
              <w:noProof/>
              <w:sz w:val="22"/>
              <w:szCs w:val="22"/>
            </w:rPr>
          </w:pPr>
          <w:r>
            <w:rPr>
              <w:b/>
              <w:bCs/>
              <w:noProof/>
            </w:rPr>
            <w:fldChar w:fldCharType="end"/>
          </w:r>
        </w:p>
      </w:sdtContent>
    </w:sdt>
    <w:p w:rsidR="00031437" w:rsidRDefault="006205F3">
      <w:pPr>
        <w:rPr>
          <w:rFonts w:ascii="Times New Roman" w:eastAsia="Times New Roman" w:hAnsi="Times New Roman" w:cs="Times New Roman"/>
          <w:b/>
          <w:bCs/>
          <w:smallCaps/>
          <w:noProof/>
          <w:sz w:val="24"/>
          <w:szCs w:val="24"/>
        </w:rPr>
      </w:pPr>
      <w:r>
        <w:rPr>
          <w:noProof/>
        </w:rPr>
        <w:br w:type="page"/>
      </w:r>
    </w:p>
    <w:p w:rsidR="00031437" w:rsidRDefault="006205F3">
      <w:pPr>
        <w:pStyle w:val="Heading1"/>
        <w:spacing w:before="0" w:after="200" w:line="360" w:lineRule="auto"/>
        <w:ind w:left="0" w:firstLine="0"/>
        <w:rPr>
          <w:noProof/>
        </w:rPr>
      </w:pPr>
      <w:bookmarkStart w:id="4" w:name="_Toc485128874"/>
      <w:bookmarkStart w:id="5" w:name="_Toc486923875"/>
      <w:r>
        <w:rPr>
          <w:noProof/>
        </w:rPr>
        <w:lastRenderedPageBreak/>
        <w:t>INTRODUCTION</w:t>
      </w:r>
      <w:bookmarkEnd w:id="2"/>
      <w:bookmarkEnd w:id="3"/>
      <w:bookmarkEnd w:id="4"/>
      <w:bookmarkEnd w:id="5"/>
    </w:p>
    <w:p w:rsidR="00031437" w:rsidRDefault="006205F3">
      <w:pPr>
        <w:pStyle w:val="Heading2"/>
        <w:spacing w:before="0" w:after="200" w:line="360" w:lineRule="auto"/>
        <w:ind w:left="0" w:firstLine="0"/>
        <w:rPr>
          <w:noProof/>
        </w:rPr>
      </w:pPr>
      <w:bookmarkStart w:id="6" w:name="_Toc472070539"/>
      <w:bookmarkStart w:id="7" w:name="_Toc485128875"/>
      <w:bookmarkStart w:id="8" w:name="_Toc486923876"/>
      <w:r>
        <w:rPr>
          <w:noProof/>
        </w:rPr>
        <w:t>Règlement relatif aux statistiques structurelles sur les entreprises</w:t>
      </w:r>
      <w:bookmarkEnd w:id="6"/>
      <w:bookmarkEnd w:id="7"/>
      <w:bookmarkEnd w:id="8"/>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L’article 13, paragraphe 1, du règlement (CE) nº 295/2008 relatif aux statistiques structurelles sur </w:t>
      </w:r>
      <w:r>
        <w:rPr>
          <w:rFonts w:ascii="Times New Roman" w:hAnsi="Times New Roman"/>
          <w:noProof/>
          <w:sz w:val="24"/>
        </w:rPr>
        <w:t>les entreprises</w:t>
      </w:r>
      <w:r>
        <w:rPr>
          <w:rStyle w:val="FootnoteReference"/>
          <w:noProof/>
        </w:rPr>
        <w:footnoteReference w:id="1"/>
      </w:r>
      <w:r>
        <w:rPr>
          <w:rFonts w:ascii="Times New Roman" w:hAnsi="Times New Roman"/>
          <w:noProof/>
          <w:sz w:val="24"/>
        </w:rPr>
        <w:t xml:space="preserve"> (ci-après le «règlement SSE») dispose que «[l]a Commission présente au Parlement européen et au Conseil, au plus tard le 29 avril 2011 et ensuite tous les trois ans, un rapport sur les statistiques élaborées en application du présent règle</w:t>
      </w:r>
      <w:r>
        <w:rPr>
          <w:rFonts w:ascii="Times New Roman" w:hAnsi="Times New Roman"/>
          <w:noProof/>
          <w:sz w:val="24"/>
        </w:rPr>
        <w:t>ment, qui porte notamment sur leur qualité et la charge pesant sur les entreprises». Le présent rapport fait suite au rapport d’avril 2014</w:t>
      </w:r>
      <w:r>
        <w:rPr>
          <w:rStyle w:val="FootnoteReference"/>
          <w:noProof/>
        </w:rPr>
        <w:footnoteReference w:id="2"/>
      </w:r>
      <w:r>
        <w:rPr>
          <w:rFonts w:ascii="Times New Roman" w:hAnsi="Times New Roman"/>
          <w:noProof/>
          <w:sz w:val="24"/>
        </w:rPr>
        <w:t>.</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Il décrit, sur la base des données définitives pour l’année de référence 2013, l’état d’avancement de l’application</w:t>
      </w:r>
      <w:r>
        <w:rPr>
          <w:rFonts w:ascii="Times New Roman" w:hAnsi="Times New Roman"/>
          <w:noProof/>
          <w:sz w:val="24"/>
        </w:rPr>
        <w:t xml:space="preserve"> du règlement SSE dans les domaines suivants:</w:t>
      </w:r>
    </w:p>
    <w:p w:rsidR="00031437" w:rsidRDefault="006205F3">
      <w:pPr>
        <w:pStyle w:val="ListBullet"/>
        <w:spacing w:before="0" w:after="200" w:line="360" w:lineRule="auto"/>
        <w:ind w:left="0" w:firstLine="0"/>
        <w:rPr>
          <w:noProof/>
        </w:rPr>
      </w:pPr>
      <w:r>
        <w:rPr>
          <w:noProof/>
        </w:rPr>
        <w:t>les services,</w:t>
      </w:r>
    </w:p>
    <w:p w:rsidR="00031437" w:rsidRDefault="006205F3">
      <w:pPr>
        <w:pStyle w:val="ListBullet"/>
        <w:spacing w:before="0" w:after="200" w:line="360" w:lineRule="auto"/>
        <w:ind w:left="0" w:firstLine="0"/>
        <w:rPr>
          <w:noProof/>
        </w:rPr>
      </w:pPr>
      <w:r>
        <w:rPr>
          <w:noProof/>
        </w:rPr>
        <w:t>l’industrie,</w:t>
      </w:r>
    </w:p>
    <w:p w:rsidR="00031437" w:rsidRDefault="006205F3">
      <w:pPr>
        <w:pStyle w:val="ListBullet"/>
        <w:spacing w:before="0" w:after="200" w:line="360" w:lineRule="auto"/>
        <w:ind w:left="0" w:firstLine="0"/>
        <w:rPr>
          <w:noProof/>
        </w:rPr>
      </w:pPr>
      <w:r>
        <w:rPr>
          <w:noProof/>
        </w:rPr>
        <w:t>le commerce,</w:t>
      </w:r>
    </w:p>
    <w:p w:rsidR="00031437" w:rsidRDefault="006205F3">
      <w:pPr>
        <w:pStyle w:val="ListBullet"/>
        <w:spacing w:before="0" w:after="200" w:line="360" w:lineRule="auto"/>
        <w:ind w:left="0" w:firstLine="0"/>
        <w:rPr>
          <w:noProof/>
        </w:rPr>
      </w:pPr>
      <w:r>
        <w:rPr>
          <w:noProof/>
        </w:rPr>
        <w:t>la construction,</w:t>
      </w:r>
    </w:p>
    <w:p w:rsidR="00031437" w:rsidRDefault="006205F3">
      <w:pPr>
        <w:pStyle w:val="ListBullet"/>
        <w:spacing w:before="0" w:after="200" w:line="360" w:lineRule="auto"/>
        <w:ind w:left="0" w:firstLine="0"/>
        <w:rPr>
          <w:noProof/>
        </w:rPr>
      </w:pPr>
      <w:r>
        <w:rPr>
          <w:noProof/>
        </w:rPr>
        <w:t>les services aux entreprises,</w:t>
      </w:r>
    </w:p>
    <w:p w:rsidR="00031437" w:rsidRDefault="006205F3">
      <w:pPr>
        <w:pStyle w:val="ListBullet"/>
        <w:spacing w:before="0" w:after="200" w:line="360" w:lineRule="auto"/>
        <w:ind w:left="0" w:firstLine="0"/>
        <w:rPr>
          <w:noProof/>
        </w:rPr>
      </w:pPr>
      <w:r>
        <w:rPr>
          <w:noProof/>
        </w:rPr>
        <w:t>la démographie des entreprises.</w:t>
      </w:r>
    </w:p>
    <w:p w:rsidR="00031437" w:rsidRDefault="006205F3">
      <w:pPr>
        <w:spacing w:line="360" w:lineRule="auto"/>
        <w:jc w:val="both"/>
        <w:rPr>
          <w:rFonts w:ascii="Times New Roman" w:eastAsia="Calibri" w:hAnsi="Times New Roman" w:cs="Times New Roman"/>
          <w:iCs/>
          <w:noProof/>
          <w:sz w:val="24"/>
          <w:szCs w:val="24"/>
        </w:rPr>
      </w:pPr>
      <w:r>
        <w:rPr>
          <w:rFonts w:ascii="Times New Roman" w:hAnsi="Times New Roman"/>
          <w:noProof/>
          <w:sz w:val="24"/>
        </w:rPr>
        <w:t>Le présent rapport porte, d’une part, sur les mesures prises par la Commission afin que des</w:t>
      </w:r>
      <w:r>
        <w:rPr>
          <w:rFonts w:ascii="Times New Roman" w:hAnsi="Times New Roman"/>
          <w:noProof/>
          <w:sz w:val="24"/>
        </w:rPr>
        <w:t xml:space="preserve"> statistiques structurelles de qualité sur les entreprises soient disponibles à l’échelle européenne et, d’autre part, sur l’application du règlement SSE par les États membres. Il contient également des informations sur les mesures mises en place par Euros</w:t>
      </w:r>
      <w:r>
        <w:rPr>
          <w:rFonts w:ascii="Times New Roman" w:hAnsi="Times New Roman"/>
          <w:noProof/>
          <w:sz w:val="24"/>
        </w:rPr>
        <w:t>tat pour rendre plus pertinentes les statistiques structurelles et réduire la charge que leur établissement fait peser sur les entreprises.</w:t>
      </w:r>
    </w:p>
    <w:p w:rsidR="00031437" w:rsidRDefault="006205F3">
      <w:pPr>
        <w:pStyle w:val="Heading2"/>
        <w:spacing w:before="0" w:after="200" w:line="360" w:lineRule="auto"/>
        <w:ind w:left="0" w:firstLine="0"/>
        <w:rPr>
          <w:noProof/>
        </w:rPr>
      </w:pPr>
      <w:bookmarkStart w:id="9" w:name="_Toc288721583"/>
      <w:bookmarkStart w:id="10" w:name="_Toc472070540"/>
      <w:bookmarkStart w:id="11" w:name="_Toc485128876"/>
      <w:bookmarkStart w:id="12" w:name="_Toc486923877"/>
      <w:r>
        <w:rPr>
          <w:noProof/>
        </w:rPr>
        <w:t>Contenu des principaux ensembles de données</w:t>
      </w:r>
      <w:bookmarkEnd w:id="9"/>
      <w:bookmarkEnd w:id="10"/>
      <w:bookmarkEnd w:id="11"/>
      <w:bookmarkEnd w:id="12"/>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statistiques structurelles sur les entreprises (SSE) permettent de d</w:t>
      </w:r>
      <w:r>
        <w:rPr>
          <w:rFonts w:ascii="Times New Roman" w:hAnsi="Times New Roman"/>
          <w:noProof/>
          <w:sz w:val="24"/>
        </w:rPr>
        <w:t xml:space="preserve">resser un tableau détaillé de la structure, des performances et des caractéristiques principales des entreprises européennes, d’un point de vue global ou sectoriel. Elles jouent également un rôle crucial </w:t>
      </w:r>
      <w:r>
        <w:rPr>
          <w:rFonts w:ascii="Times New Roman" w:hAnsi="Times New Roman"/>
          <w:noProof/>
          <w:sz w:val="24"/>
        </w:rPr>
        <w:lastRenderedPageBreak/>
        <w:t>dans plusieurs autres domaines, tels que les comptes</w:t>
      </w:r>
      <w:r>
        <w:rPr>
          <w:rFonts w:ascii="Times New Roman" w:hAnsi="Times New Roman"/>
          <w:noProof/>
          <w:sz w:val="24"/>
        </w:rPr>
        <w:t xml:space="preserve"> nationaux, les statistiques conjoncturelles et les répertoires d’entreprises.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D’une manière générale, les données se rapportent à tous les secteurs à l’exception de l’agriculture et des services aux particuliers. Elles concernent les variables suivantes:</w:t>
      </w:r>
    </w:p>
    <w:p w:rsidR="00031437" w:rsidRDefault="006205F3">
      <w:pPr>
        <w:pStyle w:val="ListBullet"/>
        <w:spacing w:before="0" w:after="200" w:line="360" w:lineRule="auto"/>
        <w:ind w:left="0" w:firstLine="0"/>
        <w:rPr>
          <w:noProof/>
        </w:rPr>
      </w:pPr>
      <w:r>
        <w:rPr>
          <w:noProof/>
        </w:rPr>
        <w:t>variables relatives à la production (comme le chiffre d’affaires et la valeur ajoutée);</w:t>
      </w:r>
    </w:p>
    <w:p w:rsidR="00031437" w:rsidRDefault="006205F3">
      <w:pPr>
        <w:pStyle w:val="ListBullet"/>
        <w:spacing w:before="0" w:after="200" w:line="360" w:lineRule="auto"/>
        <w:ind w:left="0" w:firstLine="0"/>
        <w:rPr>
          <w:noProof/>
        </w:rPr>
      </w:pPr>
      <w:r>
        <w:rPr>
          <w:noProof/>
        </w:rPr>
        <w:t>variables relatives aux moyens de production: main-d’œuvre (comme l’emploi et les heures ouvrées), biens et services (comme le total des achats) et capital (comme les i</w:t>
      </w:r>
      <w:r>
        <w:rPr>
          <w:noProof/>
        </w:rPr>
        <w:t>nvestissements en biens corporels);</w:t>
      </w:r>
    </w:p>
    <w:p w:rsidR="00031437" w:rsidRDefault="006205F3">
      <w:pPr>
        <w:pStyle w:val="ListBullet"/>
        <w:spacing w:before="0" w:after="200" w:line="360" w:lineRule="auto"/>
        <w:ind w:left="0" w:firstLine="0"/>
        <w:rPr>
          <w:noProof/>
        </w:rPr>
      </w:pPr>
      <w:r>
        <w:rPr>
          <w:noProof/>
        </w:rPr>
        <w:t>variables relatives à la démographie des entreprises (comme le nombre d’entreprises nouvellement créées, en activité ou en cessation d’activité).</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outre, plusieurs indicateurs dérivés importants ont été établis à parti</w:t>
      </w:r>
      <w:r>
        <w:rPr>
          <w:rFonts w:ascii="Times New Roman" w:hAnsi="Times New Roman"/>
          <w:noProof/>
          <w:sz w:val="24"/>
        </w:rPr>
        <w:t>r des variables ci-dessus, sous la forme de ratios correspondant à certaines variables monétaires ou de valeurs par salarié.</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Tous les États membres transmettent plusieurs ensembles de données, conformément au règlement (CE) nº 251/2009 de la Commission</w:t>
      </w:r>
      <w:r>
        <w:rPr>
          <w:rStyle w:val="FootnoteReference"/>
          <w:noProof/>
        </w:rPr>
        <w:footnoteReference w:id="3"/>
      </w:r>
      <w:r>
        <w:rPr>
          <w:rFonts w:ascii="Times New Roman" w:hAnsi="Times New Roman"/>
          <w:noProof/>
          <w:sz w:val="24"/>
        </w:rPr>
        <w:t>. L</w:t>
      </w:r>
      <w:r>
        <w:rPr>
          <w:rFonts w:ascii="Times New Roman" w:hAnsi="Times New Roman"/>
          <w:noProof/>
          <w:sz w:val="24"/>
        </w:rPr>
        <w:t>es principaux ensembles de données sont:</w:t>
      </w:r>
    </w:p>
    <w:p w:rsidR="00031437" w:rsidRDefault="006205F3">
      <w:pPr>
        <w:pStyle w:val="ListBullet"/>
        <w:spacing w:before="0" w:after="200" w:line="360" w:lineRule="auto"/>
        <w:ind w:left="0" w:firstLine="0"/>
        <w:rPr>
          <w:noProof/>
        </w:rPr>
      </w:pPr>
      <w:r>
        <w:rPr>
          <w:noProof/>
        </w:rPr>
        <w:t>les statistiques annuelles sur les entreprises [les caractéristiques sont publiées par pays, au niveau des classes de la NACE Rév. 2</w:t>
      </w:r>
      <w:r>
        <w:rPr>
          <w:rStyle w:val="FootnoteReference"/>
          <w:noProof/>
        </w:rPr>
        <w:footnoteReference w:id="4"/>
      </w:r>
      <w:r>
        <w:rPr>
          <w:noProof/>
        </w:rPr>
        <w:t xml:space="preserve"> (niveau à quatre chiffres)];</w:t>
      </w:r>
    </w:p>
    <w:p w:rsidR="00031437" w:rsidRDefault="006205F3">
      <w:pPr>
        <w:pStyle w:val="ListBullet"/>
        <w:spacing w:before="0" w:after="200" w:line="360" w:lineRule="auto"/>
        <w:ind w:left="0" w:firstLine="0"/>
        <w:rPr>
          <w:noProof/>
        </w:rPr>
      </w:pPr>
      <w:r>
        <w:rPr>
          <w:noProof/>
        </w:rPr>
        <w:t>les statistiques annuelles sur les entreprises venti</w:t>
      </w:r>
      <w:r>
        <w:rPr>
          <w:noProof/>
        </w:rPr>
        <w:t>lées par classes de taille [les caractéristiques sont publiées par pays, au niveau des groupes de la NACE Rév. 2 (niveau à trois chiffres), la classe de taille étant déterminée par le nombre de personnes occupées];</w:t>
      </w:r>
    </w:p>
    <w:p w:rsidR="00031437" w:rsidRDefault="006205F3">
      <w:pPr>
        <w:pStyle w:val="ListBullet"/>
        <w:spacing w:before="0" w:after="200" w:line="360" w:lineRule="auto"/>
        <w:ind w:left="0" w:firstLine="0"/>
        <w:rPr>
          <w:noProof/>
        </w:rPr>
      </w:pPr>
      <w:r>
        <w:rPr>
          <w:noProof/>
        </w:rPr>
        <w:t>les statistiques régionales annuelles [le</w:t>
      </w:r>
      <w:r>
        <w:rPr>
          <w:noProof/>
        </w:rPr>
        <w:t>s caractéristiques sont publiées par région NUTS 2, au niveau des divisions de la NACE Rév. 2 (niveau à deux chiffres)];</w:t>
      </w:r>
    </w:p>
    <w:p w:rsidR="00031437" w:rsidRDefault="006205F3">
      <w:pPr>
        <w:pStyle w:val="ListBullet"/>
        <w:spacing w:before="0" w:after="200" w:line="360" w:lineRule="auto"/>
        <w:ind w:left="0" w:firstLine="0"/>
        <w:rPr>
          <w:noProof/>
        </w:rPr>
      </w:pPr>
      <w:r>
        <w:rPr>
          <w:noProof/>
        </w:rPr>
        <w:t xml:space="preserve">les statistiques démographiques annuelles ventilées par forme juridique ou par classe de taille d’effectifs [les caractéristiques sont </w:t>
      </w:r>
      <w:r>
        <w:rPr>
          <w:noProof/>
        </w:rPr>
        <w:t>publiées par pays, au niveau des classes de la NACE Rév. 2 (niveau à quatre chiffres)].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instituts nationaux de statistique (INS) collectent la plupart des données au moyen d’enquêtes statistiques, de répertoires d’entreprises ou de sources administrati</w:t>
      </w:r>
      <w:r>
        <w:rPr>
          <w:rFonts w:ascii="Times New Roman" w:hAnsi="Times New Roman"/>
          <w:noProof/>
          <w:sz w:val="24"/>
        </w:rPr>
        <w:t>ves diverses. Afin d’assurer la qualité des SSE, les États membres appliquent différentes méthodes statistiques selon la source des données, comme l’extrapolation, l’estimation reposant sur des modèles ou plusieurs formes d’imputation.</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Eurostat vérifie la </w:t>
      </w:r>
      <w:r>
        <w:rPr>
          <w:rFonts w:ascii="Times New Roman" w:hAnsi="Times New Roman"/>
          <w:noProof/>
          <w:sz w:val="24"/>
        </w:rPr>
        <w:t>qualité de toutes les données communiquées par les États membres avant de les publier sur son site internet.</w:t>
      </w:r>
    </w:p>
    <w:p w:rsidR="00031437" w:rsidRDefault="006205F3">
      <w:pPr>
        <w:pStyle w:val="Heading2"/>
        <w:spacing w:before="0" w:after="200" w:line="360" w:lineRule="auto"/>
        <w:ind w:left="0" w:firstLine="0"/>
        <w:rPr>
          <w:noProof/>
        </w:rPr>
      </w:pPr>
      <w:bookmarkStart w:id="13" w:name="_Toc472070541"/>
      <w:bookmarkStart w:id="14" w:name="_Toc485128877"/>
      <w:bookmarkStart w:id="15" w:name="_Toc486923878"/>
      <w:r>
        <w:rPr>
          <w:noProof/>
        </w:rPr>
        <w:t>Accessibilité des SSE</w:t>
      </w:r>
      <w:bookmarkEnd w:id="13"/>
      <w:bookmarkEnd w:id="14"/>
      <w:bookmarkEnd w:id="15"/>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Toutes les données transmises par les États membres pour l’année de référence 2013, ainsi que les agrégats de l’UE, peuvent ê</w:t>
      </w:r>
      <w:r>
        <w:rPr>
          <w:rFonts w:ascii="Times New Roman" w:hAnsi="Times New Roman"/>
          <w:noProof/>
          <w:sz w:val="24"/>
        </w:rPr>
        <w:t>tre consultés sur le site internet d’Eurostat depuis décembre 2015. Les données sont disponibles à la rubrique «Statistiques structurelles sur les entreprises (sbs)»</w:t>
      </w:r>
      <w:r>
        <w:rPr>
          <w:rStyle w:val="FootnoteReference"/>
          <w:noProof/>
        </w:rPr>
        <w:footnoteReference w:id="5"/>
      </w:r>
      <w:r>
        <w:rPr>
          <w:rFonts w:ascii="Times New Roman" w:hAnsi="Times New Roman"/>
          <w:noProof/>
          <w:sz w:val="24"/>
        </w:rPr>
        <w:t xml:space="preserve">, que l’on peut trouver en cliquant sur «Industrie, commerce et services» ou à l’aide de </w:t>
      </w:r>
      <w:r>
        <w:rPr>
          <w:rFonts w:ascii="Times New Roman" w:hAnsi="Times New Roman"/>
          <w:noProof/>
          <w:sz w:val="24"/>
        </w:rPr>
        <w:t>la fonction de recherche</w:t>
      </w:r>
      <w:r>
        <w:rPr>
          <w:rStyle w:val="FootnoteReference"/>
          <w:noProof/>
        </w:rPr>
        <w:footnoteReference w:id="6"/>
      </w:r>
      <w:r>
        <w:rPr>
          <w:rFonts w:ascii="Times New Roman" w:hAnsi="Times New Roman"/>
          <w:noProof/>
          <w:sz w:val="24"/>
        </w:rPr>
        <w:t>.</w:t>
      </w:r>
    </w:p>
    <w:p w:rsidR="00031437" w:rsidRDefault="006205F3">
      <w:pPr>
        <w:pStyle w:val="Heading2"/>
        <w:spacing w:before="0" w:after="200" w:line="360" w:lineRule="auto"/>
        <w:ind w:left="0" w:firstLine="0"/>
        <w:rPr>
          <w:noProof/>
        </w:rPr>
      </w:pPr>
      <w:bookmarkStart w:id="16" w:name="_Toc472070542"/>
      <w:bookmarkStart w:id="17" w:name="_Toc485128878"/>
      <w:bookmarkStart w:id="18" w:name="_Toc486923879"/>
      <w:r>
        <w:rPr>
          <w:noProof/>
        </w:rPr>
        <w:t>Publications en 2015 et en 2016</w:t>
      </w:r>
      <w:bookmarkEnd w:id="16"/>
      <w:bookmarkEnd w:id="17"/>
      <w:bookmarkEnd w:id="18"/>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En plus d’être disponibles sur le site internet d’Eurostat, les données susmentionnées figurent dans plusieurs articles publiés dans la nouvelle rubrique de </w:t>
      </w:r>
      <w:r>
        <w:rPr>
          <w:rFonts w:ascii="Times New Roman" w:hAnsi="Times New Roman"/>
          <w:i/>
          <w:noProof/>
          <w:sz w:val="24"/>
        </w:rPr>
        <w:t>Statistics Explained</w:t>
      </w:r>
      <w:r>
        <w:rPr>
          <w:rStyle w:val="FootnoteReference"/>
          <w:noProof/>
        </w:rPr>
        <w:footnoteReference w:id="7"/>
      </w:r>
      <w:r>
        <w:rPr>
          <w:rFonts w:ascii="Times New Roman" w:hAnsi="Times New Roman"/>
          <w:noProof/>
          <w:sz w:val="24"/>
        </w:rPr>
        <w:t xml:space="preserve"> consacrée à l’indu</w:t>
      </w:r>
      <w:r>
        <w:rPr>
          <w:rFonts w:ascii="Times New Roman" w:hAnsi="Times New Roman"/>
          <w:noProof/>
          <w:sz w:val="24"/>
        </w:rPr>
        <w:t>strie et aux services</w:t>
      </w:r>
      <w:r>
        <w:rPr>
          <w:noProof/>
        </w:rPr>
        <w:t>.</w:t>
      </w:r>
      <w:r>
        <w:rPr>
          <w:rFonts w:ascii="Times New Roman" w:hAnsi="Times New Roman"/>
          <w:noProof/>
          <w:sz w:val="24"/>
        </w:rPr>
        <w:t xml:space="preserve"> Fondé sur une technologie «wiki», ce portail a pour principale fonction d’expliquer les statistiques européennes, en présentant les données ainsi que leurs aspects intéressants ou surprenants et en fournissant toutes les informations</w:t>
      </w:r>
      <w:r>
        <w:rPr>
          <w:rFonts w:ascii="Times New Roman" w:hAnsi="Times New Roman"/>
          <w:noProof/>
          <w:sz w:val="24"/>
        </w:rPr>
        <w:t xml:space="preserve"> générales nécessaires à leur compréhension.</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De nombreuses autres publications ont utilisé les SSE. Les éditions 2015 et 2016 de l’annuaire et de l’annuaire régional d’Eurostat s’en sont ainsi largement inspirées.</w:t>
      </w:r>
    </w:p>
    <w:p w:rsidR="00031437" w:rsidRDefault="006205F3">
      <w:pPr>
        <w:pStyle w:val="Heading1"/>
        <w:spacing w:before="0" w:after="200" w:line="360" w:lineRule="auto"/>
        <w:ind w:left="0" w:firstLine="0"/>
        <w:rPr>
          <w:noProof/>
        </w:rPr>
      </w:pPr>
      <w:bookmarkStart w:id="19" w:name="_Toc472070543"/>
      <w:bookmarkStart w:id="20" w:name="_Toc485128879"/>
      <w:bookmarkStart w:id="21" w:name="_Toc486923880"/>
      <w:r>
        <w:rPr>
          <w:noProof/>
        </w:rPr>
        <w:t xml:space="preserve">EFFICACITÉ DU RÈGLEMENT ET PERTINENCE DES </w:t>
      </w:r>
      <w:r>
        <w:rPr>
          <w:noProof/>
        </w:rPr>
        <w:t>ENSEMBLES DE DONNÉES</w:t>
      </w:r>
      <w:bookmarkEnd w:id="19"/>
      <w:bookmarkEnd w:id="20"/>
      <w:bookmarkEnd w:id="21"/>
    </w:p>
    <w:p w:rsidR="00031437" w:rsidRDefault="006205F3">
      <w:pPr>
        <w:pStyle w:val="Heading2"/>
        <w:spacing w:before="0" w:after="200" w:line="360" w:lineRule="auto"/>
        <w:ind w:left="0" w:firstLine="0"/>
        <w:rPr>
          <w:noProof/>
        </w:rPr>
      </w:pPr>
      <w:bookmarkStart w:id="22" w:name="_Toc472070544"/>
      <w:bookmarkStart w:id="23" w:name="_Toc485128880"/>
      <w:bookmarkStart w:id="24" w:name="_Toc486923881"/>
      <w:r>
        <w:rPr>
          <w:noProof/>
        </w:rPr>
        <w:t>Disponibilité et exhaustivité des données</w:t>
      </w:r>
      <w:bookmarkEnd w:id="22"/>
      <w:bookmarkEnd w:id="23"/>
      <w:bookmarkEnd w:id="24"/>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tableaux 1, 2 et 3 montrent que, globalement, les données transmises par les États membres sont raisonnablement exhaustives pour l’ensemble des modules des SSE. Les pays sont classés en tro</w:t>
      </w:r>
      <w:r>
        <w:rPr>
          <w:rFonts w:ascii="Times New Roman" w:hAnsi="Times New Roman"/>
          <w:noProof/>
          <w:sz w:val="24"/>
        </w:rPr>
        <w:t>is catégories («grands pays», «pays moyens» ou «petits pays») en fonction de leur part dans le total de la valeur ajoutée de l’économie marchande non financière au niveau de l’Union européenne.</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raisons suivantes peuvent être été avancées pour justifier</w:t>
      </w:r>
      <w:r>
        <w:rPr>
          <w:rFonts w:ascii="Times New Roman" w:hAnsi="Times New Roman"/>
          <w:noProof/>
          <w:sz w:val="24"/>
        </w:rPr>
        <w:t xml:space="preserve"> l’absence de certaines données:</w:t>
      </w:r>
    </w:p>
    <w:p w:rsidR="00031437" w:rsidRDefault="006205F3">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rPr>
        <w:t>des problèmes dans le calcul de certaines variables;</w:t>
      </w:r>
    </w:p>
    <w:p w:rsidR="00031437" w:rsidRDefault="006205F3">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rPr>
        <w:t>l’indisponibilité de certaines données pour l’année 2013;</w:t>
      </w:r>
    </w:p>
    <w:p w:rsidR="00031437" w:rsidRDefault="006205F3">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rPr>
        <w:t>l’absence de sources pour les données qui se rapportent aux unités d’activité économique;</w:t>
      </w:r>
    </w:p>
    <w:p w:rsidR="00031437" w:rsidRDefault="006205F3">
      <w:pPr>
        <w:pStyle w:val="ListParagraph"/>
        <w:numPr>
          <w:ilvl w:val="0"/>
          <w:numId w:val="9"/>
        </w:numPr>
        <w:spacing w:line="360" w:lineRule="auto"/>
        <w:jc w:val="both"/>
        <w:rPr>
          <w:rFonts w:ascii="Times New Roman" w:hAnsi="Times New Roman"/>
          <w:noProof/>
          <w:sz w:val="24"/>
          <w:szCs w:val="24"/>
        </w:rPr>
      </w:pPr>
      <w:r>
        <w:rPr>
          <w:rFonts w:ascii="Times New Roman" w:hAnsi="Times New Roman"/>
          <w:noProof/>
          <w:sz w:val="24"/>
        </w:rPr>
        <w:t>la disponibilité des d</w:t>
      </w:r>
      <w:r>
        <w:rPr>
          <w:rFonts w:ascii="Times New Roman" w:hAnsi="Times New Roman"/>
          <w:noProof/>
          <w:sz w:val="24"/>
        </w:rPr>
        <w:t>onnées après l’expiration du délai de transmission ou le fait que des valeurs nulles n’avaient pas été fournies.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pays concernés poursuivent leurs efforts pour améliorer la fourniture de toutes les données requises.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Toutes les SSE n’ont cependant pas pu</w:t>
      </w:r>
      <w:r>
        <w:rPr>
          <w:rFonts w:ascii="Times New Roman" w:hAnsi="Times New Roman"/>
          <w:noProof/>
          <w:sz w:val="24"/>
        </w:rPr>
        <w:t xml:space="preserve"> être publiées sur le site internet d’Eurostat en raison du caractère confidentiel de certaines données, en provenance notamment de petits pays.</w:t>
      </w:r>
    </w:p>
    <w:p w:rsidR="00031437" w:rsidRDefault="006205F3">
      <w:pPr>
        <w:spacing w:line="360" w:lineRule="auto"/>
        <w:jc w:val="both"/>
        <w:rPr>
          <w:rFonts w:ascii="Times New Roman" w:eastAsia="Calibri" w:hAnsi="Times New Roman" w:cs="Times New Roman"/>
          <w:i/>
          <w:noProof/>
          <w:sz w:val="24"/>
          <w:szCs w:val="24"/>
        </w:rPr>
      </w:pPr>
      <w:r>
        <w:rPr>
          <w:rFonts w:ascii="Times New Roman" w:hAnsi="Times New Roman"/>
          <w:i/>
          <w:noProof/>
          <w:sz w:val="24"/>
        </w:rPr>
        <w:t>Tableau 1:</w:t>
      </w:r>
      <w:r>
        <w:rPr>
          <w:noProof/>
        </w:rPr>
        <w:tab/>
      </w:r>
      <w:r>
        <w:rPr>
          <w:rFonts w:ascii="Times New Roman" w:hAnsi="Times New Roman"/>
          <w:i/>
          <w:noProof/>
          <w:sz w:val="24"/>
        </w:rPr>
        <w:t>Disponibilité et confidentialité des données définitives 2013 en ce qui concerne les services, l’ind</w:t>
      </w:r>
      <w:r>
        <w:rPr>
          <w:rFonts w:ascii="Times New Roman" w:hAnsi="Times New Roman"/>
          <w:i/>
          <w:noProof/>
          <w:sz w:val="24"/>
        </w:rPr>
        <w:t>ustrie, le commerce et la construction, selon la NACE Rév. 2</w:t>
      </w:r>
    </w:p>
    <w:tbl>
      <w:tblPr>
        <w:tblW w:w="9135" w:type="dxa"/>
        <w:tblInd w:w="93" w:type="dxa"/>
        <w:tblLayout w:type="fixed"/>
        <w:tblLook w:val="0000" w:firstRow="0" w:lastRow="0" w:firstColumn="0" w:lastColumn="0" w:noHBand="0" w:noVBand="0"/>
      </w:tblPr>
      <w:tblGrid>
        <w:gridCol w:w="2090"/>
        <w:gridCol w:w="3825"/>
        <w:gridCol w:w="3220"/>
      </w:tblGrid>
      <w:tr w:rsidR="00031437">
        <w:trPr>
          <w:trHeight w:val="1022"/>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Pays</w:t>
            </w:r>
            <w:r>
              <w:rPr>
                <w:rStyle w:val="FootnoteReference"/>
                <w:noProof/>
              </w:rPr>
              <w:footnoteReference w:id="8"/>
            </w:r>
          </w:p>
        </w:tc>
        <w:tc>
          <w:tcPr>
            <w:tcW w:w="3825"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rPr>
                <w:rFonts w:ascii="Times New Roman" w:eastAsia="Calibri" w:hAnsi="Times New Roman" w:cs="Times New Roman"/>
                <w:noProof/>
                <w:sz w:val="24"/>
                <w:szCs w:val="24"/>
              </w:rPr>
            </w:pPr>
            <w:r>
              <w:rPr>
                <w:rFonts w:ascii="Times New Roman" w:hAnsi="Times New Roman"/>
                <w:noProof/>
                <w:sz w:val="24"/>
              </w:rPr>
              <w:t>Nombre total de cellules transmises, en % des cellules requises par le règlement SSE</w:t>
            </w:r>
          </w:p>
        </w:tc>
        <w:tc>
          <w:tcPr>
            <w:tcW w:w="3220"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rPr>
                <w:rFonts w:ascii="Times New Roman" w:eastAsia="Calibri" w:hAnsi="Times New Roman" w:cs="Times New Roman"/>
                <w:noProof/>
                <w:sz w:val="24"/>
                <w:szCs w:val="24"/>
              </w:rPr>
            </w:pPr>
            <w:r>
              <w:rPr>
                <w:rFonts w:ascii="Times New Roman" w:hAnsi="Times New Roman"/>
                <w:noProof/>
                <w:sz w:val="24"/>
              </w:rPr>
              <w:t>Cellules confidentielles, en % des cellules transmises</w:t>
            </w:r>
          </w:p>
        </w:tc>
      </w:tr>
      <w:tr w:rsidR="00031437">
        <w:trPr>
          <w:trHeight w:val="261"/>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Grands pays</w:t>
            </w:r>
          </w:p>
        </w:tc>
        <w:tc>
          <w:tcPr>
            <w:tcW w:w="3825"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95</w:t>
            </w:r>
          </w:p>
        </w:tc>
        <w:tc>
          <w:tcPr>
            <w:tcW w:w="3220"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11</w:t>
            </w:r>
          </w:p>
        </w:tc>
      </w:tr>
      <w:tr w:rsidR="00031437">
        <w:trPr>
          <w:trHeight w:val="261"/>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Pays moyens</w:t>
            </w:r>
          </w:p>
        </w:tc>
        <w:tc>
          <w:tcPr>
            <w:tcW w:w="3825"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96</w:t>
            </w:r>
          </w:p>
        </w:tc>
        <w:tc>
          <w:tcPr>
            <w:tcW w:w="3220"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15</w:t>
            </w:r>
          </w:p>
        </w:tc>
      </w:tr>
      <w:tr w:rsidR="00031437">
        <w:trPr>
          <w:trHeight w:val="261"/>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 xml:space="preserve">Petits </w:t>
            </w:r>
            <w:r>
              <w:rPr>
                <w:rFonts w:ascii="Times New Roman" w:hAnsi="Times New Roman"/>
                <w:noProof/>
                <w:sz w:val="24"/>
              </w:rPr>
              <w:t>pays</w:t>
            </w:r>
          </w:p>
        </w:tc>
        <w:tc>
          <w:tcPr>
            <w:tcW w:w="3825"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99</w:t>
            </w:r>
          </w:p>
        </w:tc>
        <w:tc>
          <w:tcPr>
            <w:tcW w:w="3220"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19</w:t>
            </w:r>
          </w:p>
        </w:tc>
      </w:tr>
      <w:tr w:rsidR="00031437">
        <w:trPr>
          <w:trHeight w:val="261"/>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TOTAL</w:t>
            </w:r>
          </w:p>
        </w:tc>
        <w:tc>
          <w:tcPr>
            <w:tcW w:w="3825"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97</w:t>
            </w:r>
          </w:p>
        </w:tc>
        <w:tc>
          <w:tcPr>
            <w:tcW w:w="3220"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16</w:t>
            </w:r>
          </w:p>
        </w:tc>
      </w:tr>
    </w:tbl>
    <w:p w:rsidR="00031437" w:rsidRDefault="006205F3">
      <w:pPr>
        <w:spacing w:before="200" w:line="360" w:lineRule="auto"/>
        <w:jc w:val="both"/>
        <w:rPr>
          <w:rFonts w:ascii="Times New Roman" w:eastAsia="Calibri" w:hAnsi="Times New Roman" w:cs="Times New Roman"/>
          <w:noProof/>
          <w:sz w:val="24"/>
          <w:szCs w:val="24"/>
        </w:rPr>
      </w:pPr>
      <w:r>
        <w:rPr>
          <w:rFonts w:ascii="Times New Roman" w:hAnsi="Times New Roman"/>
          <w:noProof/>
          <w:sz w:val="24"/>
        </w:rPr>
        <w:t>Par comparaison avec le précédent rapport transmis au Parlement européen et au Conseil, les résultats 2013 des États membres de l’UE-28 et de la Norvège affichent une hausse de 2 % pour ce qui est de la disponibilité des données. L</w:t>
      </w:r>
      <w:r>
        <w:rPr>
          <w:rFonts w:ascii="Times New Roman" w:hAnsi="Times New Roman"/>
          <w:noProof/>
          <w:sz w:val="24"/>
        </w:rPr>
        <w:t>’amélioration a été la plus forte pour les pays moyens.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La disponibilité des données a été élevée (95 %) pour les statistiques sur les services aux entreprises (tableau 2). Elle a augmenté pour les pays moyens et les petits pays, mais elle a baissé pour le</w:t>
      </w:r>
      <w:r>
        <w:rPr>
          <w:rFonts w:ascii="Times New Roman" w:hAnsi="Times New Roman"/>
          <w:noProof/>
          <w:sz w:val="24"/>
        </w:rPr>
        <w:t>s grands pays.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 taux de disponibilité des données sur la démographie des entreprises (tableau 3) a reculé de 3 %. Seuls les petits pays ont enregistré une hausse. On constate également une diminution notable pour les grands pays et les pays moyens.</w:t>
      </w:r>
    </w:p>
    <w:p w:rsidR="00031437" w:rsidRDefault="006205F3">
      <w:pPr>
        <w:spacing w:line="360" w:lineRule="auto"/>
        <w:jc w:val="both"/>
        <w:rPr>
          <w:rFonts w:ascii="Times New Roman" w:eastAsia="Calibri" w:hAnsi="Times New Roman" w:cs="Times New Roman"/>
          <w:i/>
          <w:noProof/>
          <w:sz w:val="24"/>
          <w:szCs w:val="24"/>
        </w:rPr>
      </w:pPr>
      <w:r>
        <w:rPr>
          <w:rFonts w:ascii="Times New Roman" w:hAnsi="Times New Roman"/>
          <w:i/>
          <w:noProof/>
          <w:sz w:val="24"/>
        </w:rPr>
        <w:t>Table</w:t>
      </w:r>
      <w:r>
        <w:rPr>
          <w:rFonts w:ascii="Times New Roman" w:hAnsi="Times New Roman"/>
          <w:i/>
          <w:noProof/>
          <w:sz w:val="24"/>
        </w:rPr>
        <w:t>au 2:</w:t>
      </w:r>
      <w:r>
        <w:rPr>
          <w:noProof/>
        </w:rPr>
        <w:tab/>
      </w:r>
      <w:r>
        <w:rPr>
          <w:rFonts w:ascii="Times New Roman" w:hAnsi="Times New Roman"/>
          <w:i/>
          <w:noProof/>
          <w:sz w:val="24"/>
        </w:rPr>
        <w:t>Disponibilité et confidentialité des données définitives 2013 en ce qui concerne les services aux entreprises, selon la NACE Rév. 2</w:t>
      </w:r>
    </w:p>
    <w:tbl>
      <w:tblPr>
        <w:tblW w:w="9135" w:type="dxa"/>
        <w:tblInd w:w="93" w:type="dxa"/>
        <w:tblLayout w:type="fixed"/>
        <w:tblLook w:val="0000" w:firstRow="0" w:lastRow="0" w:firstColumn="0" w:lastColumn="0" w:noHBand="0" w:noVBand="0"/>
      </w:tblPr>
      <w:tblGrid>
        <w:gridCol w:w="2090"/>
        <w:gridCol w:w="3681"/>
        <w:gridCol w:w="3364"/>
      </w:tblGrid>
      <w:tr w:rsidR="00031437">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Pays</w:t>
            </w:r>
          </w:p>
        </w:tc>
        <w:tc>
          <w:tcPr>
            <w:tcW w:w="3681"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Nombre total de cellules transmises, en % des cellules requises par le règlement SSE</w:t>
            </w:r>
          </w:p>
        </w:tc>
        <w:tc>
          <w:tcPr>
            <w:tcW w:w="3364"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Cellules confidentielles, en</w:t>
            </w:r>
            <w:r>
              <w:rPr>
                <w:rFonts w:ascii="Times New Roman" w:hAnsi="Times New Roman"/>
                <w:noProof/>
                <w:sz w:val="24"/>
              </w:rPr>
              <w:t xml:space="preserve"> % des cellules transmises</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Grands pays</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95</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0</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Pays moyens</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98</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13</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Petits pays</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93</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23</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TOTAL</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95</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16</w:t>
            </w:r>
          </w:p>
        </w:tc>
      </w:tr>
    </w:tbl>
    <w:p w:rsidR="00031437" w:rsidRDefault="006205F3">
      <w:pPr>
        <w:spacing w:before="200" w:line="360" w:lineRule="auto"/>
        <w:jc w:val="both"/>
        <w:rPr>
          <w:rFonts w:ascii="Times New Roman" w:eastAsia="Calibri" w:hAnsi="Times New Roman" w:cs="Times New Roman"/>
          <w:i/>
          <w:noProof/>
          <w:sz w:val="24"/>
          <w:szCs w:val="24"/>
        </w:rPr>
      </w:pPr>
      <w:r>
        <w:rPr>
          <w:rFonts w:ascii="Times New Roman" w:hAnsi="Times New Roman"/>
          <w:i/>
          <w:noProof/>
          <w:sz w:val="24"/>
        </w:rPr>
        <w:t>Tableau 3:</w:t>
      </w:r>
      <w:r>
        <w:rPr>
          <w:noProof/>
        </w:rPr>
        <w:tab/>
      </w:r>
      <w:r>
        <w:rPr>
          <w:rFonts w:ascii="Times New Roman" w:hAnsi="Times New Roman"/>
          <w:i/>
          <w:noProof/>
          <w:sz w:val="24"/>
        </w:rPr>
        <w:t>Disponibilité et confidentialité des données définitives 2013 en ce qui concerne la démographie des entreprises, selon la NACE Rév. 2</w:t>
      </w:r>
    </w:p>
    <w:tbl>
      <w:tblPr>
        <w:tblW w:w="9135" w:type="dxa"/>
        <w:tblInd w:w="93" w:type="dxa"/>
        <w:tblLayout w:type="fixed"/>
        <w:tblLook w:val="0000" w:firstRow="0" w:lastRow="0" w:firstColumn="0" w:lastColumn="0" w:noHBand="0" w:noVBand="0"/>
      </w:tblPr>
      <w:tblGrid>
        <w:gridCol w:w="2090"/>
        <w:gridCol w:w="3681"/>
        <w:gridCol w:w="3364"/>
      </w:tblGrid>
      <w:tr w:rsidR="00031437">
        <w:trPr>
          <w:trHeight w:val="757"/>
        </w:trPr>
        <w:tc>
          <w:tcPr>
            <w:tcW w:w="209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Pays</w:t>
            </w:r>
          </w:p>
        </w:tc>
        <w:tc>
          <w:tcPr>
            <w:tcW w:w="3681"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 xml:space="preserve">Nombre </w:t>
            </w:r>
            <w:r>
              <w:rPr>
                <w:rFonts w:ascii="Times New Roman" w:hAnsi="Times New Roman"/>
                <w:noProof/>
                <w:sz w:val="24"/>
              </w:rPr>
              <w:t>total de cellules transmises, en % des cellules requises par le règlement SSE</w:t>
            </w:r>
          </w:p>
        </w:tc>
        <w:tc>
          <w:tcPr>
            <w:tcW w:w="3364" w:type="dxa"/>
            <w:tcBorders>
              <w:top w:val="single" w:sz="4" w:space="0" w:color="auto"/>
              <w:left w:val="nil"/>
              <w:bottom w:val="single" w:sz="4" w:space="0" w:color="auto"/>
              <w:right w:val="single" w:sz="4" w:space="0" w:color="auto"/>
            </w:tcBorders>
            <w:shd w:val="clear" w:color="auto" w:fill="C0C0C0"/>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Cellules confidentielles, en % des cellules transmises</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Grands pays</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91</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8</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Pays moyens</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84</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11</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 xml:space="preserve">Petits pays </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99</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11</w:t>
            </w:r>
          </w:p>
        </w:tc>
      </w:tr>
      <w:tr w:rsidR="00031437">
        <w:trPr>
          <w:trHeight w:val="248"/>
        </w:trPr>
        <w:tc>
          <w:tcPr>
            <w:tcW w:w="2090" w:type="dxa"/>
            <w:tcBorders>
              <w:top w:val="nil"/>
              <w:left w:val="single" w:sz="4" w:space="0" w:color="auto"/>
              <w:bottom w:val="single" w:sz="4" w:space="0" w:color="auto"/>
              <w:right w:val="single" w:sz="4" w:space="0" w:color="auto"/>
            </w:tcBorders>
            <w:noWrap/>
            <w:vAlign w:val="bottom"/>
          </w:tcPr>
          <w:p w:rsidR="00031437" w:rsidRDefault="006205F3">
            <w:pPr>
              <w:jc w:val="both"/>
              <w:rPr>
                <w:rFonts w:ascii="Times New Roman" w:eastAsia="Calibri" w:hAnsi="Times New Roman" w:cs="Times New Roman"/>
                <w:noProof/>
                <w:sz w:val="24"/>
                <w:szCs w:val="24"/>
              </w:rPr>
            </w:pPr>
            <w:r>
              <w:rPr>
                <w:rFonts w:ascii="Times New Roman" w:hAnsi="Times New Roman"/>
                <w:noProof/>
                <w:sz w:val="24"/>
              </w:rPr>
              <w:t>TOTAL</w:t>
            </w:r>
          </w:p>
        </w:tc>
        <w:tc>
          <w:tcPr>
            <w:tcW w:w="3681"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92</w:t>
            </w:r>
          </w:p>
        </w:tc>
        <w:tc>
          <w:tcPr>
            <w:tcW w:w="3364" w:type="dxa"/>
            <w:tcBorders>
              <w:top w:val="nil"/>
              <w:left w:val="nil"/>
              <w:bottom w:val="single" w:sz="4" w:space="0" w:color="auto"/>
              <w:right w:val="single" w:sz="4" w:space="0" w:color="auto"/>
            </w:tcBorders>
            <w:noWrap/>
            <w:vAlign w:val="bottom"/>
          </w:tcPr>
          <w:p w:rsidR="00031437" w:rsidRDefault="006205F3">
            <w:pPr>
              <w:jc w:val="center"/>
              <w:rPr>
                <w:rFonts w:ascii="Times New Roman" w:eastAsia="Calibri" w:hAnsi="Times New Roman" w:cs="Times New Roman"/>
                <w:noProof/>
                <w:sz w:val="24"/>
                <w:szCs w:val="24"/>
              </w:rPr>
            </w:pPr>
            <w:r>
              <w:rPr>
                <w:rFonts w:ascii="Times New Roman" w:hAnsi="Times New Roman"/>
                <w:noProof/>
                <w:color w:val="000000"/>
                <w:sz w:val="24"/>
              </w:rPr>
              <w:t>11</w:t>
            </w:r>
          </w:p>
        </w:tc>
      </w:tr>
    </w:tbl>
    <w:p w:rsidR="00031437" w:rsidRDefault="006205F3">
      <w:pPr>
        <w:pStyle w:val="Heading2"/>
        <w:spacing w:before="200" w:after="200" w:line="360" w:lineRule="auto"/>
        <w:ind w:left="0" w:firstLine="0"/>
        <w:rPr>
          <w:noProof/>
        </w:rPr>
      </w:pPr>
      <w:bookmarkStart w:id="25" w:name="_Toc472070545"/>
      <w:bookmarkStart w:id="26" w:name="_Toc485128881"/>
      <w:bookmarkStart w:id="27" w:name="_Toc486923882"/>
      <w:r>
        <w:rPr>
          <w:noProof/>
        </w:rPr>
        <w:t xml:space="preserve">Règles de confidentialité et mise en œuvre de </w:t>
      </w:r>
      <w:r>
        <w:rPr>
          <w:noProof/>
        </w:rPr>
        <w:t>celles-ci</w:t>
      </w:r>
      <w:bookmarkEnd w:id="25"/>
      <w:bookmarkEnd w:id="26"/>
      <w:bookmarkEnd w:id="27"/>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tableaux du point 2.1 montrent combien les règles de confidentialité ont réduit la disponibilité des données.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Les États membres ont tous appliqué des règles de confidentialité similaires, principalement pour éviter la diffusion de données </w:t>
      </w:r>
      <w:r>
        <w:rPr>
          <w:rFonts w:ascii="Times New Roman" w:hAnsi="Times New Roman"/>
          <w:noProof/>
          <w:sz w:val="24"/>
        </w:rPr>
        <w:t xml:space="preserve">relatives à une ou plusieurs entreprises spécifiques. Plusieurs d’entre eux y ont ajouté une «règle de prédominance» interdisant la publication des données lorsque la part d’une entreprise répondante dépasse un certain pourcentage du total. Le pourcentage </w:t>
      </w:r>
      <w:r>
        <w:rPr>
          <w:rFonts w:ascii="Times New Roman" w:hAnsi="Times New Roman"/>
          <w:noProof/>
          <w:sz w:val="24"/>
        </w:rPr>
        <w:t>appliqué varie légèrement d’un État membre à l’autre.</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La proportion de données classées confidentielles va de 0 % à 36 %, les taux les plus élevés revenant généralement aux pays moyens ou petits, en raison des règles susmentionnées.  </w:t>
      </w:r>
    </w:p>
    <w:p w:rsidR="00031437" w:rsidRDefault="006205F3">
      <w:pPr>
        <w:spacing w:line="360" w:lineRule="auto"/>
        <w:jc w:val="both"/>
        <w:rPr>
          <w:rFonts w:ascii="Times New Roman" w:eastAsia="Calibri" w:hAnsi="Times New Roman" w:cs="Times New Roman"/>
          <w:bCs/>
          <w:noProof/>
          <w:sz w:val="24"/>
          <w:szCs w:val="24"/>
        </w:rPr>
      </w:pPr>
      <w:r>
        <w:rPr>
          <w:rFonts w:ascii="Times New Roman" w:hAnsi="Times New Roman"/>
          <w:noProof/>
          <w:sz w:val="24"/>
        </w:rPr>
        <w:t>Au total, les taux de</w:t>
      </w:r>
      <w:r>
        <w:rPr>
          <w:rFonts w:ascii="Times New Roman" w:hAnsi="Times New Roman"/>
          <w:noProof/>
          <w:sz w:val="24"/>
        </w:rPr>
        <w:t xml:space="preserve"> confidentialité dans les statistiques 2013 sur les services, l’industrie, le commerce et la construction étaient inférieurs à ceux du précédent rapport de 2 points de pourcentage. Les taux étaient supérieurs de 5 points de pourcentage pour les services au</w:t>
      </w:r>
      <w:r>
        <w:rPr>
          <w:rFonts w:ascii="Times New Roman" w:hAnsi="Times New Roman"/>
          <w:noProof/>
          <w:sz w:val="24"/>
        </w:rPr>
        <w:t>x entreprises, mais inférieurs de 1 point de pourcentage pour la démographie des entreprises.</w:t>
      </w:r>
    </w:p>
    <w:p w:rsidR="00031437" w:rsidRDefault="006205F3">
      <w:pPr>
        <w:spacing w:line="360" w:lineRule="auto"/>
        <w:jc w:val="both"/>
        <w:rPr>
          <w:rFonts w:ascii="Times New Roman" w:eastAsia="Calibri" w:hAnsi="Times New Roman" w:cs="Times New Roman"/>
          <w:bCs/>
          <w:noProof/>
          <w:sz w:val="24"/>
          <w:szCs w:val="24"/>
        </w:rPr>
      </w:pPr>
      <w:r>
        <w:rPr>
          <w:rFonts w:ascii="Times New Roman" w:hAnsi="Times New Roman"/>
          <w:noProof/>
          <w:sz w:val="24"/>
        </w:rPr>
        <w:t>Eurostat considère que la proportion de données confidentielles dans les divers États membres reste très élevée; par conséquent, ceux-ci sont encouragés à redoubl</w:t>
      </w:r>
      <w:r>
        <w:rPr>
          <w:rFonts w:ascii="Times New Roman" w:hAnsi="Times New Roman"/>
          <w:noProof/>
          <w:sz w:val="24"/>
        </w:rPr>
        <w:t xml:space="preserve">er d’efforts afin de réduire à l’avenir le nombre de données confidentielles. </w:t>
      </w:r>
    </w:p>
    <w:p w:rsidR="00031437" w:rsidRDefault="00031437">
      <w:pPr>
        <w:spacing w:line="360" w:lineRule="auto"/>
        <w:jc w:val="both"/>
        <w:rPr>
          <w:rFonts w:ascii="Times New Roman" w:eastAsia="Calibri" w:hAnsi="Times New Roman" w:cs="Times New Roman"/>
          <w:b/>
          <w:bCs/>
          <w:noProof/>
          <w:sz w:val="24"/>
          <w:szCs w:val="24"/>
        </w:rPr>
      </w:pP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Outre l’application de règles de confidentialité à l’échelon national, certaines données agrégées au niveau de l’UE ont également été exclues des statistiques destinées à la pu</w:t>
      </w:r>
      <w:r>
        <w:rPr>
          <w:rFonts w:ascii="Times New Roman" w:hAnsi="Times New Roman"/>
          <w:noProof/>
          <w:sz w:val="24"/>
        </w:rPr>
        <w:t>blication afin de protéger des informations nationales confidentielles. Les règles fixant les conditions dans lesquelles les totaux de l’UE ne doivent pas être publiés sont énoncées dans une charte de confidentialité adoptée en accord avec tous les États m</w:t>
      </w:r>
      <w:r>
        <w:rPr>
          <w:rFonts w:ascii="Times New Roman" w:hAnsi="Times New Roman"/>
          <w:noProof/>
          <w:sz w:val="24"/>
        </w:rPr>
        <w:t>embres.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Compte tenu de ce qui précède, 8 % des agrégats de l’UE faisant parties des statistiques 2013 sur les services, l’industrie, le commerce et la construction n’ont pu être publiés pour des questions de confidentialité.</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Parmi les agrégats de l’UE conc</w:t>
      </w:r>
      <w:r>
        <w:rPr>
          <w:rFonts w:ascii="Times New Roman" w:hAnsi="Times New Roman"/>
          <w:noProof/>
          <w:sz w:val="24"/>
        </w:rPr>
        <w:t xml:space="preserve">ernant la démographie des entreprises, 14,2 % n’ont pas été diffusés pour les mêmes raisons. Le nombre et le pourcentage de cellules de données confidentielles sont présentés dans le tableau ci-dessous.  </w:t>
      </w:r>
    </w:p>
    <w:p w:rsidR="00031437" w:rsidRDefault="006205F3">
      <w:pPr>
        <w:spacing w:line="360" w:lineRule="auto"/>
        <w:jc w:val="both"/>
        <w:rPr>
          <w:rFonts w:ascii="Times New Roman" w:eastAsia="Calibri" w:hAnsi="Times New Roman" w:cs="Times New Roman"/>
          <w:bCs/>
          <w:i/>
          <w:noProof/>
          <w:sz w:val="24"/>
          <w:szCs w:val="24"/>
        </w:rPr>
      </w:pPr>
      <w:r>
        <w:rPr>
          <w:rFonts w:ascii="Times New Roman" w:hAnsi="Times New Roman"/>
          <w:i/>
          <w:noProof/>
          <w:sz w:val="24"/>
        </w:rPr>
        <w:t>Tableau 4:</w:t>
      </w:r>
      <w:r>
        <w:rPr>
          <w:noProof/>
        </w:rPr>
        <w:tab/>
      </w:r>
      <w:r>
        <w:rPr>
          <w:rFonts w:ascii="Times New Roman" w:hAnsi="Times New Roman"/>
          <w:i/>
          <w:noProof/>
          <w:sz w:val="24"/>
        </w:rPr>
        <w:t xml:space="preserve">Confidentialité des principales </w:t>
      </w:r>
      <w:r>
        <w:rPr>
          <w:rFonts w:ascii="Times New Roman" w:hAnsi="Times New Roman"/>
          <w:i/>
          <w:noProof/>
          <w:sz w:val="24"/>
        </w:rPr>
        <w:t>variables comprises dans les statistiques annuelles sur les entreprises pour lesquelles des agrégats 2013 de l’UE ont été publiés, tous niveaux de la NACE Rév. 2 confondus</w:t>
      </w:r>
    </w:p>
    <w:tbl>
      <w:tblPr>
        <w:tblW w:w="9112" w:type="dxa"/>
        <w:tblInd w:w="93" w:type="dxa"/>
        <w:tblLook w:val="04A0" w:firstRow="1" w:lastRow="0" w:firstColumn="1" w:lastColumn="0" w:noHBand="0" w:noVBand="1"/>
      </w:tblPr>
      <w:tblGrid>
        <w:gridCol w:w="3310"/>
        <w:gridCol w:w="1882"/>
        <w:gridCol w:w="2196"/>
        <w:gridCol w:w="1724"/>
      </w:tblGrid>
      <w:tr w:rsidR="00031437">
        <w:trPr>
          <w:trHeight w:val="700"/>
        </w:trPr>
        <w:tc>
          <w:tcPr>
            <w:tcW w:w="3310" w:type="dxa"/>
            <w:tcBorders>
              <w:top w:val="single" w:sz="4" w:space="0" w:color="auto"/>
              <w:left w:val="single" w:sz="4" w:space="0" w:color="auto"/>
              <w:bottom w:val="single" w:sz="4" w:space="0" w:color="auto"/>
              <w:right w:val="single" w:sz="4" w:space="0" w:color="auto"/>
            </w:tcBorders>
            <w:shd w:val="clear" w:color="000000" w:fill="D9D9D9"/>
            <w:vAlign w:val="center"/>
          </w:tcPr>
          <w:p w:rsidR="00031437" w:rsidRDefault="006205F3">
            <w:pP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SSE</w:t>
            </w:r>
          </w:p>
        </w:tc>
        <w:tc>
          <w:tcPr>
            <w:tcW w:w="1882" w:type="dxa"/>
            <w:tcBorders>
              <w:top w:val="single" w:sz="4" w:space="0" w:color="auto"/>
              <w:left w:val="nil"/>
              <w:bottom w:val="single" w:sz="4" w:space="0" w:color="auto"/>
              <w:right w:val="single" w:sz="4" w:space="0" w:color="auto"/>
            </w:tcBorders>
            <w:shd w:val="clear" w:color="000000" w:fill="D9D9D9"/>
            <w:vAlign w:val="center"/>
          </w:tcPr>
          <w:p w:rsidR="00031437" w:rsidRDefault="006205F3">
            <w:pP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Nombre total de cellules de données</w:t>
            </w:r>
          </w:p>
        </w:tc>
        <w:tc>
          <w:tcPr>
            <w:tcW w:w="2196" w:type="dxa"/>
            <w:tcBorders>
              <w:top w:val="single" w:sz="4" w:space="0" w:color="auto"/>
              <w:left w:val="nil"/>
              <w:bottom w:val="single" w:sz="4" w:space="0" w:color="auto"/>
              <w:right w:val="single" w:sz="4" w:space="0" w:color="auto"/>
            </w:tcBorders>
            <w:shd w:val="clear" w:color="000000" w:fill="D9D9D9"/>
            <w:vAlign w:val="center"/>
          </w:tcPr>
          <w:p w:rsidR="00031437" w:rsidRDefault="006205F3">
            <w:pP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Nombre de cellules de données confidentielle</w:t>
            </w:r>
            <w:r>
              <w:rPr>
                <w:rFonts w:ascii="Times New Roman" w:hAnsi="Times New Roman"/>
                <w:b/>
                <w:noProof/>
                <w:color w:val="000000"/>
                <w:sz w:val="24"/>
              </w:rPr>
              <w:t>s</w:t>
            </w:r>
          </w:p>
        </w:tc>
        <w:tc>
          <w:tcPr>
            <w:tcW w:w="1724" w:type="dxa"/>
            <w:tcBorders>
              <w:top w:val="single" w:sz="4" w:space="0" w:color="auto"/>
              <w:left w:val="nil"/>
              <w:bottom w:val="single" w:sz="4" w:space="0" w:color="auto"/>
              <w:right w:val="single" w:sz="4" w:space="0" w:color="auto"/>
            </w:tcBorders>
            <w:shd w:val="clear" w:color="000000" w:fill="D9D9D9"/>
            <w:vAlign w:val="center"/>
          </w:tcPr>
          <w:p w:rsidR="00031437" w:rsidRDefault="006205F3">
            <w:pPr>
              <w:spacing w:after="0"/>
              <w:rPr>
                <w:rFonts w:ascii="Times New Roman" w:eastAsia="Times New Roman" w:hAnsi="Times New Roman" w:cs="Times New Roman"/>
                <w:b/>
                <w:noProof/>
                <w:color w:val="000000"/>
                <w:sz w:val="24"/>
                <w:szCs w:val="24"/>
              </w:rPr>
            </w:pPr>
            <w:r>
              <w:rPr>
                <w:rFonts w:ascii="Times New Roman" w:hAnsi="Times New Roman"/>
                <w:b/>
                <w:noProof/>
                <w:color w:val="000000"/>
                <w:sz w:val="24"/>
              </w:rPr>
              <w:t>Données confidentielles (en %)</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sz w:val="24"/>
              </w:rPr>
              <w:t>Services</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6 001</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488</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8,1</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sz w:val="24"/>
              </w:rPr>
              <w:t>Industrie</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9 030</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852</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9,4</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sz w:val="24"/>
              </w:rPr>
              <w:t>Commerce</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2 208</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73</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3,3</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sz w:val="24"/>
              </w:rPr>
              <w:t>Construction</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767</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34</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color w:val="000000"/>
                <w:sz w:val="24"/>
                <w:szCs w:val="24"/>
              </w:rPr>
            </w:pPr>
            <w:r>
              <w:rPr>
                <w:rFonts w:ascii="Times New Roman" w:hAnsi="Times New Roman"/>
                <w:noProof/>
                <w:color w:val="000000"/>
                <w:sz w:val="24"/>
              </w:rPr>
              <w:t>4,4</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b/>
                <w:bCs/>
                <w:noProof/>
                <w:color w:val="000000"/>
                <w:sz w:val="24"/>
                <w:szCs w:val="24"/>
              </w:rPr>
            </w:pPr>
            <w:r>
              <w:rPr>
                <w:rFonts w:ascii="Times New Roman" w:hAnsi="Times New Roman"/>
                <w:b/>
                <w:noProof/>
                <w:sz w:val="24"/>
              </w:rPr>
              <w:t>Total (services, industrie, commerce et construction)</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18 006</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1 447</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
                <w:bCs/>
                <w:noProof/>
                <w:color w:val="000000"/>
                <w:sz w:val="24"/>
                <w:szCs w:val="24"/>
              </w:rPr>
            </w:pPr>
            <w:r>
              <w:rPr>
                <w:rFonts w:ascii="Times New Roman" w:hAnsi="Times New Roman"/>
                <w:b/>
                <w:noProof/>
                <w:color w:val="000000"/>
                <w:sz w:val="24"/>
              </w:rPr>
              <w:t>8,0</w:t>
            </w:r>
          </w:p>
        </w:tc>
      </w:tr>
      <w:tr w:rsidR="00031437">
        <w:trPr>
          <w:trHeight w:val="304"/>
        </w:trPr>
        <w:tc>
          <w:tcPr>
            <w:tcW w:w="3310"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bCs/>
                <w:noProof/>
                <w:color w:val="000000"/>
                <w:sz w:val="24"/>
                <w:szCs w:val="24"/>
              </w:rPr>
            </w:pPr>
            <w:r>
              <w:rPr>
                <w:rFonts w:ascii="Times New Roman" w:hAnsi="Times New Roman"/>
                <w:noProof/>
                <w:sz w:val="24"/>
              </w:rPr>
              <w:t>Démographie des entreprises</w:t>
            </w:r>
          </w:p>
        </w:tc>
        <w:tc>
          <w:tcPr>
            <w:tcW w:w="188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color w:val="000000"/>
                <w:sz w:val="24"/>
                <w:szCs w:val="24"/>
              </w:rPr>
            </w:pPr>
            <w:r>
              <w:rPr>
                <w:rFonts w:ascii="Times New Roman" w:hAnsi="Times New Roman"/>
                <w:noProof/>
                <w:color w:val="000000"/>
                <w:sz w:val="24"/>
              </w:rPr>
              <w:t>20 412</w:t>
            </w:r>
          </w:p>
        </w:tc>
        <w:tc>
          <w:tcPr>
            <w:tcW w:w="219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color w:val="000000"/>
                <w:sz w:val="24"/>
                <w:szCs w:val="24"/>
              </w:rPr>
            </w:pPr>
            <w:r>
              <w:rPr>
                <w:rFonts w:ascii="Times New Roman" w:hAnsi="Times New Roman"/>
                <w:noProof/>
                <w:color w:val="000000"/>
                <w:sz w:val="24"/>
              </w:rPr>
              <w:t>2 900</w:t>
            </w:r>
          </w:p>
        </w:tc>
        <w:tc>
          <w:tcPr>
            <w:tcW w:w="1724"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color w:val="000000"/>
                <w:sz w:val="24"/>
                <w:szCs w:val="24"/>
              </w:rPr>
            </w:pPr>
            <w:r>
              <w:rPr>
                <w:rFonts w:ascii="Times New Roman" w:hAnsi="Times New Roman"/>
                <w:noProof/>
                <w:color w:val="000000"/>
                <w:sz w:val="24"/>
              </w:rPr>
              <w:t>14,2</w:t>
            </w:r>
          </w:p>
        </w:tc>
      </w:tr>
    </w:tbl>
    <w:p w:rsidR="00031437" w:rsidRDefault="006205F3">
      <w:pPr>
        <w:pStyle w:val="Heading2"/>
        <w:spacing w:before="200" w:after="200" w:line="360" w:lineRule="auto"/>
        <w:ind w:left="0" w:firstLine="0"/>
        <w:rPr>
          <w:noProof/>
        </w:rPr>
      </w:pPr>
      <w:bookmarkStart w:id="28" w:name="_Toc472070546"/>
      <w:bookmarkStart w:id="29" w:name="_Toc485128882"/>
      <w:bookmarkStart w:id="30" w:name="_Toc486923883"/>
      <w:r>
        <w:rPr>
          <w:noProof/>
        </w:rPr>
        <w:t>Utilité des SSE</w:t>
      </w:r>
      <w:bookmarkEnd w:id="28"/>
      <w:bookmarkEnd w:id="29"/>
      <w:bookmarkEnd w:id="30"/>
    </w:p>
    <w:p w:rsidR="00031437" w:rsidRDefault="006205F3">
      <w:pPr>
        <w:rPr>
          <w:rFonts w:ascii="Times New Roman" w:eastAsia="Calibri" w:hAnsi="Times New Roman" w:cs="Times New Roman"/>
          <w:b/>
          <w:bCs/>
          <w:noProof/>
          <w:sz w:val="24"/>
          <w:szCs w:val="24"/>
        </w:rPr>
      </w:pPr>
      <w:r>
        <w:rPr>
          <w:rFonts w:ascii="Times New Roman" w:hAnsi="Times New Roman"/>
          <w:noProof/>
          <w:sz w:val="24"/>
        </w:rPr>
        <w:t>La majorité des données sont reçues par Eurostat 18 mois après l’année de référence. Les données sont normalement validées et publiées dans les 4 mois qui suivent leur réception. Les totaux relatifs à l’UE sont calculés au plus tard deux an</w:t>
      </w:r>
      <w:r>
        <w:rPr>
          <w:rFonts w:ascii="Times New Roman" w:hAnsi="Times New Roman"/>
          <w:noProof/>
          <w:sz w:val="24"/>
        </w:rPr>
        <w:t>s après l’année de référence. La longueur des délais de transmission des données à Eurostat par les États membres peut nuire à l’utilité des données. Eurostat n’a qu’une influence limitée sur le respect, par les États membres, des délais impartis.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 nombr</w:t>
      </w:r>
      <w:r>
        <w:rPr>
          <w:rFonts w:ascii="Times New Roman" w:hAnsi="Times New Roman"/>
          <w:noProof/>
          <w:sz w:val="24"/>
        </w:rPr>
        <w:t>e de téléchargements effectués à partir du site internet d’Eurostat donne une indication de l’utilité des SSE. Les chiffres qui figurent dans le tableau ci-dessous correspondent à la période allant de janvier à décembre 2016, durant laquelle les données 20</w:t>
      </w:r>
      <w:r>
        <w:rPr>
          <w:rFonts w:ascii="Times New Roman" w:hAnsi="Times New Roman"/>
          <w:noProof/>
          <w:sz w:val="24"/>
        </w:rPr>
        <w:t>13 étaient disponibles.</w:t>
      </w:r>
    </w:p>
    <w:p w:rsidR="00031437" w:rsidRDefault="006205F3">
      <w:pPr>
        <w:spacing w:line="360" w:lineRule="auto"/>
        <w:jc w:val="both"/>
        <w:rPr>
          <w:rFonts w:ascii="Times New Roman" w:eastAsia="Calibri" w:hAnsi="Times New Roman" w:cs="Times New Roman"/>
          <w:i/>
          <w:noProof/>
          <w:sz w:val="24"/>
          <w:szCs w:val="24"/>
        </w:rPr>
      </w:pPr>
      <w:r>
        <w:rPr>
          <w:rFonts w:ascii="Times New Roman" w:hAnsi="Times New Roman"/>
          <w:i/>
          <w:noProof/>
          <w:sz w:val="24"/>
        </w:rPr>
        <w:t>Tableau 5:</w:t>
      </w:r>
      <w:r>
        <w:rPr>
          <w:noProof/>
        </w:rPr>
        <w:tab/>
      </w:r>
      <w:r>
        <w:rPr>
          <w:rFonts w:ascii="Times New Roman" w:hAnsi="Times New Roman"/>
          <w:i/>
          <w:noProof/>
          <w:sz w:val="24"/>
        </w:rPr>
        <w:t>Nombre de téléchargements</w:t>
      </w:r>
    </w:p>
    <w:tbl>
      <w:tblPr>
        <w:tblW w:w="9094" w:type="dxa"/>
        <w:tblInd w:w="93" w:type="dxa"/>
        <w:tblLook w:val="04A0" w:firstRow="1" w:lastRow="0" w:firstColumn="1" w:lastColumn="0" w:noHBand="0" w:noVBand="1"/>
      </w:tblPr>
      <w:tblGrid>
        <w:gridCol w:w="6111"/>
        <w:gridCol w:w="2983"/>
      </w:tblGrid>
      <w:tr w:rsidR="00031437">
        <w:trPr>
          <w:trHeight w:val="300"/>
        </w:trPr>
        <w:tc>
          <w:tcPr>
            <w:tcW w:w="611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031437" w:rsidRDefault="006205F3">
            <w:pPr>
              <w:spacing w:after="0"/>
              <w:jc w:val="both"/>
              <w:rPr>
                <w:rFonts w:ascii="Times New Roman" w:eastAsia="Times New Roman" w:hAnsi="Times New Roman" w:cs="Times New Roman"/>
                <w:b/>
                <w:bCs/>
                <w:noProof/>
                <w:sz w:val="24"/>
                <w:szCs w:val="24"/>
              </w:rPr>
            </w:pPr>
            <w:r>
              <w:rPr>
                <w:rFonts w:ascii="Times New Roman" w:hAnsi="Times New Roman"/>
                <w:b/>
                <w:noProof/>
                <w:sz w:val="24"/>
              </w:rPr>
              <w:t>SSE</w:t>
            </w:r>
          </w:p>
        </w:tc>
        <w:tc>
          <w:tcPr>
            <w:tcW w:w="2983" w:type="dxa"/>
            <w:tcBorders>
              <w:top w:val="single" w:sz="4" w:space="0" w:color="auto"/>
              <w:left w:val="nil"/>
              <w:bottom w:val="single" w:sz="4" w:space="0" w:color="auto"/>
              <w:right w:val="single" w:sz="4" w:space="0" w:color="auto"/>
            </w:tcBorders>
            <w:shd w:val="clear" w:color="000000" w:fill="D9D9D9"/>
            <w:noWrap/>
            <w:vAlign w:val="center"/>
          </w:tcPr>
          <w:p w:rsidR="00031437" w:rsidRDefault="006205F3">
            <w:pPr>
              <w:spacing w:after="0"/>
              <w:jc w:val="both"/>
              <w:rPr>
                <w:rFonts w:ascii="Times New Roman" w:eastAsia="Times New Roman" w:hAnsi="Times New Roman" w:cs="Times New Roman"/>
                <w:b/>
                <w:bCs/>
                <w:noProof/>
                <w:sz w:val="24"/>
                <w:szCs w:val="24"/>
              </w:rPr>
            </w:pPr>
            <w:r>
              <w:rPr>
                <w:rFonts w:ascii="Times New Roman" w:hAnsi="Times New Roman"/>
                <w:b/>
                <w:noProof/>
                <w:sz w:val="24"/>
              </w:rPr>
              <w:t>Nombre de téléchargements</w:t>
            </w:r>
          </w:p>
        </w:tc>
      </w:tr>
      <w:tr w:rsidR="00031437">
        <w:trPr>
          <w:trHeight w:val="256"/>
        </w:trPr>
        <w:tc>
          <w:tcPr>
            <w:tcW w:w="6111" w:type="dxa"/>
            <w:vMerge/>
            <w:tcBorders>
              <w:top w:val="single" w:sz="4" w:space="0" w:color="auto"/>
              <w:left w:val="single" w:sz="4" w:space="0" w:color="auto"/>
              <w:bottom w:val="single" w:sz="4" w:space="0" w:color="000000"/>
              <w:right w:val="single" w:sz="4" w:space="0" w:color="auto"/>
            </w:tcBorders>
            <w:vAlign w:val="center"/>
          </w:tcPr>
          <w:p w:rsidR="00031437" w:rsidRDefault="00031437">
            <w:pPr>
              <w:spacing w:after="0" w:line="360" w:lineRule="auto"/>
              <w:jc w:val="both"/>
              <w:rPr>
                <w:rFonts w:ascii="Times New Roman" w:eastAsia="Times New Roman" w:hAnsi="Times New Roman" w:cs="Times New Roman"/>
                <w:b/>
                <w:bCs/>
                <w:noProof/>
                <w:sz w:val="24"/>
                <w:szCs w:val="24"/>
              </w:rPr>
            </w:pPr>
          </w:p>
        </w:tc>
        <w:tc>
          <w:tcPr>
            <w:tcW w:w="2983" w:type="dxa"/>
            <w:tcBorders>
              <w:top w:val="nil"/>
              <w:left w:val="nil"/>
              <w:bottom w:val="single" w:sz="4" w:space="0" w:color="auto"/>
              <w:right w:val="single" w:sz="4" w:space="0" w:color="auto"/>
            </w:tcBorders>
            <w:shd w:val="clear" w:color="000000" w:fill="D9D9D9"/>
            <w:vAlign w:val="center"/>
          </w:tcPr>
          <w:p w:rsidR="00031437" w:rsidRDefault="006205F3">
            <w:pPr>
              <w:spacing w:after="0" w:line="360" w:lineRule="auto"/>
              <w:jc w:val="right"/>
              <w:rPr>
                <w:rFonts w:ascii="Times New Roman" w:eastAsia="Times New Roman" w:hAnsi="Times New Roman" w:cs="Times New Roman"/>
                <w:b/>
                <w:bCs/>
                <w:noProof/>
                <w:sz w:val="24"/>
                <w:szCs w:val="24"/>
              </w:rPr>
            </w:pPr>
            <w:r>
              <w:rPr>
                <w:rFonts w:ascii="Times New Roman" w:hAnsi="Times New Roman"/>
                <w:b/>
                <w:noProof/>
                <w:sz w:val="24"/>
              </w:rPr>
              <w:t>254 241</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bCs/>
                <w:noProof/>
                <w:sz w:val="24"/>
                <w:szCs w:val="24"/>
              </w:rPr>
            </w:pPr>
            <w:r>
              <w:rPr>
                <w:rFonts w:ascii="Times New Roman" w:hAnsi="Times New Roman"/>
                <w:noProof/>
                <w:sz w:val="24"/>
              </w:rPr>
              <w:t>Tableaux agrégés (industrie, construction, commerce et services)</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sz w:val="24"/>
                <w:szCs w:val="24"/>
              </w:rPr>
            </w:pPr>
            <w:r>
              <w:rPr>
                <w:rFonts w:ascii="Times New Roman" w:hAnsi="Times New Roman"/>
                <w:noProof/>
                <w:sz w:val="24"/>
              </w:rPr>
              <w:t>52 795</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sz w:val="24"/>
                <w:szCs w:val="24"/>
              </w:rPr>
            </w:pPr>
            <w:r>
              <w:rPr>
                <w:rFonts w:ascii="Times New Roman" w:hAnsi="Times New Roman"/>
                <w:noProof/>
                <w:sz w:val="24"/>
              </w:rPr>
              <w:t>Industrie et construction</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sz w:val="24"/>
                <w:szCs w:val="24"/>
              </w:rPr>
            </w:pPr>
            <w:r>
              <w:rPr>
                <w:rFonts w:ascii="Times New Roman" w:hAnsi="Times New Roman"/>
                <w:noProof/>
                <w:sz w:val="24"/>
              </w:rPr>
              <w:t>85 920</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sz w:val="24"/>
                <w:szCs w:val="24"/>
              </w:rPr>
            </w:pPr>
            <w:r>
              <w:rPr>
                <w:rFonts w:ascii="Times New Roman" w:hAnsi="Times New Roman"/>
                <w:noProof/>
                <w:sz w:val="24"/>
              </w:rPr>
              <w:t>Commerce</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sz w:val="24"/>
                <w:szCs w:val="24"/>
              </w:rPr>
            </w:pPr>
            <w:r>
              <w:rPr>
                <w:rFonts w:ascii="Times New Roman" w:hAnsi="Times New Roman"/>
                <w:noProof/>
                <w:sz w:val="24"/>
              </w:rPr>
              <w:t>27 179</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sz w:val="24"/>
                <w:szCs w:val="24"/>
              </w:rPr>
            </w:pPr>
            <w:r>
              <w:rPr>
                <w:rFonts w:ascii="Times New Roman" w:hAnsi="Times New Roman"/>
                <w:noProof/>
                <w:sz w:val="24"/>
              </w:rPr>
              <w:t>Services</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sz w:val="24"/>
                <w:szCs w:val="24"/>
              </w:rPr>
            </w:pPr>
            <w:r>
              <w:rPr>
                <w:rFonts w:ascii="Times New Roman" w:hAnsi="Times New Roman"/>
                <w:noProof/>
                <w:sz w:val="24"/>
              </w:rPr>
              <w:t>31 446</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sz w:val="24"/>
                <w:szCs w:val="24"/>
              </w:rPr>
            </w:pPr>
            <w:r>
              <w:rPr>
                <w:rFonts w:ascii="Times New Roman" w:hAnsi="Times New Roman"/>
                <w:noProof/>
                <w:sz w:val="24"/>
              </w:rPr>
              <w:t xml:space="preserve">Données </w:t>
            </w:r>
            <w:r>
              <w:rPr>
                <w:rFonts w:ascii="Times New Roman" w:hAnsi="Times New Roman"/>
                <w:noProof/>
                <w:sz w:val="24"/>
              </w:rPr>
              <w:t>régionales – tous secteurs confondus</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noProof/>
                <w:sz w:val="24"/>
                <w:szCs w:val="24"/>
              </w:rPr>
            </w:pPr>
            <w:r>
              <w:rPr>
                <w:rFonts w:ascii="Times New Roman" w:hAnsi="Times New Roman"/>
                <w:noProof/>
                <w:sz w:val="24"/>
              </w:rPr>
              <w:t>17 349</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bCs/>
                <w:noProof/>
                <w:sz w:val="24"/>
                <w:szCs w:val="24"/>
              </w:rPr>
            </w:pPr>
            <w:r>
              <w:rPr>
                <w:rFonts w:ascii="Times New Roman" w:hAnsi="Times New Roman"/>
                <w:noProof/>
                <w:sz w:val="24"/>
              </w:rPr>
              <w:t>Services aux entreprises</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sz w:val="24"/>
                <w:szCs w:val="24"/>
              </w:rPr>
            </w:pPr>
            <w:r>
              <w:rPr>
                <w:rFonts w:ascii="Times New Roman" w:hAnsi="Times New Roman"/>
                <w:noProof/>
                <w:sz w:val="24"/>
              </w:rPr>
              <w:t>5 171</w:t>
            </w:r>
          </w:p>
        </w:tc>
      </w:tr>
      <w:tr w:rsidR="00031437">
        <w:trPr>
          <w:trHeight w:val="255"/>
        </w:trPr>
        <w:tc>
          <w:tcPr>
            <w:tcW w:w="6111" w:type="dxa"/>
            <w:tcBorders>
              <w:top w:val="nil"/>
              <w:left w:val="single" w:sz="4" w:space="0" w:color="auto"/>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bCs/>
                <w:noProof/>
                <w:sz w:val="24"/>
                <w:szCs w:val="24"/>
              </w:rPr>
            </w:pPr>
            <w:r>
              <w:rPr>
                <w:rFonts w:ascii="Times New Roman" w:hAnsi="Times New Roman"/>
                <w:noProof/>
                <w:sz w:val="24"/>
              </w:rPr>
              <w:t>Démographie des entreprises</w:t>
            </w:r>
          </w:p>
        </w:tc>
        <w:tc>
          <w:tcPr>
            <w:tcW w:w="2983"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right"/>
              <w:rPr>
                <w:rFonts w:ascii="Times New Roman" w:eastAsia="Times New Roman" w:hAnsi="Times New Roman" w:cs="Times New Roman"/>
                <w:bCs/>
                <w:noProof/>
                <w:sz w:val="24"/>
                <w:szCs w:val="24"/>
              </w:rPr>
            </w:pPr>
            <w:r>
              <w:rPr>
                <w:rFonts w:ascii="Times New Roman" w:hAnsi="Times New Roman"/>
                <w:noProof/>
                <w:sz w:val="24"/>
              </w:rPr>
              <w:t>34 381</w:t>
            </w:r>
          </w:p>
        </w:tc>
      </w:tr>
    </w:tbl>
    <w:p w:rsidR="00031437" w:rsidRDefault="006205F3">
      <w:pPr>
        <w:pStyle w:val="Heading1"/>
        <w:spacing w:before="200" w:after="200" w:line="360" w:lineRule="auto"/>
        <w:ind w:left="0" w:firstLine="0"/>
        <w:rPr>
          <w:noProof/>
        </w:rPr>
      </w:pPr>
      <w:bookmarkStart w:id="31" w:name="_Toc472070547"/>
      <w:bookmarkStart w:id="32" w:name="_Toc485128883"/>
      <w:bookmarkStart w:id="33" w:name="_Toc486923884"/>
      <w:r>
        <w:rPr>
          <w:noProof/>
        </w:rPr>
        <w:t>EXACTITUDE</w:t>
      </w:r>
      <w:bookmarkEnd w:id="31"/>
      <w:bookmarkEnd w:id="32"/>
      <w:bookmarkEnd w:id="33"/>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Aux fins de l’appréciation de l’exactitude des SSE, le règlement (UE) nº 275/2010 de la Commission</w:t>
      </w:r>
      <w:r>
        <w:rPr>
          <w:rStyle w:val="FootnoteReference"/>
          <w:noProof/>
        </w:rPr>
        <w:footnoteReference w:id="9"/>
      </w:r>
      <w:r>
        <w:rPr>
          <w:rFonts w:ascii="Times New Roman" w:hAnsi="Times New Roman"/>
          <w:noProof/>
          <w:sz w:val="24"/>
        </w:rPr>
        <w:t xml:space="preserve"> impose aux États membres de transmettre chaque année à Eurostat des informations relatives à des indicateurs de qualité, tels les coefficients de variation. Ils doivent également fournir des informations sur la méthode utilisée pour la collecte et le trai</w:t>
      </w:r>
      <w:r>
        <w:rPr>
          <w:rFonts w:ascii="Times New Roman" w:hAnsi="Times New Roman"/>
          <w:noProof/>
          <w:sz w:val="24"/>
        </w:rPr>
        <w:t>tement des données. À partir des informations fournies par l’ensemble des États membres, Eurostat a réalisé une évaluation pour l’année 2013, dont les principaux éléments figurent dans le présent rapport.</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Il appartient aux États membres de décider des moye</w:t>
      </w:r>
      <w:r>
        <w:rPr>
          <w:rFonts w:ascii="Times New Roman" w:hAnsi="Times New Roman"/>
          <w:noProof/>
          <w:sz w:val="24"/>
        </w:rPr>
        <w:t>ns les plus efficaces et rentables de collecter et de traiter leurs données, eu égard à leurs réalités nationales (classe de taille, activités économiques et régions, entre autres aspects) et aux sources administratives disponibles.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Afin d’évaluer la quali</w:t>
      </w:r>
      <w:r>
        <w:rPr>
          <w:rFonts w:ascii="Times New Roman" w:hAnsi="Times New Roman"/>
          <w:noProof/>
          <w:sz w:val="24"/>
        </w:rPr>
        <w:t>té des données à l’échelle européenne, Eurostat a calculé les coefficients de variation agrégés pour l’UE à partir des coefficients de variation nationaux, pour six variables et pour tous les secteurs au niveau à un chiffre de la NACE Rév. 2 (sections).</w:t>
      </w:r>
    </w:p>
    <w:p w:rsidR="00031437" w:rsidRDefault="006205F3">
      <w:pPr>
        <w:spacing w:line="360" w:lineRule="auto"/>
        <w:jc w:val="both"/>
        <w:rPr>
          <w:rFonts w:ascii="Times New Roman" w:eastAsia="Calibri" w:hAnsi="Times New Roman" w:cs="Times New Roman"/>
          <w:bCs/>
          <w:i/>
          <w:noProof/>
          <w:sz w:val="24"/>
          <w:szCs w:val="24"/>
        </w:rPr>
      </w:pPr>
      <w:r>
        <w:rPr>
          <w:rFonts w:ascii="Times New Roman" w:hAnsi="Times New Roman"/>
          <w:i/>
          <w:noProof/>
          <w:sz w:val="24"/>
        </w:rPr>
        <w:t>Ta</w:t>
      </w:r>
      <w:r>
        <w:rPr>
          <w:rFonts w:ascii="Times New Roman" w:hAnsi="Times New Roman"/>
          <w:i/>
          <w:noProof/>
          <w:sz w:val="24"/>
        </w:rPr>
        <w:t>bleau 6:</w:t>
      </w:r>
      <w:r>
        <w:rPr>
          <w:noProof/>
        </w:rPr>
        <w:tab/>
      </w:r>
      <w:r>
        <w:rPr>
          <w:rFonts w:ascii="Times New Roman" w:hAnsi="Times New Roman"/>
          <w:i/>
          <w:noProof/>
          <w:sz w:val="24"/>
        </w:rPr>
        <w:t>Coefficients de variation agrégés pour l’UE en ce qui concerne les statistiques sur les services, l’industrie, le commerce et la construction (en %)</w:t>
      </w:r>
    </w:p>
    <w:tbl>
      <w:tblPr>
        <w:tblW w:w="9229" w:type="dxa"/>
        <w:tblInd w:w="93" w:type="dxa"/>
        <w:tblLayout w:type="fixed"/>
        <w:tblLook w:val="04A0" w:firstRow="1" w:lastRow="0" w:firstColumn="1" w:lastColumn="0" w:noHBand="0" w:noVBand="1"/>
      </w:tblPr>
      <w:tblGrid>
        <w:gridCol w:w="1433"/>
        <w:gridCol w:w="1559"/>
        <w:gridCol w:w="1276"/>
        <w:gridCol w:w="992"/>
        <w:gridCol w:w="1276"/>
        <w:gridCol w:w="1417"/>
        <w:gridCol w:w="1276"/>
      </w:tblGrid>
      <w:tr w:rsidR="00031437">
        <w:trPr>
          <w:trHeight w:val="303"/>
        </w:trPr>
        <w:tc>
          <w:tcPr>
            <w:tcW w:w="1433"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031437" w:rsidRDefault="006205F3">
            <w:pPr>
              <w:spacing w:after="0"/>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rPr>
              <w:t>2013</w:t>
            </w:r>
          </w:p>
        </w:tc>
        <w:tc>
          <w:tcPr>
            <w:tcW w:w="7796" w:type="dxa"/>
            <w:gridSpan w:val="6"/>
            <w:tcBorders>
              <w:top w:val="single" w:sz="4" w:space="0" w:color="auto"/>
              <w:left w:val="nil"/>
              <w:bottom w:val="single" w:sz="4" w:space="0" w:color="auto"/>
              <w:right w:val="single" w:sz="4" w:space="0" w:color="000000"/>
            </w:tcBorders>
            <w:shd w:val="clear" w:color="000000" w:fill="D9D9D9"/>
            <w:noWrap/>
            <w:vAlign w:val="center"/>
          </w:tcPr>
          <w:p w:rsidR="00031437" w:rsidRDefault="006205F3">
            <w:pPr>
              <w:spacing w:after="0"/>
              <w:jc w:val="center"/>
              <w:rPr>
                <w:rFonts w:ascii="Times New Roman" w:eastAsia="Times New Roman" w:hAnsi="Times New Roman" w:cs="Times New Roman"/>
                <w:b/>
                <w:noProof/>
                <w:color w:val="000000"/>
                <w:sz w:val="24"/>
                <w:szCs w:val="24"/>
              </w:rPr>
            </w:pPr>
            <w:r>
              <w:rPr>
                <w:rFonts w:ascii="Times New Roman" w:hAnsi="Times New Roman"/>
                <w:b/>
                <w:noProof/>
                <w:color w:val="000000"/>
                <w:sz w:val="24"/>
              </w:rPr>
              <w:t>Coefficients de variation de l’UE (en %)</w:t>
            </w:r>
          </w:p>
        </w:tc>
      </w:tr>
      <w:tr w:rsidR="00031437">
        <w:trPr>
          <w:trHeight w:val="303"/>
        </w:trPr>
        <w:tc>
          <w:tcPr>
            <w:tcW w:w="1433" w:type="dxa"/>
            <w:tcBorders>
              <w:top w:val="nil"/>
              <w:left w:val="single" w:sz="4" w:space="0" w:color="auto"/>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Coefficient de variation</w:t>
            </w:r>
            <w:r>
              <w:rPr>
                <w:rStyle w:val="FootnoteReference"/>
                <w:noProof/>
              </w:rPr>
              <w:footnoteReference w:id="10"/>
            </w:r>
          </w:p>
        </w:tc>
        <w:tc>
          <w:tcPr>
            <w:tcW w:w="1559"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Nombre d’entreprises</w:t>
            </w:r>
          </w:p>
        </w:tc>
        <w:tc>
          <w:tcPr>
            <w:tcW w:w="1276"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Chiffre d’affaires</w:t>
            </w:r>
          </w:p>
        </w:tc>
        <w:tc>
          <w:tcPr>
            <w:tcW w:w="992"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Valeur ajoutée</w:t>
            </w:r>
          </w:p>
        </w:tc>
        <w:tc>
          <w:tcPr>
            <w:tcW w:w="1276"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Frais de personnel</w:t>
            </w:r>
          </w:p>
        </w:tc>
        <w:tc>
          <w:tcPr>
            <w:tcW w:w="1417"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Investissements bruts</w:t>
            </w:r>
          </w:p>
        </w:tc>
        <w:tc>
          <w:tcPr>
            <w:tcW w:w="1276" w:type="dxa"/>
            <w:tcBorders>
              <w:top w:val="nil"/>
              <w:left w:val="nil"/>
              <w:bottom w:val="single" w:sz="4" w:space="0" w:color="auto"/>
              <w:right w:val="single" w:sz="4" w:space="0" w:color="auto"/>
            </w:tcBorders>
            <w:shd w:val="clear" w:color="000000" w:fill="D9D9D9"/>
            <w:noWrap/>
            <w:vAlign w:val="center"/>
          </w:tcPr>
          <w:p w:rsidR="00031437" w:rsidRDefault="006205F3">
            <w:pPr>
              <w:spacing w:after="0"/>
              <w:rPr>
                <w:rFonts w:ascii="Times New Roman" w:eastAsia="Times New Roman" w:hAnsi="Times New Roman" w:cs="Times New Roman"/>
                <w:noProof/>
                <w:color w:val="000000"/>
                <w:sz w:val="24"/>
                <w:szCs w:val="24"/>
              </w:rPr>
            </w:pPr>
            <w:r>
              <w:rPr>
                <w:rFonts w:ascii="Times New Roman" w:hAnsi="Times New Roman"/>
                <w:noProof/>
                <w:sz w:val="24"/>
              </w:rPr>
              <w:t xml:space="preserve">Nombre de personnes occupées </w:t>
            </w:r>
          </w:p>
        </w:tc>
      </w:tr>
      <w:tr w:rsidR="00031437">
        <w:trPr>
          <w:trHeight w:val="303"/>
        </w:trPr>
        <w:tc>
          <w:tcPr>
            <w:tcW w:w="1433" w:type="dxa"/>
            <w:tcBorders>
              <w:top w:val="nil"/>
              <w:left w:val="single" w:sz="4" w:space="0" w:color="auto"/>
              <w:bottom w:val="single" w:sz="4" w:space="0" w:color="auto"/>
              <w:right w:val="single" w:sz="4" w:space="0" w:color="auto"/>
            </w:tcBorders>
            <w:shd w:val="clear" w:color="000000" w:fill="F2F2F2"/>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0,0-0,5</w:t>
            </w:r>
          </w:p>
        </w:tc>
        <w:tc>
          <w:tcPr>
            <w:tcW w:w="1559"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81</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65</w:t>
            </w:r>
          </w:p>
        </w:tc>
        <w:tc>
          <w:tcPr>
            <w:tcW w:w="99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50</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100</w:t>
            </w:r>
          </w:p>
        </w:tc>
        <w:tc>
          <w:tcPr>
            <w:tcW w:w="1417"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11</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69</w:t>
            </w:r>
          </w:p>
        </w:tc>
      </w:tr>
      <w:tr w:rsidR="00031437">
        <w:trPr>
          <w:trHeight w:val="303"/>
        </w:trPr>
        <w:tc>
          <w:tcPr>
            <w:tcW w:w="1433" w:type="dxa"/>
            <w:tcBorders>
              <w:top w:val="nil"/>
              <w:left w:val="single" w:sz="4" w:space="0" w:color="auto"/>
              <w:bottom w:val="single" w:sz="4" w:space="0" w:color="auto"/>
              <w:right w:val="single" w:sz="4" w:space="0" w:color="auto"/>
            </w:tcBorders>
            <w:shd w:val="clear" w:color="000000" w:fill="F2F2F2"/>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0,6-1,5</w:t>
            </w:r>
          </w:p>
        </w:tc>
        <w:tc>
          <w:tcPr>
            <w:tcW w:w="1559"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13</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24</w:t>
            </w:r>
          </w:p>
        </w:tc>
        <w:tc>
          <w:tcPr>
            <w:tcW w:w="99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50</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417"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28</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31</w:t>
            </w:r>
          </w:p>
        </w:tc>
      </w:tr>
      <w:tr w:rsidR="00031437">
        <w:trPr>
          <w:trHeight w:val="303"/>
        </w:trPr>
        <w:tc>
          <w:tcPr>
            <w:tcW w:w="1433" w:type="dxa"/>
            <w:tcBorders>
              <w:top w:val="nil"/>
              <w:left w:val="single" w:sz="4" w:space="0" w:color="auto"/>
              <w:bottom w:val="single" w:sz="4" w:space="0" w:color="auto"/>
              <w:right w:val="single" w:sz="4" w:space="0" w:color="auto"/>
            </w:tcBorders>
            <w:shd w:val="clear" w:color="000000" w:fill="F2F2F2"/>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1,6-2,5</w:t>
            </w:r>
          </w:p>
        </w:tc>
        <w:tc>
          <w:tcPr>
            <w:tcW w:w="1559"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6</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6</w:t>
            </w:r>
          </w:p>
        </w:tc>
        <w:tc>
          <w:tcPr>
            <w:tcW w:w="992"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417"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17</w:t>
            </w:r>
          </w:p>
        </w:tc>
        <w:tc>
          <w:tcPr>
            <w:tcW w:w="1276" w:type="dxa"/>
            <w:tcBorders>
              <w:top w:val="nil"/>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r>
      <w:tr w:rsidR="00031437">
        <w:trPr>
          <w:trHeight w:val="303"/>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&gt;2,5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44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31437" w:rsidRDefault="006205F3">
            <w:pPr>
              <w:spacing w:after="0"/>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0</w:t>
            </w:r>
          </w:p>
        </w:tc>
      </w:tr>
    </w:tbl>
    <w:p w:rsidR="00031437" w:rsidRDefault="006205F3">
      <w:pPr>
        <w:spacing w:before="200" w:line="360" w:lineRule="auto"/>
        <w:jc w:val="both"/>
        <w:rPr>
          <w:rFonts w:ascii="Times New Roman" w:eastAsia="Calibri" w:hAnsi="Times New Roman" w:cs="Times New Roman"/>
          <w:noProof/>
          <w:sz w:val="24"/>
          <w:szCs w:val="24"/>
        </w:rPr>
      </w:pPr>
      <w:bookmarkStart w:id="34" w:name="_Toc288721587"/>
      <w:r>
        <w:rPr>
          <w:rFonts w:ascii="Times New Roman" w:hAnsi="Times New Roman"/>
          <w:noProof/>
          <w:sz w:val="24"/>
        </w:rPr>
        <w:t xml:space="preserve">Le tableau ci-dessus montre que les coefficients de </w:t>
      </w:r>
      <w:r>
        <w:rPr>
          <w:rFonts w:ascii="Times New Roman" w:hAnsi="Times New Roman"/>
          <w:noProof/>
          <w:sz w:val="24"/>
        </w:rPr>
        <w:t>variation agrégés pour l’UE sont inférieurs à 1,5 dans la plupart des cas. La seule exception est la variable concernant l’investissement brut, pour laquelle ils oscillent principalement entre 0,6 et 2,5.</w:t>
      </w:r>
    </w:p>
    <w:p w:rsidR="00031437" w:rsidRDefault="006205F3">
      <w:pPr>
        <w:pStyle w:val="Heading1"/>
        <w:spacing w:before="0" w:after="200" w:line="360" w:lineRule="auto"/>
        <w:ind w:left="0" w:firstLine="0"/>
        <w:rPr>
          <w:noProof/>
        </w:rPr>
      </w:pPr>
      <w:bookmarkStart w:id="35" w:name="_Toc472070548"/>
      <w:bookmarkStart w:id="36" w:name="_Toc485128884"/>
      <w:bookmarkStart w:id="37" w:name="_Toc486923885"/>
      <w:r>
        <w:rPr>
          <w:noProof/>
        </w:rPr>
        <w:t>COHÉRENCE ET COMPARABILITÉ</w:t>
      </w:r>
      <w:bookmarkEnd w:id="34"/>
      <w:bookmarkEnd w:id="35"/>
      <w:bookmarkEnd w:id="36"/>
      <w:bookmarkEnd w:id="37"/>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Comme indiqué </w:t>
      </w:r>
      <w:r>
        <w:rPr>
          <w:rFonts w:ascii="Times New Roman" w:hAnsi="Times New Roman"/>
          <w:noProof/>
          <w:sz w:val="24"/>
        </w:rPr>
        <w:t>précédemment, les États membres sont tenus de présenter, pour chaque année de référence, un rapport contenant des informations sur la méthode utilisée pour collecter et traiter les données.</w:t>
      </w:r>
    </w:p>
    <w:p w:rsidR="00031437" w:rsidRDefault="006205F3">
      <w:pPr>
        <w:pStyle w:val="Heading2"/>
        <w:spacing w:before="0" w:after="200" w:line="360" w:lineRule="auto"/>
        <w:ind w:left="0" w:firstLine="0"/>
        <w:rPr>
          <w:noProof/>
        </w:rPr>
      </w:pPr>
      <w:bookmarkStart w:id="38" w:name="_Toc472070549"/>
      <w:bookmarkStart w:id="39" w:name="_Toc485128885"/>
      <w:bookmarkStart w:id="40" w:name="_Toc486923886"/>
      <w:r>
        <w:rPr>
          <w:noProof/>
        </w:rPr>
        <w:t>Cohérence</w:t>
      </w:r>
      <w:bookmarkEnd w:id="38"/>
      <w:bookmarkEnd w:id="39"/>
      <w:bookmarkEnd w:id="40"/>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On entend par «cohérence» la mesure dans laquelle l’exac</w:t>
      </w:r>
      <w:r>
        <w:rPr>
          <w:rFonts w:ascii="Times New Roman" w:hAnsi="Times New Roman"/>
          <w:noProof/>
          <w:sz w:val="24"/>
        </w:rPr>
        <w:t>titude des statistiques permet de combiner des données issues de sources différentes. C’est pourquoi Eurostat s’emploie à repérer les caractéristiques communes aux SSE et à d’autres enquêtes menées auprès des entreprises, et à déterminer le degré de cohére</w:t>
      </w:r>
      <w:r>
        <w:rPr>
          <w:rFonts w:ascii="Times New Roman" w:hAnsi="Times New Roman"/>
          <w:noProof/>
          <w:sz w:val="24"/>
        </w:rPr>
        <w:t>nce entre elles.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SSE peuvent être utilisées en même temps que les statistiques provenant de nombre d’autres sources, comme les répertoires d’entreprises, les comptes nationaux, les enquêtes sur le coût de la main-d’œuvre, les statistiques sur les force</w:t>
      </w:r>
      <w:r>
        <w:rPr>
          <w:rFonts w:ascii="Times New Roman" w:hAnsi="Times New Roman"/>
          <w:noProof/>
          <w:sz w:val="24"/>
        </w:rPr>
        <w:t xml:space="preserve">s de travail et les statistiques conjoncturelles. L’analyse de la cohérence des SSE avec d’autres sources statistiques a révélé un certain nombre de différences, du point de vue des données comme de la méthode appliquée. Pour chaque source statistique, la </w:t>
      </w:r>
      <w:r>
        <w:rPr>
          <w:rFonts w:ascii="Times New Roman" w:hAnsi="Times New Roman"/>
          <w:noProof/>
          <w:sz w:val="24"/>
        </w:rPr>
        <w:t>méthode la plus adaptée est choisie. C’est ce qui explique les différences méthodologiques.</w:t>
      </w:r>
    </w:p>
    <w:p w:rsidR="00031437" w:rsidRDefault="006205F3">
      <w:pPr>
        <w:pStyle w:val="Heading2"/>
        <w:spacing w:before="0" w:after="200" w:line="360" w:lineRule="auto"/>
        <w:ind w:left="0" w:firstLine="0"/>
        <w:rPr>
          <w:noProof/>
        </w:rPr>
      </w:pPr>
      <w:bookmarkStart w:id="41" w:name="_Toc472070550"/>
      <w:bookmarkStart w:id="42" w:name="_Toc485128886"/>
      <w:bookmarkStart w:id="43" w:name="_Toc486923887"/>
      <w:r>
        <w:rPr>
          <w:noProof/>
        </w:rPr>
        <w:t>Comparabilité</w:t>
      </w:r>
      <w:bookmarkEnd w:id="41"/>
      <w:bookmarkEnd w:id="42"/>
      <w:bookmarkEnd w:id="43"/>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Les statistiques sur les services, l’industrie, le commerce et la construction ne sont comparables dans le temps et entre différents pays qu’à partir </w:t>
      </w:r>
      <w:r>
        <w:rPr>
          <w:rFonts w:ascii="Times New Roman" w:hAnsi="Times New Roman"/>
          <w:noProof/>
          <w:sz w:val="24"/>
        </w:rPr>
        <w:t>de l’année de référence 2005, certains pays ayant apporté des modifications à la méthode de production et au champ des statistiques avant cette année. L’entrée en vigueur de la nouvelle nomenclature des activités économiques (NACE Rév. 2) en 2008 a entraîn</w:t>
      </w:r>
      <w:r>
        <w:rPr>
          <w:rFonts w:ascii="Times New Roman" w:hAnsi="Times New Roman"/>
          <w:noProof/>
          <w:sz w:val="24"/>
        </w:rPr>
        <w:t>é une rupture dans les séries chronologiques.</w:t>
      </w:r>
    </w:p>
    <w:p w:rsidR="00031437" w:rsidRDefault="006205F3">
      <w:pPr>
        <w:spacing w:line="360" w:lineRule="auto"/>
        <w:jc w:val="both"/>
        <w:rPr>
          <w:rFonts w:ascii="Times New Roman" w:eastAsia="Calibri" w:hAnsi="Times New Roman" w:cs="Times New Roman"/>
          <w:bCs/>
          <w:noProof/>
          <w:sz w:val="24"/>
          <w:szCs w:val="24"/>
        </w:rPr>
      </w:pPr>
      <w:r>
        <w:rPr>
          <w:rFonts w:ascii="Times New Roman" w:hAnsi="Times New Roman"/>
          <w:noProof/>
          <w:sz w:val="24"/>
        </w:rPr>
        <w:t>Les statistiques sur les services aux entreprises et la démographie des entreprises sont comparables à partir de 2008, année où les enquêtes dans ces domaines sont devenues obligatoires.</w:t>
      </w:r>
    </w:p>
    <w:p w:rsidR="00031437" w:rsidRDefault="006205F3">
      <w:pPr>
        <w:pStyle w:val="Heading1"/>
        <w:spacing w:before="0" w:after="200" w:line="360" w:lineRule="auto"/>
        <w:ind w:left="0" w:firstLine="0"/>
        <w:rPr>
          <w:noProof/>
        </w:rPr>
      </w:pPr>
      <w:bookmarkStart w:id="44" w:name="_Toc472070551"/>
      <w:bookmarkStart w:id="45" w:name="_Toc485128887"/>
      <w:bookmarkStart w:id="46" w:name="_Toc486923888"/>
      <w:r>
        <w:rPr>
          <w:noProof/>
        </w:rPr>
        <w:t xml:space="preserve">DÉLAIS DE TRANSMISSION </w:t>
      </w:r>
      <w:r>
        <w:rPr>
          <w:noProof/>
        </w:rPr>
        <w:t>DES DONNÉES</w:t>
      </w:r>
      <w:bookmarkEnd w:id="44"/>
      <w:bookmarkEnd w:id="45"/>
      <w:bookmarkEnd w:id="46"/>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délais dans lesquels les États membres doivent fournir des données pour l’année de référence, conformément au règlement SSE, sont les suivants:</w:t>
      </w:r>
    </w:p>
    <w:p w:rsidR="00031437" w:rsidRDefault="006205F3">
      <w:pPr>
        <w:pStyle w:val="ListParagraph"/>
        <w:numPr>
          <w:ilvl w:val="0"/>
          <w:numId w:val="8"/>
        </w:numPr>
        <w:spacing w:line="360" w:lineRule="auto"/>
        <w:jc w:val="both"/>
        <w:rPr>
          <w:rFonts w:ascii="Times New Roman" w:eastAsia="Times New Roman" w:hAnsi="Times New Roman"/>
          <w:noProof/>
          <w:sz w:val="24"/>
          <w:szCs w:val="24"/>
        </w:rPr>
      </w:pPr>
      <w:r>
        <w:rPr>
          <w:rFonts w:ascii="Times New Roman" w:hAnsi="Times New Roman"/>
          <w:noProof/>
          <w:sz w:val="24"/>
        </w:rPr>
        <w:t>pour les statistiques préliminaires sur les services, l’industrie, le commerce et la constructio</w:t>
      </w:r>
      <w:r>
        <w:rPr>
          <w:rFonts w:ascii="Times New Roman" w:hAnsi="Times New Roman"/>
          <w:noProof/>
          <w:sz w:val="24"/>
        </w:rPr>
        <w:t>n, dix mois à compter de la fin de l’année de référence, et</w:t>
      </w:r>
    </w:p>
    <w:p w:rsidR="00031437" w:rsidRDefault="006205F3">
      <w:pPr>
        <w:pStyle w:val="ListParagraph"/>
        <w:numPr>
          <w:ilvl w:val="0"/>
          <w:numId w:val="8"/>
        </w:numPr>
        <w:tabs>
          <w:tab w:val="num" w:pos="283"/>
        </w:tabs>
        <w:spacing w:line="360" w:lineRule="auto"/>
        <w:jc w:val="both"/>
        <w:rPr>
          <w:rFonts w:ascii="Times New Roman" w:eastAsia="Times New Roman" w:hAnsi="Times New Roman"/>
          <w:noProof/>
          <w:sz w:val="24"/>
          <w:szCs w:val="24"/>
        </w:rPr>
      </w:pPr>
      <w:r>
        <w:rPr>
          <w:rFonts w:ascii="Times New Roman" w:hAnsi="Times New Roman"/>
          <w:noProof/>
          <w:sz w:val="24"/>
        </w:rPr>
        <w:t>pour les données définitives, tous secteurs confondus, dix-huit mois à compter de la fin de l’année de référence.</w:t>
      </w:r>
    </w:p>
    <w:p w:rsidR="00031437" w:rsidRDefault="00031437">
      <w:pPr>
        <w:pStyle w:val="ListParagraph"/>
        <w:spacing w:line="360" w:lineRule="auto"/>
        <w:jc w:val="both"/>
        <w:rPr>
          <w:rFonts w:ascii="Times New Roman" w:eastAsia="Times New Roman" w:hAnsi="Times New Roman"/>
          <w:noProof/>
          <w:sz w:val="24"/>
          <w:szCs w:val="24"/>
        </w:rPr>
      </w:pP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En ce qui concerne l’année de référence 2013, dix-huit pays ont communiqué leurs </w:t>
      </w:r>
      <w:r>
        <w:rPr>
          <w:rFonts w:ascii="Times New Roman" w:hAnsi="Times New Roman"/>
          <w:noProof/>
          <w:sz w:val="24"/>
        </w:rPr>
        <w:t>données en temps voulu.</w:t>
      </w:r>
    </w:p>
    <w:p w:rsidR="00031437" w:rsidRDefault="006205F3">
      <w:pPr>
        <w:pStyle w:val="Heading1"/>
        <w:spacing w:before="0" w:after="200" w:line="360" w:lineRule="auto"/>
        <w:ind w:left="0" w:firstLine="0"/>
        <w:rPr>
          <w:noProof/>
        </w:rPr>
      </w:pPr>
      <w:bookmarkStart w:id="47" w:name="_Toc472070552"/>
      <w:bookmarkStart w:id="48" w:name="_Toc485128888"/>
      <w:bookmarkStart w:id="49" w:name="_Toc486923889"/>
      <w:r>
        <w:rPr>
          <w:noProof/>
        </w:rPr>
        <w:t>ACCESSIBILITÉ ET CLARTÉ</w:t>
      </w:r>
      <w:bookmarkEnd w:id="47"/>
      <w:bookmarkEnd w:id="48"/>
      <w:bookmarkEnd w:id="49"/>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Toutes les SSE sont disponibles gratuitement sur le site internet d’Eurostat (à la rubrique «Industrie, commerce et services»), de même que des explications détaillées sur des aspects méthodologiques suscepti</w:t>
      </w:r>
      <w:r>
        <w:rPr>
          <w:rFonts w:ascii="Times New Roman" w:hAnsi="Times New Roman"/>
          <w:noProof/>
          <w:sz w:val="24"/>
        </w:rPr>
        <w:t>bles d’intéresser les utilisateurs</w:t>
      </w:r>
      <w:r>
        <w:rPr>
          <w:rStyle w:val="FootnoteReference"/>
          <w:noProof/>
        </w:rPr>
        <w:footnoteReference w:id="11"/>
      </w:r>
      <w:r>
        <w:rPr>
          <w:rFonts w:ascii="Times New Roman" w:hAnsi="Times New Roman"/>
          <w:noProof/>
          <w:sz w:val="24"/>
        </w:rPr>
        <w:t>.</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Les SSE sont en outre publiées par les INS à l’échelon national, ce qui rend les données encore plus accessibles.</w:t>
      </w:r>
    </w:p>
    <w:p w:rsidR="00031437" w:rsidRDefault="006205F3">
      <w:pPr>
        <w:pStyle w:val="Heading1"/>
        <w:spacing w:before="0" w:after="200" w:line="360" w:lineRule="auto"/>
        <w:ind w:left="0" w:firstLine="0"/>
        <w:rPr>
          <w:noProof/>
        </w:rPr>
      </w:pPr>
      <w:bookmarkStart w:id="50" w:name="_Toc472070553"/>
      <w:bookmarkStart w:id="51" w:name="_Toc485128889"/>
      <w:bookmarkStart w:id="52" w:name="_Toc486923890"/>
      <w:r>
        <w:rPr>
          <w:noProof/>
        </w:rPr>
        <w:t>RESPECT DU RÈGLEMENT SSE</w:t>
      </w:r>
      <w:bookmarkEnd w:id="50"/>
      <w:bookmarkEnd w:id="51"/>
      <w:bookmarkEnd w:id="52"/>
      <w:r>
        <w:rPr>
          <w:noProof/>
        </w:rPr>
        <w:t xml:space="preserve">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 respect du règlement SSE par les États membres est évalué sur la base de l’</w:t>
      </w:r>
      <w:r>
        <w:rPr>
          <w:rFonts w:ascii="Times New Roman" w:hAnsi="Times New Roman"/>
          <w:noProof/>
          <w:sz w:val="24"/>
        </w:rPr>
        <w:t>exhaustivité des données communiquées, du nombre de versions reçues avant la publication des données définitives et de la ponctualité avec laquelle les données ont été transmises.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Dans l’ensemble, le respect du règlement SSE en ce qui concerne les données </w:t>
      </w:r>
      <w:r>
        <w:rPr>
          <w:rFonts w:ascii="Times New Roman" w:hAnsi="Times New Roman"/>
          <w:noProof/>
          <w:sz w:val="24"/>
        </w:rPr>
        <w:t>2013 s’est amélioré par rapport à la situation décrite dans le rapport précédent. Des circonstances particulières dans un pays peuvent se traduire par une dégradation de la note de celui-ci.</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moyenne, les États membres ont transmis 1,3 version de leurs d</w:t>
      </w:r>
      <w:r>
        <w:rPr>
          <w:rFonts w:ascii="Times New Roman" w:hAnsi="Times New Roman"/>
          <w:noProof/>
          <w:sz w:val="24"/>
        </w:rPr>
        <w:t>onnées avant la publication des chiffres définitifs.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Le tableau 7 présente une évaluation globale du respect du règlement SSE par les 28 États membres et par la Norvège.</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Les pays se sont vu attribuer quatre notes en fonction du degré auquel ils </w:t>
      </w:r>
      <w:r>
        <w:rPr>
          <w:rFonts w:ascii="Times New Roman" w:hAnsi="Times New Roman"/>
          <w:noProof/>
          <w:sz w:val="24"/>
        </w:rPr>
        <w:t>appliquaient le règlement:</w:t>
      </w:r>
    </w:p>
    <w:p w:rsidR="00031437" w:rsidRDefault="006205F3">
      <w:pPr>
        <w:tabs>
          <w:tab w:val="num" w:pos="283"/>
        </w:tabs>
        <w:spacing w:line="360" w:lineRule="auto"/>
        <w:jc w:val="both"/>
        <w:rPr>
          <w:rFonts w:ascii="Times New Roman" w:eastAsia="Times New Roman" w:hAnsi="Times New Roman" w:cs="Times New Roman"/>
          <w:noProof/>
          <w:sz w:val="24"/>
          <w:szCs w:val="24"/>
        </w:rPr>
      </w:pPr>
      <w:r>
        <w:rPr>
          <w:rFonts w:ascii="Times New Roman" w:hAnsi="Times New Roman"/>
          <w:b/>
          <w:noProof/>
          <w:sz w:val="24"/>
        </w:rPr>
        <w:t>TB</w:t>
      </w:r>
      <w:r>
        <w:rPr>
          <w:rFonts w:ascii="Times New Roman" w:hAnsi="Times New Roman"/>
          <w:noProof/>
          <w:sz w:val="24"/>
        </w:rPr>
        <w:t xml:space="preserve"> =</w:t>
      </w:r>
      <w:r>
        <w:rPr>
          <w:noProof/>
        </w:rPr>
        <w:tab/>
      </w:r>
      <w:r>
        <w:rPr>
          <w:rFonts w:ascii="Times New Roman" w:hAnsi="Times New Roman"/>
          <w:noProof/>
          <w:sz w:val="24"/>
        </w:rPr>
        <w:t>Très bon respect du règlement; toutes les données exigées (à quelques petites exceptions près) ont été transmises dans les délais (résultats égaux ou supérieurs à 90 %).</w:t>
      </w:r>
    </w:p>
    <w:p w:rsidR="00031437" w:rsidRDefault="006205F3">
      <w:pPr>
        <w:tabs>
          <w:tab w:val="num" w:pos="283"/>
        </w:tabs>
        <w:spacing w:line="36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B </w:t>
      </w:r>
      <w:r>
        <w:rPr>
          <w:noProof/>
        </w:rPr>
        <w:tab/>
      </w:r>
      <w:r>
        <w:rPr>
          <w:rFonts w:ascii="Times New Roman" w:hAnsi="Times New Roman"/>
          <w:noProof/>
          <w:sz w:val="24"/>
        </w:rPr>
        <w:t>=</w:t>
      </w:r>
      <w:r>
        <w:rPr>
          <w:noProof/>
        </w:rPr>
        <w:tab/>
      </w:r>
      <w:r>
        <w:rPr>
          <w:rFonts w:ascii="Times New Roman" w:hAnsi="Times New Roman"/>
          <w:noProof/>
          <w:sz w:val="24"/>
        </w:rPr>
        <w:t>Bon respect du règlement; quelques éléments étaie</w:t>
      </w:r>
      <w:r>
        <w:rPr>
          <w:rFonts w:ascii="Times New Roman" w:hAnsi="Times New Roman"/>
          <w:noProof/>
          <w:sz w:val="24"/>
        </w:rPr>
        <w:t>nt manquants ou de légers retards ont été observés dans la transmission des données (résultats compris entre 70 % et 89 %).</w:t>
      </w:r>
    </w:p>
    <w:p w:rsidR="00031437" w:rsidRDefault="006205F3">
      <w:pPr>
        <w:tabs>
          <w:tab w:val="num" w:pos="283"/>
        </w:tabs>
        <w:spacing w:line="36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P </w:t>
      </w:r>
      <w:r>
        <w:rPr>
          <w:noProof/>
        </w:rPr>
        <w:tab/>
      </w:r>
      <w:r>
        <w:rPr>
          <w:rFonts w:ascii="Times New Roman" w:hAnsi="Times New Roman"/>
          <w:noProof/>
          <w:sz w:val="24"/>
        </w:rPr>
        <w:t>=</w:t>
      </w:r>
      <w:r>
        <w:rPr>
          <w:noProof/>
        </w:rPr>
        <w:tab/>
      </w:r>
      <w:r>
        <w:rPr>
          <w:rFonts w:ascii="Times New Roman" w:hAnsi="Times New Roman"/>
          <w:noProof/>
          <w:sz w:val="24"/>
        </w:rPr>
        <w:t>Les données étaient partiellement disponibles, mais des parties importantes des informations requises faisaient défaut ou les d</w:t>
      </w:r>
      <w:r>
        <w:rPr>
          <w:rFonts w:ascii="Times New Roman" w:hAnsi="Times New Roman"/>
          <w:noProof/>
          <w:sz w:val="24"/>
        </w:rPr>
        <w:t>élais n’ont pas été respectés (résultats compris entre 10 % et 69 %).</w:t>
      </w:r>
    </w:p>
    <w:p w:rsidR="00031437" w:rsidRDefault="006205F3">
      <w:pPr>
        <w:tabs>
          <w:tab w:val="num" w:pos="283"/>
        </w:tabs>
        <w:spacing w:line="36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I </w:t>
      </w:r>
      <w:r>
        <w:rPr>
          <w:noProof/>
        </w:rPr>
        <w:tab/>
      </w:r>
      <w:r>
        <w:rPr>
          <w:rFonts w:ascii="Times New Roman" w:hAnsi="Times New Roman"/>
          <w:noProof/>
          <w:sz w:val="24"/>
        </w:rPr>
        <w:t>=</w:t>
      </w:r>
      <w:r>
        <w:rPr>
          <w:noProof/>
        </w:rPr>
        <w:tab/>
      </w:r>
      <w:r>
        <w:rPr>
          <w:rFonts w:ascii="Times New Roman" w:hAnsi="Times New Roman"/>
          <w:noProof/>
          <w:sz w:val="24"/>
        </w:rPr>
        <w:t>Une grande partie des données faisait défaut ou les données ont été envoyées avec un retard important (résultats inférieurs à 10 %).</w:t>
      </w:r>
      <w:r>
        <w:rPr>
          <w:rFonts w:ascii="Times New Roman" w:eastAsia="Times New Roman" w:hAnsi="Times New Roman" w:cs="Times New Roman"/>
          <w:noProof/>
          <w:sz w:val="24"/>
          <w:szCs w:val="24"/>
        </w:rPr>
        <w:br/>
      </w:r>
    </w:p>
    <w:p w:rsidR="00031437" w:rsidRDefault="006205F3">
      <w:pPr>
        <w:spacing w:line="360" w:lineRule="auto"/>
        <w:jc w:val="both"/>
        <w:rPr>
          <w:rFonts w:ascii="Times New Roman" w:eastAsia="Calibri" w:hAnsi="Times New Roman" w:cs="Times New Roman"/>
          <w:bCs/>
          <w:i/>
          <w:noProof/>
          <w:sz w:val="24"/>
          <w:szCs w:val="24"/>
        </w:rPr>
      </w:pPr>
      <w:r>
        <w:rPr>
          <w:rFonts w:ascii="Times New Roman" w:hAnsi="Times New Roman"/>
          <w:i/>
          <w:noProof/>
          <w:sz w:val="24"/>
        </w:rPr>
        <w:t>Tableau 7:</w:t>
      </w:r>
      <w:r>
        <w:rPr>
          <w:noProof/>
        </w:rPr>
        <w:tab/>
      </w:r>
      <w:r>
        <w:rPr>
          <w:rFonts w:ascii="Times New Roman" w:hAnsi="Times New Roman"/>
          <w:i/>
          <w:noProof/>
          <w:sz w:val="24"/>
        </w:rPr>
        <w:t xml:space="preserve">Évaluation globale du respect du </w:t>
      </w:r>
      <w:r>
        <w:rPr>
          <w:rFonts w:ascii="Times New Roman" w:hAnsi="Times New Roman"/>
          <w:i/>
          <w:noProof/>
          <w:sz w:val="24"/>
        </w:rPr>
        <w:t>règlement SSE</w:t>
      </w:r>
    </w:p>
    <w:tbl>
      <w:tblPr>
        <w:tblW w:w="9041" w:type="dxa"/>
        <w:tblInd w:w="93" w:type="dxa"/>
        <w:tblLook w:val="0000" w:firstRow="0" w:lastRow="0" w:firstColumn="0" w:lastColumn="0" w:noHBand="0" w:noVBand="0"/>
      </w:tblPr>
      <w:tblGrid>
        <w:gridCol w:w="6975"/>
        <w:gridCol w:w="2066"/>
      </w:tblGrid>
      <w:tr w:rsidR="00031437">
        <w:trPr>
          <w:trHeight w:val="227"/>
        </w:trPr>
        <w:tc>
          <w:tcPr>
            <w:tcW w:w="6975" w:type="dxa"/>
            <w:tcBorders>
              <w:top w:val="single" w:sz="4" w:space="0" w:color="auto"/>
              <w:left w:val="single" w:sz="4" w:space="0" w:color="auto"/>
              <w:bottom w:val="single" w:sz="4" w:space="0" w:color="auto"/>
              <w:right w:val="single" w:sz="4" w:space="0" w:color="auto"/>
            </w:tcBorders>
            <w:shd w:val="clear" w:color="auto" w:fill="C0C0C0"/>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Pays</w:t>
            </w:r>
          </w:p>
        </w:tc>
        <w:tc>
          <w:tcPr>
            <w:tcW w:w="2066" w:type="dxa"/>
            <w:tcBorders>
              <w:top w:val="single" w:sz="4" w:space="0" w:color="auto"/>
              <w:left w:val="nil"/>
              <w:bottom w:val="single" w:sz="4" w:space="0" w:color="auto"/>
              <w:right w:val="single" w:sz="4" w:space="0" w:color="auto"/>
            </w:tcBorders>
            <w:shd w:val="clear" w:color="auto" w:fill="C0C0C0"/>
            <w:noWrap/>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Évaluation globale</w:t>
            </w:r>
          </w:p>
        </w:tc>
      </w:tr>
      <w:tr w:rsidR="00031437">
        <w:trPr>
          <w:trHeight w:val="227"/>
        </w:trPr>
        <w:tc>
          <w:tcPr>
            <w:tcW w:w="6975" w:type="dxa"/>
            <w:tcBorders>
              <w:top w:val="nil"/>
              <w:left w:val="single" w:sz="4" w:space="0" w:color="auto"/>
              <w:bottom w:val="single" w:sz="4" w:space="0" w:color="auto"/>
              <w:right w:val="single" w:sz="4" w:space="0" w:color="auto"/>
            </w:tcBorders>
            <w:vAlign w:val="center"/>
          </w:tcPr>
          <w:p w:rsidR="00031437" w:rsidRDefault="006205F3">
            <w:pPr>
              <w:spacing w:after="0"/>
              <w:rPr>
                <w:rFonts w:ascii="Times New Roman" w:eastAsia="Calibri" w:hAnsi="Times New Roman" w:cs="Times New Roman"/>
                <w:noProof/>
                <w:sz w:val="24"/>
                <w:szCs w:val="24"/>
                <w:lang w:val="en-GB"/>
              </w:rPr>
            </w:pPr>
            <w:r>
              <w:rPr>
                <w:rFonts w:ascii="Times New Roman" w:hAnsi="Times New Roman"/>
                <w:noProof/>
                <w:sz w:val="24"/>
                <w:lang w:val="en-GB"/>
              </w:rPr>
              <w:t>AT, BE, BG, CZ, DE, DK, ES, HR, HU, IT, LT, LV, MT, NL, NO, PT, RO, SI, SK, UK</w:t>
            </w:r>
          </w:p>
        </w:tc>
        <w:tc>
          <w:tcPr>
            <w:tcW w:w="2066" w:type="dxa"/>
            <w:tcBorders>
              <w:top w:val="nil"/>
              <w:left w:val="nil"/>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TB</w:t>
            </w:r>
          </w:p>
        </w:tc>
      </w:tr>
      <w:tr w:rsidR="00031437">
        <w:trPr>
          <w:trHeight w:val="227"/>
        </w:trPr>
        <w:tc>
          <w:tcPr>
            <w:tcW w:w="6975" w:type="dxa"/>
            <w:tcBorders>
              <w:top w:val="nil"/>
              <w:left w:val="single" w:sz="4" w:space="0" w:color="auto"/>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noProof/>
                <w:sz w:val="24"/>
                <w:szCs w:val="24"/>
                <w:lang w:val="es-ES"/>
              </w:rPr>
            </w:pPr>
            <w:r>
              <w:rPr>
                <w:rFonts w:ascii="Times New Roman" w:hAnsi="Times New Roman"/>
                <w:noProof/>
                <w:sz w:val="24"/>
                <w:lang w:val="es-ES"/>
              </w:rPr>
              <w:t>CY, EE, FI, FR, LU, PL, SE</w:t>
            </w:r>
          </w:p>
        </w:tc>
        <w:tc>
          <w:tcPr>
            <w:tcW w:w="2066" w:type="dxa"/>
            <w:tcBorders>
              <w:top w:val="nil"/>
              <w:left w:val="nil"/>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B</w:t>
            </w:r>
          </w:p>
        </w:tc>
      </w:tr>
      <w:tr w:rsidR="00031437">
        <w:trPr>
          <w:trHeight w:val="227"/>
        </w:trPr>
        <w:tc>
          <w:tcPr>
            <w:tcW w:w="6975" w:type="dxa"/>
            <w:tcBorders>
              <w:top w:val="nil"/>
              <w:left w:val="single" w:sz="4" w:space="0" w:color="auto"/>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EL, IE</w:t>
            </w:r>
          </w:p>
        </w:tc>
        <w:tc>
          <w:tcPr>
            <w:tcW w:w="2066" w:type="dxa"/>
            <w:tcBorders>
              <w:top w:val="nil"/>
              <w:left w:val="nil"/>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P</w:t>
            </w:r>
          </w:p>
        </w:tc>
      </w:tr>
      <w:tr w:rsidR="00031437">
        <w:trPr>
          <w:trHeight w:val="227"/>
        </w:trPr>
        <w:tc>
          <w:tcPr>
            <w:tcW w:w="6975" w:type="dxa"/>
            <w:tcBorders>
              <w:top w:val="nil"/>
              <w:left w:val="single" w:sz="4" w:space="0" w:color="auto"/>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noProof/>
                <w:sz w:val="24"/>
                <w:szCs w:val="24"/>
              </w:rPr>
            </w:pPr>
            <w:r>
              <w:rPr>
                <w:rFonts w:ascii="Times New Roman" w:hAnsi="Times New Roman"/>
                <w:noProof/>
                <w:sz w:val="24"/>
              </w:rPr>
              <w:t>-</w:t>
            </w:r>
          </w:p>
        </w:tc>
        <w:tc>
          <w:tcPr>
            <w:tcW w:w="2066" w:type="dxa"/>
            <w:tcBorders>
              <w:top w:val="nil"/>
              <w:left w:val="nil"/>
              <w:bottom w:val="single" w:sz="4" w:space="0" w:color="auto"/>
              <w:right w:val="single" w:sz="4" w:space="0" w:color="auto"/>
            </w:tcBorders>
            <w:vAlign w:val="center"/>
          </w:tcPr>
          <w:p w:rsidR="00031437" w:rsidRDefault="006205F3">
            <w:pPr>
              <w:spacing w:after="0"/>
              <w:jc w:val="both"/>
              <w:rPr>
                <w:rFonts w:ascii="Times New Roman" w:eastAsia="Calibri" w:hAnsi="Times New Roman" w:cs="Times New Roman"/>
                <w:b/>
                <w:bCs/>
                <w:noProof/>
                <w:sz w:val="24"/>
                <w:szCs w:val="24"/>
              </w:rPr>
            </w:pPr>
            <w:r>
              <w:rPr>
                <w:rFonts w:ascii="Times New Roman" w:hAnsi="Times New Roman"/>
                <w:b/>
                <w:noProof/>
                <w:sz w:val="24"/>
              </w:rPr>
              <w:t>I</w:t>
            </w:r>
          </w:p>
        </w:tc>
      </w:tr>
    </w:tbl>
    <w:p w:rsidR="00031437" w:rsidRDefault="006205F3">
      <w:pPr>
        <w:spacing w:before="200" w:line="360" w:lineRule="auto"/>
        <w:jc w:val="both"/>
        <w:rPr>
          <w:rFonts w:ascii="Times New Roman" w:eastAsia="Calibri" w:hAnsi="Times New Roman" w:cs="Times New Roman"/>
          <w:noProof/>
          <w:sz w:val="24"/>
          <w:szCs w:val="24"/>
        </w:rPr>
      </w:pPr>
      <w:r>
        <w:rPr>
          <w:rFonts w:ascii="Times New Roman" w:hAnsi="Times New Roman"/>
          <w:noProof/>
          <w:sz w:val="24"/>
        </w:rPr>
        <w:t xml:space="preserve">Il ressort du tableau que le degré de respect du règlement SSE était «très bon» ou «bon» </w:t>
      </w:r>
      <w:r>
        <w:rPr>
          <w:rFonts w:ascii="Times New Roman" w:hAnsi="Times New Roman"/>
          <w:noProof/>
          <w:sz w:val="24"/>
        </w:rPr>
        <w:t>pour la plupart des États membres.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Eurostat s’est employé à obtenir ce résultat de deux manières: en élaborant des rapports sur le suivi du respect du règlement et en mettant à la disposition des États membres un outil de validation des données.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Eurostat s</w:t>
      </w:r>
      <w:r>
        <w:rPr>
          <w:rFonts w:ascii="Times New Roman" w:hAnsi="Times New Roman"/>
          <w:noProof/>
          <w:sz w:val="24"/>
        </w:rPr>
        <w:t>oumet un rapport par an au groupe de pilotage SSE. Il est aussi arrivé que le directeur général d’Eurostat adresse une lettre à des directeurs d’INS.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Eurostat a mis au point un outil de validation des données qui permet aux pays concernés de vérifier l’exa</w:t>
      </w:r>
      <w:r>
        <w:rPr>
          <w:rFonts w:ascii="Times New Roman" w:hAnsi="Times New Roman"/>
          <w:noProof/>
          <w:sz w:val="24"/>
        </w:rPr>
        <w:t>ctitude et le caractère confidentiel des données avant de les envoyer à Eurostat. La grande majorité des États membres utilisent cet outil de validation, qui a permis de réduire le nombre de versions et d’améliorer la qualité des données transmises par les</w:t>
      </w:r>
      <w:r>
        <w:rPr>
          <w:rFonts w:ascii="Times New Roman" w:hAnsi="Times New Roman"/>
          <w:noProof/>
          <w:sz w:val="24"/>
        </w:rPr>
        <w:t xml:space="preserve"> États membres.</w:t>
      </w:r>
    </w:p>
    <w:p w:rsidR="00031437" w:rsidRDefault="006205F3">
      <w:pPr>
        <w:autoSpaceDE w:val="0"/>
        <w:autoSpaceDN w:val="0"/>
        <w:spacing w:line="360" w:lineRule="auto"/>
        <w:jc w:val="both"/>
        <w:rPr>
          <w:rFonts w:ascii="Times New Roman" w:eastAsia="Calibri" w:hAnsi="Times New Roman"/>
          <w:noProof/>
          <w:sz w:val="24"/>
          <w:szCs w:val="24"/>
        </w:rPr>
      </w:pPr>
      <w:r>
        <w:rPr>
          <w:rFonts w:ascii="Times New Roman" w:hAnsi="Times New Roman"/>
          <w:noProof/>
          <w:sz w:val="24"/>
        </w:rPr>
        <w:t>Eurostat participe également à des travaux visant à faire en sorte que le règlement SSE soit pleinement respecté pour ce qui est de l’utilisation de l’«entreprise» en tant qu’unité statistique, telle que définie dans le règlement (CEE) nº 6</w:t>
      </w:r>
      <w:r>
        <w:rPr>
          <w:rFonts w:ascii="Times New Roman" w:hAnsi="Times New Roman"/>
          <w:noProof/>
          <w:sz w:val="24"/>
        </w:rPr>
        <w:t>96/93 du Conseil</w:t>
      </w:r>
      <w:r>
        <w:rPr>
          <w:rStyle w:val="FootnoteReference"/>
          <w:rFonts w:ascii="Times New Roman" w:hAnsi="Times New Roman"/>
          <w:noProof/>
          <w:sz w:val="24"/>
        </w:rPr>
        <w:footnoteReference w:id="12"/>
      </w:r>
      <w:r>
        <w:rPr>
          <w:rFonts w:ascii="Times New Roman" w:hAnsi="Times New Roman"/>
          <w:noProof/>
          <w:sz w:val="24"/>
        </w:rPr>
        <w:t>. Aux termes de ce règlement, «[l]’entreprise correspond à la plus petite combinaison d’unités légales qui constitue une unité organisationnelle de production de biens et de services jouissant d’une certaine autonomie de décision […]». Les</w:t>
      </w:r>
      <w:r>
        <w:rPr>
          <w:rFonts w:ascii="Times New Roman" w:hAnsi="Times New Roman"/>
          <w:noProof/>
          <w:sz w:val="24"/>
        </w:rPr>
        <w:t xml:space="preserve"> unités légales qui ne disposent pas d’une autonomie de décision suffisante devraient être combinées à l’unité qui les contrôle pour constituer une seule entreprise. Il a été considéré que 23 pays (22 États membres de l’UE et 1 État membre de l’AELE) n’uti</w:t>
      </w:r>
      <w:r>
        <w:rPr>
          <w:rFonts w:ascii="Times New Roman" w:hAnsi="Times New Roman"/>
          <w:noProof/>
          <w:sz w:val="24"/>
        </w:rPr>
        <w:t xml:space="preserve">lisaient pas pleinement l’entreprise en tant qu’unité statistique dans les SSE. Tous ces pays ont présenté à Eurostat un plan d’action pour y remédier. Ils ont commencé à le mettre en œuvre en juin 2016, Eurostat vérifiant les progrès accomplis tous les 6 </w:t>
      </w:r>
      <w:r>
        <w:rPr>
          <w:rFonts w:ascii="Times New Roman" w:hAnsi="Times New Roman"/>
          <w:noProof/>
          <w:sz w:val="24"/>
        </w:rPr>
        <w:t>mois.  </w:t>
      </w:r>
    </w:p>
    <w:p w:rsidR="00031437" w:rsidRDefault="00031437">
      <w:pPr>
        <w:spacing w:line="360" w:lineRule="auto"/>
        <w:jc w:val="both"/>
        <w:rPr>
          <w:rFonts w:ascii="Times New Roman" w:eastAsia="Calibri" w:hAnsi="Times New Roman" w:cs="Times New Roman"/>
          <w:noProof/>
          <w:sz w:val="24"/>
          <w:szCs w:val="24"/>
        </w:rPr>
      </w:pPr>
    </w:p>
    <w:p w:rsidR="00031437" w:rsidRDefault="006205F3">
      <w:pPr>
        <w:pStyle w:val="Heading1"/>
        <w:rPr>
          <w:noProof/>
        </w:rPr>
      </w:pPr>
      <w:bookmarkStart w:id="53" w:name="_Toc485128890"/>
      <w:bookmarkStart w:id="54" w:name="_Toc288721589"/>
      <w:bookmarkStart w:id="55" w:name="_Toc382904482"/>
      <w:bookmarkStart w:id="56" w:name="_Toc486923891"/>
      <w:r>
        <w:rPr>
          <w:noProof/>
        </w:rPr>
        <w:t>CHARGE PESANT SUR LES ENTREPRISES ET MODIFICATIONS INTRODUITES</w:t>
      </w:r>
      <w:bookmarkStart w:id="57" w:name="_Toc485128891"/>
      <w:bookmarkEnd w:id="53"/>
      <w:r>
        <w:rPr>
          <w:noProof/>
        </w:rPr>
        <w:t xml:space="preserve"> OU ENVISAGÉES </w:t>
      </w:r>
      <w:bookmarkEnd w:id="54"/>
      <w:bookmarkEnd w:id="55"/>
      <w:r>
        <w:rPr>
          <w:noProof/>
        </w:rPr>
        <w:t>DANS LES SSE</w:t>
      </w:r>
      <w:bookmarkEnd w:id="57"/>
      <w:bookmarkEnd w:id="56"/>
    </w:p>
    <w:p w:rsidR="00031437" w:rsidRDefault="006205F3">
      <w:pPr>
        <w:pStyle w:val="Heading2"/>
        <w:spacing w:before="0" w:after="200" w:line="360" w:lineRule="auto"/>
        <w:ind w:left="0" w:firstLine="0"/>
        <w:rPr>
          <w:noProof/>
        </w:rPr>
      </w:pPr>
      <w:bookmarkStart w:id="58" w:name="_Toc382904483"/>
      <w:bookmarkStart w:id="59" w:name="_Toc485128892"/>
      <w:bookmarkStart w:id="60" w:name="_Toc486923892"/>
      <w:r>
        <w:rPr>
          <w:noProof/>
        </w:rPr>
        <w:t>Contexte</w:t>
      </w:r>
      <w:bookmarkEnd w:id="58"/>
      <w:bookmarkEnd w:id="59"/>
      <w:bookmarkEnd w:id="60"/>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Conformément au règlement SSE, les INS fournissent un ensemble de statistiques structurelles sur les entreprises (par exemple des informations sur le nombre d’entreprises, les créations et les cessations d’entreprises, leur survie, le chiffre d’affaires, l</w:t>
      </w:r>
      <w:r>
        <w:rPr>
          <w:rFonts w:ascii="Times New Roman" w:hAnsi="Times New Roman"/>
          <w:noProof/>
          <w:sz w:val="24"/>
        </w:rPr>
        <w:t>a valeur ajoutée, l’emploi, l’investissement brut, la valeur de la production, les intrants) et les mettent à la disposition des utilisateurs. Toutefois, il ne semble plus possible aujourd’hui de continuer à établir des SSE déconnectées d’autres domaines d</w:t>
      </w:r>
      <w:r>
        <w:rPr>
          <w:rFonts w:ascii="Times New Roman" w:hAnsi="Times New Roman"/>
          <w:noProof/>
          <w:sz w:val="24"/>
        </w:rPr>
        <w:t>es statistiques sur les entreprises, selon une approche compartimentée qui veut que chaque domaine soit régi par un cadre juridique distinct. En effet, cette façon de procéder n’est pas suffisamment souple pour permettre de répondre aux nouveaux besoins de</w:t>
      </w:r>
      <w:r>
        <w:rPr>
          <w:rFonts w:ascii="Times New Roman" w:hAnsi="Times New Roman"/>
          <w:noProof/>
          <w:sz w:val="24"/>
        </w:rPr>
        <w:t xml:space="preserve">s utilisateurs et de réduire la charge statistique pesant sur les entreprises.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Conscient de ces enjeux, Eurostat collabore avec les parties intéressées au sein du système statistique européen (SSE) afin d’adapter le processus de production statistique aux</w:t>
      </w:r>
      <w:r>
        <w:rPr>
          <w:rFonts w:ascii="Times New Roman" w:hAnsi="Times New Roman"/>
          <w:noProof/>
          <w:sz w:val="24"/>
        </w:rPr>
        <w:t xml:space="preserve"> évolutions majeures de la société et de l’économie mondialisée, grâce à un ensemble de mesures qui s’inscrivent dans le contexte du projet de règlement-cadre relatif à l’intégration des statistiques d’entreprises (FRIBS). Le nouveau cadre juridique visant</w:t>
      </w:r>
      <w:r>
        <w:rPr>
          <w:rFonts w:ascii="Times New Roman" w:hAnsi="Times New Roman"/>
          <w:noProof/>
          <w:sz w:val="24"/>
        </w:rPr>
        <w:t xml:space="preserve"> à intégrer les statistiques sur les entreprises couvre des domaines plus étendus. Cela se traduit par l’intégration d’un système de production interdépendant qui s’appuie sur une multiplicité de sources. En matière de gains d’efficacité, le projet vise à </w:t>
      </w:r>
      <w:r>
        <w:rPr>
          <w:rFonts w:ascii="Times New Roman" w:hAnsi="Times New Roman"/>
          <w:noProof/>
          <w:sz w:val="24"/>
        </w:rPr>
        <w:t>remédier à un large éventail de problèmes et à atteindre les objectifs suivants:</w:t>
      </w:r>
    </w:p>
    <w:p w:rsidR="00031437" w:rsidRDefault="006205F3">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rPr>
        <w:t>rendre la production statistique plus efficace;</w:t>
      </w:r>
    </w:p>
    <w:p w:rsidR="00031437" w:rsidRDefault="006205F3">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rPr>
        <w:t>améliorer la comparabilité et la cohérence entre les domaines;</w:t>
      </w:r>
    </w:p>
    <w:p w:rsidR="00031437" w:rsidRDefault="006205F3">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rPr>
        <w:t>rationaliser les exigences en matière de données;</w:t>
      </w:r>
    </w:p>
    <w:p w:rsidR="00031437" w:rsidRDefault="006205F3">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rPr>
        <w:t>réduire la cha</w:t>
      </w:r>
      <w:r>
        <w:rPr>
          <w:rFonts w:ascii="Times New Roman" w:hAnsi="Times New Roman"/>
          <w:noProof/>
          <w:sz w:val="24"/>
        </w:rPr>
        <w:t>rge qui pèse sur les entreprises;</w:t>
      </w:r>
    </w:p>
    <w:p w:rsidR="00031437" w:rsidRDefault="006205F3">
      <w:pPr>
        <w:pStyle w:val="ListParagraph"/>
        <w:numPr>
          <w:ilvl w:val="0"/>
          <w:numId w:val="10"/>
        </w:numPr>
        <w:spacing w:line="360" w:lineRule="auto"/>
        <w:jc w:val="both"/>
        <w:rPr>
          <w:rFonts w:ascii="Times New Roman" w:hAnsi="Times New Roman"/>
          <w:noProof/>
          <w:color w:val="C0504D" w:themeColor="accent2"/>
          <w:sz w:val="24"/>
          <w:szCs w:val="24"/>
        </w:rPr>
      </w:pPr>
      <w:r>
        <w:rPr>
          <w:rFonts w:ascii="Times New Roman" w:hAnsi="Times New Roman"/>
          <w:noProof/>
          <w:sz w:val="24"/>
        </w:rPr>
        <w:t>répondre aux besoins nouveaux et plus complexes des utilisateurs.</w:t>
      </w:r>
    </w:p>
    <w:p w:rsidR="00031437" w:rsidRDefault="006205F3">
      <w:pPr>
        <w:pStyle w:val="Heading2"/>
        <w:spacing w:before="0" w:after="200" w:line="360" w:lineRule="auto"/>
        <w:ind w:left="0" w:firstLine="0"/>
        <w:rPr>
          <w:noProof/>
        </w:rPr>
      </w:pPr>
      <w:bookmarkStart w:id="61" w:name="_Toc485128893"/>
      <w:bookmarkStart w:id="62" w:name="_Toc486923893"/>
      <w:r>
        <w:rPr>
          <w:noProof/>
        </w:rPr>
        <w:t>Modifications introduites ou envisagées dans les SSE</w:t>
      </w:r>
      <w:bookmarkEnd w:id="61"/>
      <w:bookmarkEnd w:id="62"/>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Il est essentiel de réduire la charge pesant sur les entreprises pour préserver les conditions permetta</w:t>
      </w:r>
      <w:r>
        <w:rPr>
          <w:rFonts w:ascii="Times New Roman" w:hAnsi="Times New Roman"/>
          <w:noProof/>
          <w:sz w:val="24"/>
        </w:rPr>
        <w:t>nt au système européen de production statistique de fonctionner efficacement et d’atteindre les objectifs fixés dans le domaine des statistiques sur les entreprises. À cette fin, Eurostat collabore en permanence avec les INS pour réduire cette charge et ac</w:t>
      </w:r>
      <w:r>
        <w:rPr>
          <w:rFonts w:ascii="Times New Roman" w:hAnsi="Times New Roman"/>
          <w:noProof/>
          <w:sz w:val="24"/>
        </w:rPr>
        <w:t xml:space="preserve">croître la pertinence en simplifiant les exigences en matière de données et en veillant à ce que les statistiques disponibles répondent aux besoins des utilisateurs.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Plusieurs consultations ont eu lieu avec les principaux utilisateurs des SSE, à l’intérie</w:t>
      </w:r>
      <w:r>
        <w:rPr>
          <w:rFonts w:ascii="Times New Roman" w:hAnsi="Times New Roman"/>
          <w:noProof/>
          <w:sz w:val="24"/>
        </w:rPr>
        <w:t>ur de la Commission comme à l’extérieur, ce qui a conduit Eurostat à supprimer les exigences qui s’appliquaient au secteur «Activités financières et d’assurance» et à les remplacer par des variables SSE standard. Cette modification s’applique aux données c</w:t>
      </w:r>
      <w:r>
        <w:rPr>
          <w:rFonts w:ascii="Times New Roman" w:hAnsi="Times New Roman"/>
          <w:noProof/>
          <w:sz w:val="24"/>
        </w:rPr>
        <w:t xml:space="preserve">ollectées pour l’année de référence 2013.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outre, certaines mesures prises dans les États membres pour alléger la charge pesant sur les entreprises concernent la méthode de collecte des données SSE. Les enquêtes par sondage sont souvent utilisées par la</w:t>
      </w:r>
      <w:r>
        <w:rPr>
          <w:rFonts w:ascii="Times New Roman" w:hAnsi="Times New Roman"/>
          <w:noProof/>
          <w:sz w:val="24"/>
        </w:rPr>
        <w:t xml:space="preserve"> plupart des États membres, qui ont adopté de nouvelles stratégies d’échantillonnage afin de réduire à la fois la charge pesant sur les entreprises et les coûts supportés par les INS. Un certain nombre de pays ont également exclu les petites entreprises de</w:t>
      </w:r>
      <w:r>
        <w:rPr>
          <w:rFonts w:ascii="Times New Roman" w:hAnsi="Times New Roman"/>
          <w:noProof/>
          <w:sz w:val="24"/>
        </w:rPr>
        <w:t xml:space="preserve"> leurs enquêtes et utilisent à la place des données émanant de sources administratives, combinées à des estimations. Certains pays ont mis au point et adopté des systèmes de collecte en ligne d’informations fiscales et statistiques annuelles. Fondés sur de</w:t>
      </w:r>
      <w:r>
        <w:rPr>
          <w:rFonts w:ascii="Times New Roman" w:hAnsi="Times New Roman"/>
          <w:noProof/>
          <w:sz w:val="24"/>
        </w:rPr>
        <w:t>s technologies de l’information modernes, ces systèmes permettent d’améliorer la qualité des données et de réduire les délais nécessaires à la saisie et au traitement de celles-ci.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ce qui concerne les modifications qu’il est prévu d’apporter aux SSE da</w:t>
      </w:r>
      <w:r>
        <w:rPr>
          <w:rFonts w:ascii="Times New Roman" w:hAnsi="Times New Roman"/>
          <w:noProof/>
          <w:sz w:val="24"/>
        </w:rPr>
        <w:t>ns le cadre du projet FRIBS, les mesures décrites plus bas visent à rendre les statistiques officielles de l’UE plus pertinentes. Des coûts de mise en œuvre supplémentaires pourraient en résulter pour les INS et les entreprises, en raison de la réalisation</w:t>
      </w:r>
      <w:r>
        <w:rPr>
          <w:rFonts w:ascii="Times New Roman" w:hAnsi="Times New Roman"/>
          <w:noProof/>
          <w:sz w:val="24"/>
        </w:rPr>
        <w:t xml:space="preserve"> d’enquêtes supplémentaires pour certaines unités, mais ils seront compensés par les avantages liés à une structure de données plus normalisée et par la simplification de certaines exigences en matière de données prévues par différents règlements relatifs </w:t>
      </w:r>
      <w:r>
        <w:rPr>
          <w:rFonts w:ascii="Times New Roman" w:hAnsi="Times New Roman"/>
          <w:noProof/>
          <w:sz w:val="24"/>
        </w:rPr>
        <w:t xml:space="preserve">aux statistiques sur les entreprises. </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 xml:space="preserve">Améliorer la couverture de toutes les SSE en incluant les rubriques suivantes de la NACE Rév. 2: les sections P (enseignement), Q (santé humaine et action sociale) et R (arts, spectacles et activités récréatives), </w:t>
      </w:r>
      <w:r>
        <w:rPr>
          <w:rFonts w:ascii="Times New Roman" w:hAnsi="Times New Roman"/>
          <w:noProof/>
          <w:sz w:val="24"/>
        </w:rPr>
        <w:t>ainsi que la division 96 de la section S (autres services personnels).</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Étendre la couverture des variables «investissement en machines et équipements» et «heures travaillées» pour les secteurs des services.</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 xml:space="preserve">Fournir des données provisoires sur les PME (par </w:t>
      </w:r>
      <w:r>
        <w:rPr>
          <w:rFonts w:ascii="Times New Roman" w:hAnsi="Times New Roman"/>
          <w:noProof/>
          <w:sz w:val="24"/>
        </w:rPr>
        <w:t>classe de taille) pour deux variables clés (chiffre d’affaires, nombre de personnes occupées) dans un délai de 10 mois après la période de référence.</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Modifier les exigences en matière de données pour les «Activités financières et d’assurance» par l’introdu</w:t>
      </w:r>
      <w:r>
        <w:rPr>
          <w:rFonts w:ascii="Times New Roman" w:hAnsi="Times New Roman"/>
          <w:noProof/>
          <w:sz w:val="24"/>
        </w:rPr>
        <w:t>ction de variables SSE standard, la suppression des variables sectorielles et l’inclusion de tous les sous-secteurs, tels que le crédit-bail, le crédit hypothécaire, le crédit à la consommation ainsi que les entités financières et les activités auxiliaires</w:t>
      </w:r>
      <w:r>
        <w:rPr>
          <w:rFonts w:ascii="Times New Roman" w:hAnsi="Times New Roman"/>
          <w:noProof/>
          <w:sz w:val="24"/>
        </w:rPr>
        <w:t xml:space="preserve"> similaires.</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Supprimer les données sur le chiffre d’affaires par produit pour le secteur du commerce.</w:t>
      </w:r>
    </w:p>
    <w:p w:rsidR="00031437" w:rsidRDefault="006205F3">
      <w:pPr>
        <w:pStyle w:val="ListParagraph"/>
        <w:numPr>
          <w:ilvl w:val="0"/>
          <w:numId w:val="11"/>
        </w:numPr>
        <w:spacing w:line="360" w:lineRule="auto"/>
        <w:jc w:val="both"/>
        <w:rPr>
          <w:rFonts w:ascii="Times New Roman" w:hAnsi="Times New Roman"/>
          <w:noProof/>
          <w:sz w:val="24"/>
          <w:szCs w:val="24"/>
        </w:rPr>
      </w:pPr>
      <w:r>
        <w:rPr>
          <w:rFonts w:ascii="Times New Roman" w:hAnsi="Times New Roman"/>
          <w:noProof/>
          <w:sz w:val="24"/>
        </w:rPr>
        <w:t>Supprimer les données sur les dépenses de protection de l’environnement.</w:t>
      </w:r>
    </w:p>
    <w:p w:rsidR="00031437" w:rsidRDefault="006205F3">
      <w:pPr>
        <w:pStyle w:val="ListParagraph"/>
        <w:numPr>
          <w:ilvl w:val="0"/>
          <w:numId w:val="11"/>
        </w:numPr>
        <w:spacing w:line="360" w:lineRule="auto"/>
        <w:jc w:val="both"/>
        <w:rPr>
          <w:noProof/>
        </w:rPr>
      </w:pPr>
      <w:r>
        <w:rPr>
          <w:rFonts w:ascii="Times New Roman" w:hAnsi="Times New Roman"/>
          <w:noProof/>
          <w:sz w:val="24"/>
        </w:rPr>
        <w:t>Réduire le niveau de détail (niveau à deux chiffres de la NACE) pour les variable</w:t>
      </w:r>
      <w:r>
        <w:rPr>
          <w:rFonts w:ascii="Times New Roman" w:hAnsi="Times New Roman"/>
          <w:noProof/>
          <w:sz w:val="24"/>
        </w:rPr>
        <w:t>s spécifiquement nécessaires pour les comptes nationaux.</w:t>
      </w:r>
    </w:p>
    <w:p w:rsidR="00031437" w:rsidRDefault="006205F3">
      <w:pPr>
        <w:pStyle w:val="Heading1"/>
        <w:spacing w:before="0" w:after="200" w:line="360" w:lineRule="auto"/>
        <w:ind w:left="0" w:firstLine="0"/>
        <w:rPr>
          <w:rFonts w:eastAsia="Calibri"/>
          <w:bCs w:val="0"/>
          <w:smallCaps w:val="0"/>
          <w:noProof/>
          <w:szCs w:val="24"/>
        </w:rPr>
      </w:pPr>
      <w:bookmarkStart w:id="63" w:name="_Toc288721592"/>
      <w:bookmarkStart w:id="64" w:name="_Toc382904485"/>
      <w:bookmarkStart w:id="65" w:name="_Toc485128894"/>
      <w:bookmarkStart w:id="66" w:name="_Toc486923894"/>
      <w:r>
        <w:rPr>
          <w:noProof/>
        </w:rPr>
        <w:t>ÉVOLUTION ULTÉRIEURE</w:t>
      </w:r>
      <w:bookmarkEnd w:id="63"/>
      <w:bookmarkEnd w:id="64"/>
      <w:bookmarkEnd w:id="65"/>
      <w:bookmarkEnd w:id="66"/>
    </w:p>
    <w:p w:rsidR="00031437" w:rsidRDefault="006205F3">
      <w:pPr>
        <w:autoSpaceDE w:val="0"/>
        <w:autoSpaceDN w:val="0"/>
        <w:adjustRightInd w:val="0"/>
        <w:spacing w:after="0" w:line="360" w:lineRule="auto"/>
        <w:jc w:val="both"/>
        <w:rPr>
          <w:rFonts w:ascii="Times New Roman" w:eastAsia="Calibri" w:hAnsi="Times New Roman" w:cs="Times New Roman"/>
          <w:noProof/>
          <w:sz w:val="24"/>
          <w:szCs w:val="24"/>
        </w:rPr>
      </w:pPr>
      <w:r>
        <w:rPr>
          <w:rFonts w:ascii="Times New Roman" w:hAnsi="Times New Roman"/>
          <w:noProof/>
          <w:sz w:val="24"/>
        </w:rPr>
        <w:t xml:space="preserve">Actuellement, les SSE ont uniquement une dimension nationale et ne tiennent pas compte du nouvel environnement dans lequel les activités des entreprises évoluent sans cesse. Le </w:t>
      </w:r>
      <w:r>
        <w:rPr>
          <w:rFonts w:ascii="Times New Roman" w:hAnsi="Times New Roman"/>
          <w:noProof/>
          <w:sz w:val="24"/>
        </w:rPr>
        <w:t>marché unique et la mondialisation ont transformé la manière dont les entreprises sont organisées. C’est pourquoi Eurostat a examiné, en collaboration avec les États membres, plusieurs mesures visant à modifier les SSE de manière à répondre à l’évolution d</w:t>
      </w:r>
      <w:r>
        <w:rPr>
          <w:rFonts w:ascii="Times New Roman" w:hAnsi="Times New Roman"/>
          <w:noProof/>
          <w:sz w:val="24"/>
        </w:rPr>
        <w:t>es besoins des utilisateurs, objectif fondamental pour la pertinence des statistiques officielles.</w:t>
      </w:r>
    </w:p>
    <w:p w:rsidR="00031437" w:rsidRDefault="00031437">
      <w:pPr>
        <w:autoSpaceDE w:val="0"/>
        <w:autoSpaceDN w:val="0"/>
        <w:adjustRightInd w:val="0"/>
        <w:spacing w:after="0" w:line="240" w:lineRule="auto"/>
        <w:rPr>
          <w:rFonts w:ascii="Times New Roman" w:eastAsia="Calibri" w:hAnsi="Times New Roman" w:cs="Times New Roman"/>
          <w:noProof/>
          <w:sz w:val="24"/>
          <w:szCs w:val="24"/>
        </w:rPr>
      </w:pPr>
    </w:p>
    <w:p w:rsidR="00031437" w:rsidRDefault="006205F3">
      <w:pPr>
        <w:autoSpaceDE w:val="0"/>
        <w:autoSpaceDN w:val="0"/>
        <w:adjustRightInd w:val="0"/>
        <w:spacing w:after="0" w:line="240" w:lineRule="auto"/>
        <w:rPr>
          <w:rFonts w:ascii="Times New Roman" w:eastAsia="Calibri" w:hAnsi="Times New Roman" w:cs="Times New Roman"/>
          <w:noProof/>
          <w:sz w:val="24"/>
          <w:szCs w:val="24"/>
        </w:rPr>
      </w:pPr>
      <w:r>
        <w:rPr>
          <w:rFonts w:ascii="Times New Roman" w:hAnsi="Times New Roman"/>
          <w:noProof/>
          <w:sz w:val="24"/>
        </w:rPr>
        <w:t>Les modifications qu’il est proposé d’apporter aux exigences actuelles applicables aux SSE sont les suivantes:</w:t>
      </w:r>
    </w:p>
    <w:p w:rsidR="00031437" w:rsidRDefault="00031437">
      <w:pPr>
        <w:autoSpaceDE w:val="0"/>
        <w:autoSpaceDN w:val="0"/>
        <w:adjustRightInd w:val="0"/>
        <w:spacing w:after="0" w:line="240" w:lineRule="auto"/>
        <w:rPr>
          <w:rFonts w:ascii="Times New Roman" w:eastAsia="Calibri" w:hAnsi="Times New Roman" w:cs="Times New Roman"/>
          <w:noProof/>
          <w:sz w:val="24"/>
          <w:szCs w:val="24"/>
        </w:rPr>
      </w:pP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prendre en compte le contrôle exercé sur les</w:t>
      </w:r>
      <w:r>
        <w:rPr>
          <w:rFonts w:ascii="Times New Roman" w:hAnsi="Times New Roman"/>
          <w:noProof/>
          <w:sz w:val="24"/>
        </w:rPr>
        <w:t xml:space="preserve"> entreprises, de manière à ventiler la population couverte par les SSE en 3 catégories: les entreprises indépendantes, les entreprises sous contrôle national et les entreprises sous contrôle étranger; </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introduire une distinction en fonction des activités d</w:t>
      </w:r>
      <w:r>
        <w:rPr>
          <w:rFonts w:ascii="Times New Roman" w:hAnsi="Times New Roman"/>
          <w:noProof/>
          <w:sz w:val="24"/>
        </w:rPr>
        <w:t>e commerce international, de manière à ventiler la population couverte par les SSE en deux sous-catégories supplémentaires: les entreprises qui ont des activités de commerce international et celles qui n’en ont pas. Les caractéristiques SSE seront égalemen</w:t>
      </w:r>
      <w:r>
        <w:rPr>
          <w:rFonts w:ascii="Times New Roman" w:hAnsi="Times New Roman"/>
          <w:noProof/>
          <w:sz w:val="24"/>
        </w:rPr>
        <w:t>t fournies séparément;</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aligner la méthode appliquée pour les statistiques sur les investissements directs étrangers (IDE) et pour les statistiques sur les filiales étrangères (FATS): il existe un lien étroit entre les IDE et les FATS, ces dernières portant</w:t>
      </w:r>
      <w:r>
        <w:rPr>
          <w:rFonts w:ascii="Times New Roman" w:hAnsi="Times New Roman"/>
          <w:noProof/>
          <w:sz w:val="24"/>
        </w:rPr>
        <w:t xml:space="preserve"> sur un sous-ensemble de la population des IDE. On pourrait même dire que les IDE constituent la composante dynamique des FATS. Actuellement, toutefois, ces statistiques sont établies selon deux méthodes différentes;</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prendre en compte les modes de fournitu</w:t>
      </w:r>
      <w:r>
        <w:rPr>
          <w:rFonts w:ascii="Times New Roman" w:hAnsi="Times New Roman"/>
          <w:noProof/>
          <w:sz w:val="24"/>
        </w:rPr>
        <w:t>re, pour une meilleure représentation des services: dans le cas des services faisant l’objet d’un commerce international, le mode de fourniture indique comment ils sont échangés entre les deux pays. Le fait de présenter les services de cette façon permet é</w:t>
      </w:r>
      <w:r>
        <w:rPr>
          <w:rFonts w:ascii="Times New Roman" w:hAnsi="Times New Roman"/>
          <w:noProof/>
          <w:sz w:val="24"/>
        </w:rPr>
        <w:t>galement d’inclure les FATS et donne un meilleur aperçu du commerce des services dans sa globalité;</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inclure le commerce de services selon les caractéristiques des entreprises (STEC) pour une meilleure représentation des services: les statistiques STEC amél</w:t>
      </w:r>
      <w:r>
        <w:rPr>
          <w:rFonts w:ascii="Times New Roman" w:hAnsi="Times New Roman"/>
          <w:noProof/>
          <w:sz w:val="24"/>
        </w:rPr>
        <w:t>iorent la qualité des mesures de la mondialisation économique qui reposent sur les tableaux entrées-sorties et les échanges en valeur ajoutée, par le recours à une ventilation en fonction de la NACE dans les statistiques sur le commerce international de se</w:t>
      </w:r>
      <w:r>
        <w:rPr>
          <w:rFonts w:ascii="Times New Roman" w:hAnsi="Times New Roman"/>
          <w:noProof/>
          <w:sz w:val="24"/>
        </w:rPr>
        <w:t>rvices. Les statistiques des services seront alors également disponibles par activité économique des opérateurs commerciaux. Elles seront mieux intégrées dans les statistiques sur les entreprises. Dans ce contexte, la question du mode de classification des</w:t>
      </w:r>
      <w:r>
        <w:rPr>
          <w:rFonts w:ascii="Times New Roman" w:hAnsi="Times New Roman"/>
          <w:noProof/>
          <w:sz w:val="24"/>
        </w:rPr>
        <w:t xml:space="preserve"> services doit être réglée, afin que ceux-ci soient pleinement intégrés dans les statistiques sur les entreprises et que les données les concernant répondent également aux besoins d’autres utilisateurs. Cet aspect est d’ailleurs lié à la question de savoir</w:t>
      </w:r>
      <w:r>
        <w:rPr>
          <w:rFonts w:ascii="Times New Roman" w:hAnsi="Times New Roman"/>
          <w:noProof/>
          <w:sz w:val="24"/>
        </w:rPr>
        <w:t xml:space="preserve"> s’il convient d’utiliser la classification élargie des services de la balance des paiements (EBOPS) ou la classification des produits associée aux activités (CPA). La possibilité de fournir des statistiques sur le commerce des services par classe de taill</w:t>
      </w:r>
      <w:r>
        <w:rPr>
          <w:rFonts w:ascii="Times New Roman" w:hAnsi="Times New Roman"/>
          <w:noProof/>
          <w:sz w:val="24"/>
        </w:rPr>
        <w:t>e de l’entreprise (0-9, 10-49, 50-249, 250+ personnes occupées ou, à défaut, les seuils correspondants de la valeur ajoutée) sera également examinée;</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établir des statistiques par fonction: la structure des entreprises modernes repose souvent sur les foncti</w:t>
      </w:r>
      <w:r>
        <w:rPr>
          <w:rFonts w:ascii="Times New Roman" w:hAnsi="Times New Roman"/>
          <w:noProof/>
          <w:sz w:val="24"/>
        </w:rPr>
        <w:t>ons de l’entreprise. Cela signifie que les entreprises peuvent réaliser en interne ou externaliser certaines parties du processus de production. Si une entreprise externalise, il ne suffit pas de connaître son activité économique (NACE), car cela peut masq</w:t>
      </w:r>
      <w:r>
        <w:rPr>
          <w:rFonts w:ascii="Times New Roman" w:hAnsi="Times New Roman"/>
          <w:noProof/>
          <w:sz w:val="24"/>
        </w:rPr>
        <w:t>uer quels types d’emplois sont perdus. Pour cette raison, les deux enquêtes sur le sourçage international qu’Eurostat a menées ont introduit le concept de fonctions au sein de l’entreprise. Un groupe d’experts de la Division de statistique des Nations unie</w:t>
      </w:r>
      <w:r>
        <w:rPr>
          <w:rFonts w:ascii="Times New Roman" w:hAnsi="Times New Roman"/>
          <w:noProof/>
          <w:sz w:val="24"/>
        </w:rPr>
        <w:t>s s’emploie à mettre au point cette classification;</w:t>
      </w:r>
    </w:p>
    <w:p w:rsidR="00031437" w:rsidRDefault="006205F3">
      <w:pPr>
        <w:numPr>
          <w:ilvl w:val="0"/>
          <w:numId w:val="6"/>
        </w:numPr>
        <w:spacing w:line="360" w:lineRule="auto"/>
        <w:ind w:left="0" w:firstLine="0"/>
        <w:jc w:val="both"/>
        <w:rPr>
          <w:rFonts w:ascii="Times New Roman" w:eastAsia="Calibri" w:hAnsi="Times New Roman" w:cs="Times New Roman"/>
          <w:noProof/>
          <w:sz w:val="24"/>
          <w:szCs w:val="24"/>
        </w:rPr>
      </w:pPr>
      <w:r>
        <w:rPr>
          <w:rFonts w:ascii="Times New Roman" w:hAnsi="Times New Roman"/>
          <w:noProof/>
          <w:sz w:val="24"/>
        </w:rPr>
        <w:t>établir des statistiques pour lesquelles l’unité statistique est le groupe d’entreprises: les groupes d’entreprises multinationaux joueront un rôle de plus en plus important dans le cadre de la mondialisa</w:t>
      </w:r>
      <w:r>
        <w:rPr>
          <w:rFonts w:ascii="Times New Roman" w:hAnsi="Times New Roman"/>
          <w:noProof/>
          <w:sz w:val="24"/>
        </w:rPr>
        <w:t>tion de l’économie. Actuellement, les FATS fournissent des informations partielles sur les entreprises multinationales parce qu’elles portent sur les activités des filiales étrangères. Elles ne fournissent cependant pas d’informations sur les filiales d’en</w:t>
      </w:r>
      <w:r>
        <w:rPr>
          <w:rFonts w:ascii="Times New Roman" w:hAnsi="Times New Roman"/>
          <w:noProof/>
          <w:sz w:val="24"/>
        </w:rPr>
        <w:t>treprises nationales appartenant au même groupe, ni sur l’unité institutionnelle qui contrôle ces filiales.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établissant des liens entre les microdonnées, on peut recueillir certaines des informations requises à partir de sources existantes. Dès lors, l’</w:t>
      </w:r>
      <w:r>
        <w:rPr>
          <w:rFonts w:ascii="Times New Roman" w:hAnsi="Times New Roman"/>
          <w:noProof/>
          <w:sz w:val="24"/>
        </w:rPr>
        <w:t xml:space="preserve">application de ces exigences ne devrait pas imposer une charge supplémentaire, même si dans certains cas un engagement et des investissements considérables seront nécessaires dans les années à venir de la part du système statistique européen. </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En collabora</w:t>
      </w:r>
      <w:r>
        <w:rPr>
          <w:rFonts w:ascii="Times New Roman" w:hAnsi="Times New Roman"/>
          <w:noProof/>
          <w:sz w:val="24"/>
        </w:rPr>
        <w:t>tion avec les États membres, Eurostat s’engage à continuer à travailler sur la question de la variabilité dans l’application des seuils de chiffre d’affaires utilisés pour l’inscription des entreprises dans les divers répertoires d’entreprises européens. C</w:t>
      </w:r>
      <w:r>
        <w:rPr>
          <w:rFonts w:ascii="Times New Roman" w:hAnsi="Times New Roman"/>
          <w:noProof/>
          <w:sz w:val="24"/>
        </w:rPr>
        <w:t>ela permettra d’améliorer la comparabilité des données nationales sur les entreprises.</w:t>
      </w:r>
    </w:p>
    <w:p w:rsidR="00031437" w:rsidRDefault="006205F3">
      <w:pPr>
        <w:spacing w:line="360" w:lineRule="auto"/>
        <w:jc w:val="both"/>
        <w:rPr>
          <w:rFonts w:ascii="Times New Roman" w:eastAsia="Calibri" w:hAnsi="Times New Roman" w:cs="Times New Roman"/>
          <w:noProof/>
          <w:sz w:val="24"/>
          <w:szCs w:val="24"/>
        </w:rPr>
      </w:pPr>
      <w:r>
        <w:rPr>
          <w:rFonts w:ascii="Times New Roman" w:hAnsi="Times New Roman"/>
          <w:noProof/>
          <w:sz w:val="24"/>
        </w:rPr>
        <w:t xml:space="preserve">Ces modifications éventuelles feront donc l’objet de nouvelles discussions, les priorités devant être définies sur la base de leur valeur ajoutée et de la disponibilité </w:t>
      </w:r>
      <w:r>
        <w:rPr>
          <w:rFonts w:ascii="Times New Roman" w:hAnsi="Times New Roman"/>
          <w:noProof/>
          <w:sz w:val="24"/>
        </w:rPr>
        <w:t>de sources de données.</w:t>
      </w:r>
    </w:p>
    <w:p w:rsidR="00031437" w:rsidRDefault="00031437">
      <w:pPr>
        <w:pStyle w:val="PlainText"/>
        <w:rPr>
          <w:rFonts w:ascii="Times New Roman" w:eastAsia="Calibri" w:hAnsi="Times New Roman" w:cs="Times New Roman"/>
          <w:noProof/>
          <w:sz w:val="24"/>
          <w:szCs w:val="24"/>
        </w:rPr>
      </w:pPr>
    </w:p>
    <w:p w:rsidR="00031437" w:rsidRDefault="00031437">
      <w:pPr>
        <w:spacing w:line="360" w:lineRule="auto"/>
        <w:jc w:val="both"/>
        <w:rPr>
          <w:rFonts w:ascii="Times New Roman" w:eastAsia="Calibri" w:hAnsi="Times New Roman" w:cs="Times New Roman"/>
          <w:noProof/>
          <w:sz w:val="24"/>
          <w:szCs w:val="24"/>
        </w:rPr>
      </w:pPr>
    </w:p>
    <w:sectPr w:rsidR="00031437">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37" w:rsidRDefault="006205F3">
      <w:pPr>
        <w:spacing w:after="0" w:line="240" w:lineRule="auto"/>
      </w:pPr>
      <w:r>
        <w:separator/>
      </w:r>
    </w:p>
  </w:endnote>
  <w:endnote w:type="continuationSeparator" w:id="0">
    <w:p w:rsidR="00031437" w:rsidRDefault="0062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6205F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6205F3">
    <w:pPr>
      <w:pStyle w:val="Footer"/>
      <w:jc w:val="center"/>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37" w:rsidRDefault="006205F3">
      <w:pPr>
        <w:spacing w:after="0" w:line="240" w:lineRule="auto"/>
      </w:pPr>
      <w:r>
        <w:separator/>
      </w:r>
    </w:p>
  </w:footnote>
  <w:footnote w:type="continuationSeparator" w:id="0">
    <w:p w:rsidR="00031437" w:rsidRDefault="006205F3">
      <w:pPr>
        <w:spacing w:after="0" w:line="240" w:lineRule="auto"/>
      </w:pPr>
      <w:r>
        <w:continuationSeparator/>
      </w:r>
    </w:p>
  </w:footnote>
  <w:footnote w:id="1">
    <w:p w:rsidR="00031437" w:rsidRDefault="006205F3">
      <w:pPr>
        <w:pStyle w:val="FootnoteText"/>
        <w:ind w:left="284" w:hanging="284"/>
      </w:pPr>
      <w:r>
        <w:rPr>
          <w:rStyle w:val="FootnoteReference"/>
        </w:rPr>
        <w:footnoteRef/>
      </w:r>
      <w:r>
        <w:tab/>
        <w:t>Règlement (CE) nº 295/2008 du Parlement européen et du Conseil du 11 mars 2008 relatif aux statistiques structurelles sur les entreprises (refonte) (JO L 97 du 9.4.2008, p. 13).</w:t>
      </w:r>
    </w:p>
  </w:footnote>
  <w:footnote w:id="2">
    <w:p w:rsidR="00031437" w:rsidRDefault="006205F3">
      <w:pPr>
        <w:pStyle w:val="FootnoteText"/>
        <w:ind w:left="284" w:hanging="284"/>
      </w:pPr>
      <w:r>
        <w:rPr>
          <w:rStyle w:val="FootnoteReference"/>
        </w:rPr>
        <w:footnoteRef/>
      </w:r>
      <w:r>
        <w:tab/>
        <w:t xml:space="preserve">COM(2014) </w:t>
      </w:r>
      <w:r>
        <w:t>243 final.</w:t>
      </w:r>
    </w:p>
  </w:footnote>
  <w:footnote w:id="3">
    <w:p w:rsidR="00031437" w:rsidRDefault="006205F3">
      <w:pPr>
        <w:spacing w:after="0"/>
        <w:ind w:left="284" w:hanging="284"/>
        <w:jc w:val="both"/>
        <w:rPr>
          <w:rFonts w:ascii="Times New Roman" w:hAnsi="Times New Roman"/>
          <w:sz w:val="20"/>
          <w:szCs w:val="20"/>
        </w:rPr>
      </w:pPr>
      <w:r>
        <w:rPr>
          <w:rStyle w:val="FootnoteReference"/>
          <w:sz w:val="20"/>
        </w:rPr>
        <w:footnoteRef/>
      </w:r>
      <w:r>
        <w:tab/>
      </w:r>
      <w:r>
        <w:rPr>
          <w:rFonts w:ascii="Times New Roman" w:hAnsi="Times New Roman"/>
          <w:sz w:val="20"/>
        </w:rPr>
        <w:t>Règlement (CE) nº 251/2009 de la Commission du 11 mars 2009 appliquant et modifiant le règlement (CE) nº 295/2008 du Parlement européen et du Conseil en ce qui concerne les séries de données à produire pour les statistiques structurelles sur l</w:t>
      </w:r>
      <w:r>
        <w:rPr>
          <w:rFonts w:ascii="Times New Roman" w:hAnsi="Times New Roman"/>
          <w:sz w:val="20"/>
        </w:rPr>
        <w:t>es entreprises et les adaptations rendues nécessaires par la révision de la classification statistique des produits associée aux activités (CPA) (JO L 86 du 31.3.2009, p. 170).</w:t>
      </w:r>
    </w:p>
  </w:footnote>
  <w:footnote w:id="4">
    <w:p w:rsidR="00031437" w:rsidRDefault="006205F3">
      <w:pPr>
        <w:pStyle w:val="FootnoteText"/>
        <w:ind w:left="284" w:hanging="284"/>
        <w:rPr>
          <w:bCs/>
          <w:lang w:eastAsia="en-US"/>
        </w:rPr>
      </w:pPr>
      <w:r>
        <w:rPr>
          <w:rStyle w:val="FootnoteReference"/>
        </w:rPr>
        <w:footnoteRef/>
      </w:r>
      <w:r>
        <w:rPr>
          <w:rStyle w:val="FootnoteReference"/>
        </w:rPr>
        <w:t xml:space="preserve"> </w:t>
      </w:r>
      <w:r>
        <w:tab/>
        <w:t xml:space="preserve">Règlement (CE) nº 1893/2006 du Parlement européen et du Conseil du </w:t>
      </w:r>
      <w:r>
        <w:t>20 décembre 2006 établissant la nomenclature statistique des activités économiques NACE Rév. 2 et modifiant le</w:t>
      </w:r>
    </w:p>
    <w:p w:rsidR="00031437" w:rsidRDefault="006205F3">
      <w:pPr>
        <w:pStyle w:val="FootnoteText"/>
        <w:ind w:left="284" w:firstLine="0"/>
      </w:pPr>
      <w:r>
        <w:t>règlement (CEE) nº 3037/90 du Conseil ainsi que certains règlements (CE) relatifs à des domaines statistiques spécifiques (JO L 393 du 30.12.2006</w:t>
      </w:r>
      <w:r>
        <w:t>, p. 1).</w:t>
      </w:r>
    </w:p>
  </w:footnote>
  <w:footnote w:id="5">
    <w:p w:rsidR="00031437" w:rsidRDefault="006205F3">
      <w:pPr>
        <w:pStyle w:val="FootnoteText"/>
        <w:ind w:left="284" w:hanging="284"/>
      </w:pPr>
      <w:r>
        <w:rPr>
          <w:rStyle w:val="FootnoteReference"/>
        </w:rPr>
        <w:footnoteRef/>
      </w:r>
      <w:r>
        <w:tab/>
      </w:r>
      <w:hyperlink r:id="rId1">
        <w:r>
          <w:rPr>
            <w:rStyle w:val="Hyperlink"/>
          </w:rPr>
          <w:t>http://ec.europa.eu/eurostat/web/structural-business-statistics/data/database</w:t>
        </w:r>
      </w:hyperlink>
    </w:p>
  </w:footnote>
  <w:footnote w:id="6">
    <w:p w:rsidR="00031437" w:rsidRDefault="006205F3">
      <w:pPr>
        <w:pStyle w:val="FootnoteText"/>
        <w:ind w:left="284" w:hanging="284"/>
      </w:pPr>
      <w:r>
        <w:rPr>
          <w:rStyle w:val="FootnoteReference"/>
        </w:rPr>
        <w:footnoteRef/>
      </w:r>
      <w:r>
        <w:tab/>
      </w:r>
      <w:hyperlink r:id="rId2">
        <w:r>
          <w:rPr>
            <w:rStyle w:val="Hyperlink"/>
          </w:rPr>
          <w:t>http://ec.europa.eu/</w:t>
        </w:r>
        <w:r>
          <w:rPr>
            <w:rStyle w:val="Hyperlink"/>
          </w:rPr>
          <w:t>eurostat</w:t>
        </w:r>
      </w:hyperlink>
    </w:p>
  </w:footnote>
  <w:footnote w:id="7">
    <w:p w:rsidR="00031437" w:rsidRDefault="006205F3">
      <w:pPr>
        <w:pStyle w:val="FootnoteText"/>
        <w:ind w:left="284" w:hanging="284"/>
      </w:pPr>
      <w:r>
        <w:rPr>
          <w:rStyle w:val="FootnoteReference"/>
        </w:rPr>
        <w:footnoteRef/>
      </w:r>
      <w:r>
        <w:tab/>
      </w:r>
      <w:hyperlink r:id="rId3">
        <w:r>
          <w:rPr>
            <w:rStyle w:val="Hyperlink"/>
          </w:rPr>
          <w:t>http://ec.europa.eu/eurostat/statistics-explained/index.php/Structural_business_statistics_overview</w:t>
        </w:r>
      </w:hyperlink>
    </w:p>
  </w:footnote>
  <w:footnote w:id="8">
    <w:p w:rsidR="00031437" w:rsidRDefault="006205F3">
      <w:pPr>
        <w:pStyle w:val="FootnoteText"/>
        <w:ind w:left="284" w:hanging="284"/>
      </w:pPr>
      <w:r>
        <w:rPr>
          <w:rStyle w:val="FootnoteReference"/>
        </w:rPr>
        <w:footnoteRef/>
      </w:r>
      <w:r>
        <w:tab/>
        <w:t>Afin de réduire au minim</w:t>
      </w:r>
      <w:r>
        <w:t>um la charge pesant sur les entreprises et les coûts supportés par les autorités statistiques nationales, les États membres peuvent assortir certaines données de la mention CETO («Contribution to European Totals Only») indiquant qu’elles seront utilisées u</w:t>
      </w:r>
      <w:r>
        <w:t xml:space="preserve">niquement pour contribuer à l’établissement de totaux européens. Eurostat ne publie pas ces données, qui ne portent pas cette mention lorsque les États membres les publient à l’échelon national. L’utilisation de la mention CETO dépend de la part des États </w:t>
      </w:r>
      <w:r>
        <w:t>membres dans la valeur ajoutée totale dans l’économie des entreprises, selon les modalités suivantes:</w:t>
      </w:r>
    </w:p>
    <w:p w:rsidR="00031437" w:rsidRDefault="006205F3">
      <w:pPr>
        <w:pStyle w:val="FootnoteText"/>
        <w:ind w:left="426" w:firstLine="0"/>
      </w:pPr>
      <w:r>
        <w:t>Grands pays: DE, FR, IT, UK;</w:t>
      </w:r>
    </w:p>
    <w:p w:rsidR="00031437" w:rsidRDefault="006205F3">
      <w:pPr>
        <w:pStyle w:val="FootnoteText"/>
        <w:ind w:left="426" w:firstLine="0"/>
      </w:pPr>
      <w:r>
        <w:t>Pays moyens: BE, DK, ES, GR, IE, NL, AT, PL, PT, FI, SE, NO;</w:t>
      </w:r>
    </w:p>
    <w:p w:rsidR="00031437" w:rsidRDefault="006205F3">
      <w:pPr>
        <w:pStyle w:val="FootnoteText"/>
        <w:ind w:left="426" w:firstLine="0"/>
      </w:pPr>
      <w:r>
        <w:t>Petits pays: BG, CZ, EE, HR, CY, LV, LT, LU, HU, MT, RO, SI, SK.</w:t>
      </w:r>
    </w:p>
  </w:footnote>
  <w:footnote w:id="9">
    <w:p w:rsidR="00031437" w:rsidRDefault="006205F3">
      <w:pPr>
        <w:pStyle w:val="FootnoteText"/>
        <w:tabs>
          <w:tab w:val="left" w:pos="0"/>
          <w:tab w:val="left" w:pos="142"/>
        </w:tabs>
        <w:ind w:left="284" w:right="-141" w:hanging="284"/>
      </w:pPr>
      <w:r>
        <w:rPr>
          <w:rStyle w:val="FootnoteReference"/>
        </w:rPr>
        <w:footnoteRef/>
      </w:r>
      <w:r>
        <w:tab/>
        <w:t xml:space="preserve"> </w:t>
      </w:r>
      <w:r>
        <w:tab/>
        <w:t>Règlement (UE) nº 275/2010 de la Commission du 30 mars 2010 portant application du règlement (CE) nº 295/2008 du Parlement européen et du Conseil en ce qui concerne les critères d’évaluation de la qualité des statistiques structurelles sur les entrepr</w:t>
      </w:r>
      <w:r>
        <w:t>ises (JO L 86 du 1.4.2010, p. 1).</w:t>
      </w:r>
    </w:p>
  </w:footnote>
  <w:footnote w:id="10">
    <w:p w:rsidR="00031437" w:rsidRDefault="006205F3">
      <w:pPr>
        <w:pStyle w:val="FootnoteText"/>
        <w:tabs>
          <w:tab w:val="left" w:pos="0"/>
          <w:tab w:val="left" w:pos="284"/>
        </w:tabs>
        <w:ind w:left="284" w:right="-141" w:hanging="284"/>
      </w:pPr>
      <w:r>
        <w:rPr>
          <w:rStyle w:val="FootnoteReference"/>
        </w:rPr>
        <w:footnoteRef/>
      </w:r>
      <w:r>
        <w:tab/>
        <w:t>Les coefficients de variation ont été calculés par rapport aux données définitives pour 2013 relatives aux séries 1A, 2A, 3A et 4A (annexes I à IV), au niveau des sections de la NACE Rév. 2 (niveau à un chiffre).</w:t>
      </w:r>
    </w:p>
  </w:footnote>
  <w:footnote w:id="11">
    <w:p w:rsidR="00031437" w:rsidRDefault="006205F3">
      <w:pPr>
        <w:pStyle w:val="FootnoteText"/>
        <w:tabs>
          <w:tab w:val="left" w:pos="284"/>
        </w:tabs>
        <w:ind w:left="284" w:hanging="284"/>
      </w:pPr>
      <w:r>
        <w:rPr>
          <w:rStyle w:val="FootnoteReference"/>
        </w:rPr>
        <w:footnoteRef/>
      </w:r>
      <w:r>
        <w:tab/>
      </w:r>
      <w:hyperlink r:id="rId4">
        <w:r>
          <w:rPr>
            <w:rStyle w:val="Hyperlink"/>
          </w:rPr>
          <w:t>http://ec.europa.eu/eurostat/web/structural-business-statistics/overview</w:t>
        </w:r>
      </w:hyperlink>
    </w:p>
  </w:footnote>
  <w:footnote w:id="12">
    <w:p w:rsidR="00031437" w:rsidRDefault="006205F3">
      <w:pPr>
        <w:pStyle w:val="FootnoteText"/>
        <w:rPr>
          <w:rStyle w:val="Hyperlink"/>
        </w:rPr>
      </w:pPr>
      <w:r>
        <w:rPr>
          <w:rStyle w:val="FootnoteReference"/>
        </w:rPr>
        <w:footnoteRef/>
      </w:r>
      <w:r>
        <w:t xml:space="preserve"> </w:t>
      </w:r>
      <w:hyperlink r:id="rId5">
        <w:r>
          <w:rPr>
            <w:rStyle w:val="Hyperlink"/>
          </w:rPr>
          <w:t>Règlement (CEE) nº 696/93 du Conseil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37" w:rsidRDefault="00031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425"/>
    <w:multiLevelType w:val="singleLevel"/>
    <w:tmpl w:val="7C86C02A"/>
    <w:name w:val="List Bullet__1"/>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25BF456A"/>
    <w:multiLevelType w:val="hybridMultilevel"/>
    <w:tmpl w:val="926E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949F3"/>
    <w:multiLevelType w:val="hybridMultilevel"/>
    <w:tmpl w:val="80A84E92"/>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40803669"/>
    <w:multiLevelType w:val="hybridMultilevel"/>
    <w:tmpl w:val="1156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1D0686"/>
    <w:multiLevelType w:val="hybridMultilevel"/>
    <w:tmpl w:val="AAF4EA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943E4B"/>
    <w:multiLevelType w:val="hybridMultilevel"/>
    <w:tmpl w:val="91CA98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9123E70"/>
    <w:multiLevelType w:val="hybridMultilevel"/>
    <w:tmpl w:val="40B26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C137F6"/>
    <w:multiLevelType w:val="hybridMultilevel"/>
    <w:tmpl w:val="3E0E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64A2093F9814C0080B72367F9F297F3"/>
    <w:docVar w:name="LW_CROSSREFERENCE" w:val="&lt;UNUSED&gt;"/>
    <w:docVar w:name="LW_DocType" w:val="NORMAL"/>
    <w:docVar w:name="LW_EMISSION" w:val="8.8.2017"/>
    <w:docVar w:name="LW_EMISSION_ISODATE" w:val="2017-08-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19"/>
    <w:docVar w:name="LW_REF.INTERNE" w:val="&lt;UNUSED&gt;"/>
    <w:docVar w:name="LW_SOUS.TITRE.OBJ.CP" w:val="&lt;UNUSED&gt;"/>
    <w:docVar w:name="LW_SUPERTITRE" w:val="&lt;UNUSED&gt;"/>
    <w:docVar w:name="LW_TITRE.OBJ.CP" w:val="sur la mise en \u339?uvre du règlement (CE) n° 295/2008 du Parlement européen et du Conseil relatif aux statistiques structurelles sur les entreprises"/>
    <w:docVar w:name="LW_TYPE.DOC.CP" w:val="RAPPORT DE LA COMMISSION AU PARLEMENT EUROPÉEN ET AU CONSEIL"/>
    <w:docVar w:name="Stamp" w:val="\\dossiers.dgt.cec.eu.int\dossiers\ESTAT\ESTAT-2017-10050\ESTAT-2017-10050-00-00-EN-REV-00.201702200755469526523.DOCX"/>
  </w:docVars>
  <w:rsids>
    <w:rsidRoot w:val="00031437"/>
    <w:rsid w:val="00031437"/>
    <w:rsid w:val="006205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rPr>
      <w:rFonts w:ascii="Times New Roman" w:eastAsia="Calibri" w:hAnsi="Times New Roman" w:cs="Times New Roman"/>
      <w:sz w:val="20"/>
      <w:szCs w:val="20"/>
      <w:lang w:eastAsia="fr-FR"/>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rPr>
  </w:style>
  <w:style w:type="paragraph" w:styleId="EndnoteText">
    <w:name w:val="endnote text"/>
    <w:basedOn w:val="Normal"/>
    <w:link w:val="EndnoteTextChar"/>
    <w:uiPriority w:val="99"/>
    <w:semiHidden/>
    <w:unhideWhenUsed/>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qFormat/>
    <w:pPr>
      <w:keepNext/>
      <w:numPr>
        <w:ilvl w:val="1"/>
        <w:numId w:val="2"/>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qFormat/>
    <w:pPr>
      <w:keepNext/>
      <w:numPr>
        <w:ilvl w:val="2"/>
        <w:numId w:val="2"/>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Normal"/>
    <w:link w:val="Heading4Char"/>
    <w:uiPriority w:val="9"/>
    <w:qFormat/>
    <w:pPr>
      <w:keepNext/>
      <w:numPr>
        <w:ilvl w:val="3"/>
        <w:numId w:val="2"/>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fr-FR"/>
    </w:rPr>
  </w:style>
  <w:style w:type="numbering" w:customStyle="1" w:styleId="NoList1">
    <w:name w:val="No List1"/>
    <w:next w:val="NoList"/>
    <w:uiPriority w:val="99"/>
    <w:semiHidden/>
    <w:unhideWhenUsed/>
  </w:style>
  <w:style w:type="paragraph" w:styleId="ListBullet">
    <w:name w:val="List Bullet"/>
    <w:basedOn w:val="Normal"/>
    <w:pPr>
      <w:numPr>
        <w:numId w:val="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unhideWhenUsed/>
    <w:rPr>
      <w:color w:val="0000FF"/>
      <w:u w:val="single"/>
    </w:rPr>
  </w:style>
  <w:style w:type="paragraph" w:styleId="FootnoteText">
    <w:name w:val="footnote text"/>
    <w:basedOn w:val="Normal"/>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uiPriority w:val="99"/>
    <w:semiHidden/>
    <w:rPr>
      <w:rFonts w:ascii="Times New Roman" w:eastAsia="Calibri" w:hAnsi="Times New Roman" w:cs="Times New Roman"/>
      <w:sz w:val="20"/>
      <w:szCs w:val="20"/>
      <w:lang w:eastAsia="fr-FR"/>
    </w:rPr>
  </w:style>
  <w:style w:type="paragraph" w:styleId="TOCHeading">
    <w:name w:val="TOC Heading"/>
    <w:basedOn w:val="Normal"/>
    <w:next w:val="Normal"/>
    <w:uiPriority w:val="39"/>
    <w:qFormat/>
    <w:pPr>
      <w:spacing w:before="120" w:after="240" w:line="240" w:lineRule="auto"/>
      <w:jc w:val="center"/>
    </w:pPr>
    <w:rPr>
      <w:rFonts w:ascii="Times New Roman" w:eastAsia="Calibri" w:hAnsi="Times New Roman" w:cs="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Calibri" w:hAnsi="Times New Roman" w:cs="Times New Roman"/>
      <w:sz w:val="24"/>
      <w:szCs w:val="20"/>
    </w:rPr>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szCs w:val="20"/>
    </w:rPr>
  </w:style>
  <w:style w:type="paragraph" w:customStyle="1" w:styleId="Typedudocument">
    <w:name w:val="Type du document"/>
    <w:basedOn w:val="Normal"/>
    <w:next w:val="Titreobjet"/>
    <w:pPr>
      <w:spacing w:before="360" w:after="0" w:line="240" w:lineRule="auto"/>
      <w:jc w:val="center"/>
    </w:pPr>
    <w:rPr>
      <w:rFonts w:ascii="Times New Roman" w:eastAsia="Calibri" w:hAnsi="Times New Roman" w:cs="Times New Roman"/>
      <w:b/>
      <w:sz w:val="24"/>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50" w:after="150" w:line="240" w:lineRule="auto"/>
      <w:ind w:left="675" w:right="525"/>
    </w:pPr>
    <w:rPr>
      <w:rFonts w:ascii="Times New Roman" w:eastAsia="Times New Roman" w:hAnsi="Times New Roman" w:cs="Times New Roman"/>
      <w:sz w:val="19"/>
      <w:szCs w:val="19"/>
    </w:rPr>
  </w:style>
  <w:style w:type="paragraph" w:styleId="EndnoteText">
    <w:name w:val="endnote text"/>
    <w:basedOn w:val="Normal"/>
    <w:link w:val="EndnoteTextChar"/>
    <w:uiPriority w:val="99"/>
    <w:semiHidden/>
    <w:unhideWhenUsed/>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uiPriority w:val="99"/>
    <w:semiHidden/>
    <w:unhideWhenUsed/>
    <w:rPr>
      <w:vertAlign w:val="superscript"/>
    </w:rPr>
  </w:style>
  <w:style w:type="paragraph" w:styleId="ListParagraph">
    <w:name w:val="List Paragraph"/>
    <w:basedOn w:val="Normal"/>
    <w:link w:val="ListParagraphChar"/>
    <w:uiPriority w:val="99"/>
    <w:qFormat/>
    <w:pPr>
      <w:ind w:left="720"/>
      <w:contextualSpacing/>
    </w:pPr>
    <w:rPr>
      <w:rFonts w:ascii="Calibri" w:eastAsia="Calibri" w:hAnsi="Calibri" w:cs="Times New Roman"/>
    </w:rPr>
  </w:style>
  <w:style w:type="character" w:customStyle="1" w:styleId="ListParagraphChar">
    <w:name w:val="List Paragraph Char"/>
    <w:link w:val="ListParagraph"/>
    <w:uiPriority w:val="99"/>
    <w:locked/>
    <w:rPr>
      <w:rFonts w:ascii="Calibri" w:eastAsia="Calibri" w:hAnsi="Calibri" w:cs="Times New Roman"/>
    </w:rPr>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1688">
      <w:bodyDiv w:val="1"/>
      <w:marLeft w:val="0"/>
      <w:marRight w:val="0"/>
      <w:marTop w:val="0"/>
      <w:marBottom w:val="0"/>
      <w:divBdr>
        <w:top w:val="none" w:sz="0" w:space="0" w:color="auto"/>
        <w:left w:val="none" w:sz="0" w:space="0" w:color="auto"/>
        <w:bottom w:val="none" w:sz="0" w:space="0" w:color="auto"/>
        <w:right w:val="none" w:sz="0" w:space="0" w:color="auto"/>
      </w:divBdr>
    </w:div>
    <w:div w:id="824905131">
      <w:bodyDiv w:val="1"/>
      <w:marLeft w:val="0"/>
      <w:marRight w:val="0"/>
      <w:marTop w:val="0"/>
      <w:marBottom w:val="0"/>
      <w:divBdr>
        <w:top w:val="none" w:sz="0" w:space="0" w:color="auto"/>
        <w:left w:val="none" w:sz="0" w:space="0" w:color="auto"/>
        <w:bottom w:val="none" w:sz="0" w:space="0" w:color="auto"/>
        <w:right w:val="none" w:sz="0" w:space="0" w:color="auto"/>
      </w:divBdr>
    </w:div>
    <w:div w:id="19379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Structural_business_statistics_overview" TargetMode="External"/><Relationship Id="rId2" Type="http://schemas.openxmlformats.org/officeDocument/2006/relationships/hyperlink" Target="http://ec.europa.eu/eurostat" TargetMode="External"/><Relationship Id="rId1" Type="http://schemas.openxmlformats.org/officeDocument/2006/relationships/hyperlink" Target="http://ec.europa.eu/eurostat/web/structural-business-statistics/data/database" TargetMode="External"/><Relationship Id="rId5" Type="http://schemas.openxmlformats.org/officeDocument/2006/relationships/hyperlink" Target="http://eur-lex.europa.eu/legal-content/FR/TXT/HTML/?uri=CELEX:31993R0696&amp;from=FR" TargetMode="External"/><Relationship Id="rId4" Type="http://schemas.openxmlformats.org/officeDocument/2006/relationships/hyperlink" Target="http://ec.europa.eu/eurostat/web/structural-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4974-11FB-4606-8C00-09FCB47F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4982</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21</cp:revision>
  <cp:lastPrinted>2017-08-07T07:48:00Z</cp:lastPrinted>
  <dcterms:created xsi:type="dcterms:W3CDTF">2017-06-19T11:36:00Z</dcterms:created>
  <dcterms:modified xsi:type="dcterms:W3CDTF">2017-08-07T07:49:00Z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