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C242367FAB44454BA6B8CCDC2156D80" style="width:450.8pt;height:379.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rPr>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 („Директивата за ДДС“) Съветът, действащ с единодушие по предложение на Комисията, може да упълномощи всяка държава членка да прилага специални мерки за дерогация от разпоредбите на посочената директива, за да се опрости процедурата за събиране на ДДС или да се предотвратят определени форми на избягване на данъци и отклонение от данъчно облагане.</w:t>
      </w:r>
    </w:p>
    <w:p>
      <w:pPr>
        <w:rPr>
          <w:noProof/>
        </w:rPr>
      </w:pPr>
      <w:r>
        <w:rPr>
          <w:noProof/>
        </w:rPr>
        <w:t>С писмо, заведено в Комисията на 18 април 2017 г., Естония поиска удължаване на срока на действие на дерогацията от член 168 от Директивата за ДДС, за да може да продължи прилаганото ограничение на правото да се приспада начисляваният ДДС във връзка с разходите, свързани с леките пътнически автомобили. В съответствие с член 395, параграф 2 от Директивата за ДДС с писмо от 14 юни 2017 г. Комисията осведоми останалите държави членки за отправеното от Естония искане. С писмо от 15 юни 2017 г. Комисията уведоми Естония, че разполага с цялата информация, която ѝ е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 xml:space="preserve">Съгласно членове 168 и 168а от Директивата за ДДС данъчно задълженото лице има правото да приспадне ДДС, начислен при покупки, извършени за целите на неговите облагаеми сделки. Член 26, параграф 1, буква а) от същата директива съдържа изискването употребата на стоки, които са част от стопанските активи, за лични нужди да се третира като възмездна доставка на услуги, когато дължимият за тези стоки ДДС подлежи на приспадане. Тази система позволява възстановяването на първоначално приспаднатия ДДС във връзка с употребата за лични нужди. </w:t>
      </w:r>
    </w:p>
    <w:p>
      <w:pPr>
        <w:rPr>
          <w:noProof/>
        </w:rPr>
      </w:pPr>
      <w:r>
        <w:rPr>
          <w:noProof/>
        </w:rPr>
        <w:t xml:space="preserve">Тя се прилага трудно по отношение на леките пътнически автомобили най-вече поради факта, че е трудно да се определи границата между използването за лични цели и използването за целите на стопанската дейност. Когато се води специална документация, нейното поддържане и проверка представляват допълнителна тежест за стопанските субекти и за администрацията. </w:t>
      </w:r>
    </w:p>
    <w:p>
      <w:pPr>
        <w:rPr>
          <w:noProof/>
        </w:rPr>
      </w:pPr>
      <w:r>
        <w:rPr>
          <w:noProof/>
        </w:rPr>
        <w:t>С Решение за изпълнение 2014/797/ЕС на Съвета</w:t>
      </w:r>
      <w:r>
        <w:rPr>
          <w:rStyle w:val="FootnoteReference"/>
          <w:noProof/>
        </w:rPr>
        <w:footnoteReference w:id="1"/>
      </w:r>
      <w:r>
        <w:rPr>
          <w:noProof/>
        </w:rPr>
        <w:t xml:space="preserve"> понастоящем на Естония е предоставено разрешение да ограничи правото на приспадане на ДДС за покупката, лизинга, вътреобщностното придобиване и вноса на някои леки пътнически автомобили, както и свързаните с това разходи, до 50 %. Срокът на действие на посоченото решение изтича на 31 декември 2017 г.</w:t>
      </w:r>
    </w:p>
    <w:p>
      <w:pPr>
        <w:rPr>
          <w:noProof/>
        </w:rPr>
      </w:pPr>
      <w:r>
        <w:rPr>
          <w:noProof/>
        </w:rPr>
        <w:t xml:space="preserve">Поради това Естония поиска да се удължи срокът на разрешението да ограничи правото на първоначалното приспадане до определен процент, както и да освободи стопанските субекти от изискванията за счетоводна отчетност за данъка върху използването за лични цели. Естония уведоми Комисията, че основанията за искането срокът на действие на мярката да бъде продължен до голяма степен съвпадат с изложените при предишното искане. Искането за дерогация цели продължаване на режима, предвиден в гореспоменатото решение на Съвета. В съответствие с член 6 от Решение за изпълнение 2014/797/ЕС на Съвета Естония представи също така доклад, в който посочва, че от момента на прилагането на дерогацията фирмите са декларирали, че около 66 % от притежаваните от тях леки пътнически автомобили отчасти се използват за цели, свързани със стопанската им дейност, като това потвърждава, че дерогацията е оправдана. </w:t>
      </w:r>
    </w:p>
    <w:p>
      <w:pPr>
        <w:rPr>
          <w:noProof/>
        </w:rPr>
      </w:pPr>
      <w:r>
        <w:rPr>
          <w:noProof/>
        </w:rPr>
        <w:t xml:space="preserve">Мярката ще се прилага за всички леки пътнически автомобили с най-много осем места за сядане без мястото на водача и с тегло, непревишаващо 3500 килограма, които не се използват изключително за целите на стопанската дейност. Леките пътнически автомобили обаче, които се използват за някои специфични дейности, ще бъдат изключени от ограничението на правото за приспадане и ще бъдат третирани съгласно общите правила — това включва автомобили, закупени с цел препродажба, отдаване под наем или отдаване на лизинг, автомобили, използвани за превоз на пътници срещу възнаграждение, включително за таксиметрови услуги, и автомобили, използвани за обучение на водачи на моторни превозни средства. </w:t>
      </w:r>
    </w:p>
    <w:p>
      <w:pPr>
        <w:rPr>
          <w:noProof/>
        </w:rPr>
      </w:pPr>
      <w:r>
        <w:rPr>
          <w:noProof/>
        </w:rPr>
        <w:t xml:space="preserve">Ограничаването на правото на приспадане в съответствие с мярката следва да се прилага по отношение на ДДС, платен при покупка, лизинг, вътреобщностно придобиване и внос на определени категории леки пътнически автомобили, и по отношение на свързаните с това разходи. </w:t>
      </w:r>
    </w:p>
    <w:p>
      <w:pPr>
        <w:rPr>
          <w:noProof/>
        </w:rPr>
      </w:pPr>
      <w:r>
        <w:rPr>
          <w:noProof/>
        </w:rPr>
        <w:t xml:space="preserve">Според Естония ограничението за приспадане следва да се определи на 50 %.  Според оценките процентът на използване на леки автомобили за лични нужди от фирмите в Естония е приблизително 60 %. Тъй като обаче това почива на косвени доказателства и допускания и следователно процентът може да бъде завишен, най-целесъобразно е ограничението за приспадането на ДДС да бъде 50 %.  </w:t>
      </w:r>
    </w:p>
    <w:p>
      <w:pPr>
        <w:rPr>
          <w:noProof/>
        </w:rPr>
      </w:pPr>
      <w:r>
        <w:rPr>
          <w:noProof/>
        </w:rPr>
        <w:t xml:space="preserve">Срокът на дерогацията следва да бъде ограничен до 31 декември 2020 г., за да може да се прецени дали ограничението от 50 % продължава да отразява правилно дела на използване на автомобилите за целите на стопанската дейност и за лични цели. Всяко искане за удължаване на срока следва да се придружава от доклад, който включва преглед на прилагания процент, и следва да бъде изпратено на Комисията до 31 март 2020 г.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 xml:space="preserve">Подобни дерогации във връзка с правото на приспадане са били предоставяни на други държави членки. </w:t>
      </w:r>
    </w:p>
    <w:p>
      <w:pPr>
        <w:rPr>
          <w:noProof/>
        </w:rPr>
      </w:pPr>
      <w:r>
        <w:rPr>
          <w:noProof/>
        </w:rPr>
        <w:t xml:space="preserve">Съгласно член 176 от Директивата за ДДС Съветът определя разходите, по отношение на които ДДС не подлежи на приспадане. Докато те не бъдат определени, той разрешава на държавите членки да продължат да прилагат изключенията, които са били в сила на 1 януари 1979 г. Следователно има известен брой клаузи за изчакване, които ограничават правото на приспадане във връзка с леките пътнически автомобили. </w:t>
      </w:r>
    </w:p>
    <w:p>
      <w:pPr>
        <w:pBdr>
          <w:top w:val="nil"/>
          <w:left w:val="nil"/>
          <w:bottom w:val="nil"/>
          <w:right w:val="nil"/>
          <w:between w:val="nil"/>
          <w:bar w:val="nil"/>
        </w:pBdr>
        <w:spacing w:before="0" w:after="240"/>
        <w:rPr>
          <w:noProof/>
        </w:rPr>
      </w:pPr>
      <w:r>
        <w:rPr>
          <w:noProof/>
        </w:rPr>
        <w:t>Независимо от предишните инициативи за установяване на правила относно категориите разходи, които могат да бъдат обект на ограничение на правото на приспадане</w:t>
      </w:r>
      <w:r>
        <w:rPr>
          <w:rStyle w:val="FootnoteReference"/>
          <w:noProof/>
        </w:rPr>
        <w:footnoteReference w:id="2"/>
      </w:r>
      <w:r>
        <w:rPr>
          <w:noProof/>
        </w:rPr>
        <w:t xml:space="preserve">, подобна дерогация е целесъобразна в очакване тези правила да бъдат хармонизирани на равнището на ЕС.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Arial Unicode MS"/>
          <w:noProof/>
        </w:rPr>
      </w:pPr>
      <w:r>
        <w:rPr>
          <w:noProof/>
        </w:rPr>
        <w:t xml:space="preserve">Член 395 от Директивата за ДДС.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Предвид разпоредбата от Директивата за ДДС, на която се основава предложението, то попада в обхвата на изключителната компетентност на Европейския съюз. Поради това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Решението е за даване на разрешение на държава членка по нейно искане и не представлява задължение.</w:t>
      </w:r>
    </w:p>
    <w:p>
      <w:pPr>
        <w:pBdr>
          <w:top w:val="nil"/>
          <w:left w:val="nil"/>
          <w:bottom w:val="nil"/>
          <w:right w:val="nil"/>
          <w:between w:val="nil"/>
          <w:bar w:val="nil"/>
        </w:pBdr>
        <w:spacing w:before="0" w:after="240"/>
        <w:rPr>
          <w:rFonts w:eastAsia="Arial Unicode MS"/>
          <w:noProof/>
        </w:rPr>
      </w:pPr>
      <w:r>
        <w:rPr>
          <w:noProof/>
        </w:rPr>
        <w:t>Предвид ограничения обхват на дерогацията специалната мярка е пропорционална на поставената цел, а именно предотвратяване на някои форми на избягване на данъци и отклонение от данъчно облагане. По-специално, като се вземат предвид вероятността фирмите да не декларират изцяло задълженията си и административната тежест за данъчните органи, свързана с проверка на изминатия километраж, ограничението от 50 % ще опрости събирането на ДДС в конкретен отрасъл.</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Предлаган инструмент: решение за изпълнение на Съвета.</w:t>
      </w:r>
    </w:p>
    <w:p>
      <w:pPr>
        <w:pBdr>
          <w:top w:val="nil"/>
          <w:left w:val="nil"/>
          <w:bottom w:val="nil"/>
          <w:right w:val="nil"/>
          <w:between w:val="nil"/>
          <w:bar w:val="nil"/>
        </w:pBdr>
        <w:spacing w:before="0" w:after="240"/>
        <w:rPr>
          <w:rFonts w:eastAsia="Arial Unicode MS"/>
          <w:noProof/>
        </w:rPr>
      </w:pPr>
      <w:r>
        <w:rPr>
          <w:noProof/>
        </w:rPr>
        <w:t>По силата на член 395 от Директива 2006/112/EО на Съвета дерогация от общите правила за ДДС е възможна единствено след разрешение от Съвета, действащ с единодушие по предложение на Комисията. Решение за изпълнение на Съвета е най-подходящият инструмент, тъй като негов адресат може да бъде отделна държава членка.</w:t>
      </w:r>
    </w:p>
    <w:p>
      <w:pPr>
        <w:pStyle w:val="ManualHeading1"/>
        <w:rPr>
          <w:noProof/>
        </w:rPr>
      </w:pPr>
      <w:r>
        <w:rPr>
          <w:noProof/>
        </w:rPr>
        <w:t>3.</w:t>
      </w:r>
      <w:r>
        <w:rPr>
          <w:noProof/>
        </w:rPr>
        <w:tab/>
        <w:t xml:space="preserve">РЕЗУЛТАТИ ОТ ПОСЛЕДВАЩИТЕ ОЦЕНКИ, КОНСУЛТАЦИИ СЪС ЗАИНТЕРЕСОВАНИТЕ СТРАНИ И ОЦЕНКИ НА ВЪЗДЕЙСТВИЕТО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се основава на искане, отправено от Естония, и се отнася само до тази държава членка.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 xml:space="preserve">Не бяха необходими външни експертни становища.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Предложението има за цел да предотврати отклонението от облагане с ДДС и да опрости процедурата по данъчно облагане и поради това може да има положително въздействие както за стопанските субекти, така и за администрацията. Естония определи решението като подходяща мярка, сравнима с други минали и прилагани понастоящем дерогации.</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да има отрицателно отражение върху бюджета на ЕС.</w:t>
      </w:r>
    </w:p>
    <w:p>
      <w:pPr>
        <w:pStyle w:val="ManualHeading1"/>
        <w:rPr>
          <w:noProof/>
        </w:rPr>
      </w:pPr>
      <w:r>
        <w:rPr>
          <w:noProof/>
        </w:rPr>
        <w:t>5.</w:t>
      </w:r>
      <w:r>
        <w:rPr>
          <w:noProof/>
        </w:rPr>
        <w:tab/>
        <w:t>ДРУГИ ЕЛЕМЕНТИ</w:t>
      </w:r>
    </w:p>
    <w:p>
      <w:pPr>
        <w:pBdr>
          <w:top w:val="nil"/>
          <w:left w:val="nil"/>
          <w:bottom w:val="nil"/>
          <w:right w:val="nil"/>
          <w:between w:val="nil"/>
          <w:bar w:val="nil"/>
        </w:pBdr>
        <w:spacing w:before="0" w:after="240"/>
        <w:rPr>
          <w:noProof/>
        </w:rPr>
      </w:pPr>
      <w:r>
        <w:rPr>
          <w:noProof/>
        </w:rPr>
        <w:t>Предложението включва клауза за изтичане на срока на действие, като срокът на действие на дерогацията автоматично изтича на 31 декември 2020 г.</w:t>
      </w:r>
    </w:p>
    <w:p>
      <w:pPr>
        <w:pBdr>
          <w:top w:val="nil"/>
          <w:left w:val="nil"/>
          <w:bottom w:val="nil"/>
          <w:right w:val="nil"/>
          <w:between w:val="nil"/>
          <w:bar w:val="nil"/>
        </w:pBdr>
        <w:spacing w:before="0" w:after="240"/>
        <w:rPr>
          <w:rFonts w:eastAsia="Arial Unicode MS"/>
          <w:noProof/>
        </w:rPr>
      </w:pPr>
      <w:r>
        <w:rPr>
          <w:noProof/>
        </w:rPr>
        <w:t>В случай че Естония възнамерява срокът на действие на дерогационната мярка да бъде удължен и след 2020 г., заедно с искането за удължаване на Комисията следва да бъде представен доклад, който включва преглед на процентното ограничение, не по-късно от 31 март 2020 г.</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2017/0188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 xml:space="preserve">за изменение на Решение за изпълнение 2014/797/ЕС за даване на разрешение на Република Естония да прилага мярка за дерогация от член 26, параграф 1, буква а) и членове 168 и 168а от Директива 2006/112/ЕО относно общата система на данъка върху добавената стойност </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3"/>
      </w:r>
      <w:r>
        <w:rPr>
          <w:noProof/>
        </w:rPr>
        <w:t>, и по-специално член 395,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членове 168 и 168а от Директива 2006/112/ЕО се установява правото на данъчно задълженото лице да приспада данъка върху добавената стойност (ДДС), начислен върху доставки на стоки и услуги, предназначени за неговите облагаеми сделки. Член 26, параграф 1, буква а) от същата директива съдържа изискване да се начисли ДДС, когато даден стопански актив се използва за лични цели на данъчно задълженото лице или неговия персонал, или по-общо за цели, различни от стопанската му дейност.</w:t>
      </w:r>
    </w:p>
    <w:p>
      <w:pPr>
        <w:pStyle w:val="ManualConsidrant"/>
        <w:rPr>
          <w:noProof/>
        </w:rPr>
      </w:pPr>
      <w:r>
        <w:t>(2)</w:t>
      </w:r>
      <w:r>
        <w:tab/>
      </w:r>
      <w:r>
        <w:rPr>
          <w:noProof/>
        </w:rPr>
        <w:t>С Решение за изпълнение 2014/797/ЕС на Съвета</w:t>
      </w:r>
      <w:r>
        <w:rPr>
          <w:rStyle w:val="FootnoteReference"/>
          <w:noProof/>
        </w:rPr>
        <w:footnoteReference w:id="4"/>
      </w:r>
      <w:r>
        <w:rPr>
          <w:noProof/>
        </w:rPr>
        <w:t xml:space="preserve"> на Естония бе разрешено да ограничи правото на приспадане на ДДС, начисляван при покупката, лизинга, вътреобщностното придобиване и вноса на някои леки пътнически автомобили, както и да освобождава данъчно задълженото лице от задължението да начисли ДДС при използването им за нестопански цели, включени в обхвата на ограничението.</w:t>
      </w:r>
    </w:p>
    <w:p>
      <w:pPr>
        <w:pStyle w:val="ManualConsidrant"/>
        <w:rPr>
          <w:noProof/>
        </w:rPr>
      </w:pPr>
      <w:r>
        <w:t>(3)</w:t>
      </w:r>
      <w:r>
        <w:tab/>
      </w:r>
      <w:r>
        <w:rPr>
          <w:noProof/>
        </w:rPr>
        <w:t>С писмо, заведено в Комисията на 18 април 2017 г., Естония поиска разрешение да продължи да прилага спрямо покупката, лизинга, вътреобщностното придобиване и вноса на някои леки пътнически автомобили специални мерки за дерогация от разпоредбите в Директива 2006/112/ЕО, които уреждат правото на данъчно задължените лица да приспадат ДДС, заплащан при закупуването на стоки и услуги, и от разпоредбите, които изискват данъкът да се приложи върху стопанските активи, които се ползват за нестопански цели.</w:t>
      </w:r>
    </w:p>
    <w:p>
      <w:pPr>
        <w:pStyle w:val="ManualConsidrant"/>
        <w:rPr>
          <w:noProof/>
        </w:rPr>
      </w:pPr>
      <w:r>
        <w:t>(4)</w:t>
      </w:r>
      <w:r>
        <w:tab/>
      </w:r>
      <w:r>
        <w:rPr>
          <w:noProof/>
        </w:rPr>
        <w:t>В съответствие с член 395, параграф 2 от Директива 2006/112/ЕО с писмо от 14 юни 2017 г. Комисията уведоми останалите държави членки за отправеното от Естония искане. С писмо от 15 юни 2017 г. Комисията уведоми Естония, че разполага с цялата информация, която ѝ е необходима за разглеждане на искането.</w:t>
      </w:r>
    </w:p>
    <w:p>
      <w:pPr>
        <w:pStyle w:val="ManualConsidrant"/>
        <w:rPr>
          <w:noProof/>
        </w:rPr>
      </w:pPr>
      <w:r>
        <w:t>(5)</w:t>
      </w:r>
      <w:r>
        <w:tab/>
      </w:r>
      <w:r>
        <w:rPr>
          <w:noProof/>
        </w:rPr>
        <w:t xml:space="preserve">В съответствие с член 6, параграф 2 от Решение за изпълнение 2014/797/ЕС заедно с искането за удължаване Естония представи на Комисията доклад за прилагането на решението за изпълнение, включващ преглед на процентното ограничение, прилагано по отношение на правото на приспадане. Въз основа на наличната в момента информация Естония е на мнение, че все още е оправдано и целесъобразно прилагането на ставка от 50 %. </w:t>
      </w:r>
    </w:p>
    <w:p>
      <w:pPr>
        <w:pStyle w:val="ManualConsidrant"/>
        <w:rPr>
          <w:noProof/>
        </w:rPr>
      </w:pPr>
      <w:r>
        <w:t>(6)</w:t>
      </w:r>
      <w:r>
        <w:tab/>
      </w:r>
      <w:r>
        <w:rPr>
          <w:noProof/>
        </w:rPr>
        <w:t>Удължаването на срока на прилагане на тези дерогационни мерки следва да се ограничи във времето, за да може да се направи оценка на ефективността им и на подходящия процент. Поради това на Естония следва да се разреши да продължи да прилага мярката за ограничен срок, а именно до 31 декември 2020 г.</w:t>
      </w:r>
    </w:p>
    <w:p>
      <w:pPr>
        <w:pStyle w:val="ManualConsidrant"/>
        <w:rPr>
          <w:noProof/>
        </w:rPr>
      </w:pPr>
      <w:r>
        <w:t>(7)</w:t>
      </w:r>
      <w:r>
        <w:tab/>
      </w:r>
      <w:r>
        <w:rPr>
          <w:noProof/>
        </w:rPr>
        <w:t>Ако Естония прецени, че е необходимо удължаване на срока на разрешението след 2020 г., тя следва не по-късно от 31 март 2020 г. да изпрати на Комисията доклад, който включва преглед на прилаганото процентно ограничение, заедно с искането за удължаване на срока.</w:t>
      </w:r>
    </w:p>
    <w:p>
      <w:pPr>
        <w:pStyle w:val="ManualConsidrant"/>
        <w:rPr>
          <w:noProof/>
        </w:rPr>
      </w:pPr>
      <w:r>
        <w:t>(8)</w:t>
      </w:r>
      <w:r>
        <w:tab/>
      </w:r>
      <w:r>
        <w:rPr>
          <w:noProof/>
        </w:rPr>
        <w:t>Дерогацията ще има незначително отражение върху общия размер на данъчните приходи, събирани на етапа на крайно потребление, и няма да има отрицателно въздействие върху собствените ресурси на Съюза, формирани от данъка върху добавената стойност.</w:t>
      </w:r>
    </w:p>
    <w:p>
      <w:pPr>
        <w:pStyle w:val="ManualConsidrant"/>
        <w:rPr>
          <w:noProof/>
        </w:rPr>
      </w:pPr>
      <w:r>
        <w:t>(9)</w:t>
      </w:r>
      <w:r>
        <w:tab/>
      </w:r>
      <w:r>
        <w:rPr>
          <w:noProof/>
        </w:rPr>
        <w:t>Поради това Решение за изпълнение 2014/797/ЕС следва да бъде съответно изменено,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Член 6 от Решение за изпълнение 2014/797/ЕС се заменя със следното:</w:t>
      </w:r>
    </w:p>
    <w:p>
      <w:pPr>
        <w:rPr>
          <w:noProof/>
          <w:color w:val="000000" w:themeColor="text1"/>
        </w:rPr>
      </w:pPr>
    </w:p>
    <w:p>
      <w:pPr>
        <w:pStyle w:val="Titrearticle"/>
        <w:rPr>
          <w:noProof/>
          <w:color w:val="000000" w:themeColor="text1"/>
        </w:rPr>
      </w:pPr>
      <w:r>
        <w:rPr>
          <w:noProof/>
        </w:rPr>
        <w:t>„Член 6</w:t>
      </w:r>
    </w:p>
    <w:p>
      <w:pPr>
        <w:rPr>
          <w:noProof/>
        </w:rPr>
      </w:pPr>
      <w:r>
        <w:rPr>
          <w:noProof/>
        </w:rPr>
        <w:t xml:space="preserve">1. </w:t>
      </w:r>
      <w:r>
        <w:rPr>
          <w:noProof/>
        </w:rPr>
        <w:tab/>
        <w:t xml:space="preserve">Срокът на действие на настоящото решение изтича на 31 декември 2020 г. </w:t>
      </w:r>
    </w:p>
    <w:p>
      <w:pPr>
        <w:rPr>
          <w:noProof/>
        </w:rPr>
      </w:pPr>
      <w:r>
        <w:rPr>
          <w:noProof/>
        </w:rPr>
        <w:t xml:space="preserve">2. </w:t>
      </w:r>
      <w:r>
        <w:rPr>
          <w:noProof/>
        </w:rPr>
        <w:tab/>
        <w:t>Всяко искане за удължаване на срока на разрешението, предвидено в настоящото решение, се представя на Комисията в срок до 31 март 2020 г. и се придружава от доклад, който включва преглед на процента, определен в член 1.“</w:t>
      </w:r>
    </w:p>
    <w:p>
      <w:pPr>
        <w:keepNext/>
        <w:keepLines/>
        <w:rPr>
          <w:noProof/>
        </w:rPr>
      </w:pPr>
    </w:p>
    <w:p>
      <w:pPr>
        <w:pStyle w:val="Titrearticle"/>
        <w:rPr>
          <w:noProof/>
        </w:rPr>
      </w:pPr>
      <w:r>
        <w:rPr>
          <w:noProof/>
        </w:rPr>
        <w:t>Член 2</w:t>
      </w:r>
    </w:p>
    <w:p>
      <w:pPr>
        <w:rPr>
          <w:noProof/>
        </w:rPr>
      </w:pPr>
      <w:r>
        <w:rPr>
          <w:noProof/>
        </w:rPr>
        <w:t xml:space="preserve">Настоящото решение се прилага от 1 януари 2018 г. </w:t>
      </w:r>
    </w:p>
    <w:p>
      <w:pPr>
        <w:pStyle w:val="Titrearticle"/>
        <w:rPr>
          <w:noProof/>
        </w:rPr>
      </w:pPr>
      <w:r>
        <w:rPr>
          <w:noProof/>
        </w:rPr>
        <w:t>Член 3</w:t>
      </w:r>
    </w:p>
    <w:p>
      <w:pPr>
        <w:rPr>
          <w:noProof/>
        </w:rPr>
      </w:pPr>
      <w:r>
        <w:rPr>
          <w:noProof/>
        </w:rPr>
        <w:t>Адресат на настоящото решение е Република Естония.</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Решение за изпълнение 2014/797/ЕС на Съвета от 7 ноември 2014 г. за даване на разрешение на Република Естония да прилага мярка за дерогация от член 26, параграф 1, буква а) и членове 168 и 168а от Директива 2006/112/ЕО относно общата система на данъка върху добавената стойност (ОВ L 330, 15.11.2014 г., стр. 48).  </w:t>
      </w:r>
    </w:p>
  </w:footnote>
  <w:footnote w:id="2">
    <w:p>
      <w:pPr>
        <w:pStyle w:val="FootnoteText"/>
        <w:jc w:val="left"/>
      </w:pPr>
      <w:r>
        <w:rPr>
          <w:rStyle w:val="FootnoteReference"/>
        </w:rPr>
        <w:footnoteRef/>
      </w:r>
      <w:r>
        <w:tab/>
        <w:t xml:space="preserve">COM(2004) 728 final — Предложение за Директива на Съвета за изменение на Директива 77/388/ЕИО с цел опростяване на задълженията, свързани с данъка върху добавената стойност (ОВ C 24, 29.1.2005 г., стр. 10), оттеглено на 21 май 2014 г. </w:t>
      </w:r>
      <w:r>
        <w:rPr>
          <w:rStyle w:val="Hyperlink"/>
        </w:rPr>
        <w:t xml:space="preserve"> </w:t>
      </w:r>
      <w:r>
        <w:t xml:space="preserve">(ОВ C 153, 21.5.2014 г., стр. 3). </w:t>
      </w:r>
    </w:p>
  </w:footnote>
  <w:footnote w:id="3">
    <w:p>
      <w:pPr>
        <w:pStyle w:val="FootnoteText"/>
      </w:pPr>
      <w:r>
        <w:rPr>
          <w:rStyle w:val="FootnoteReference"/>
        </w:rPr>
        <w:footnoteRef/>
      </w:r>
      <w:r>
        <w:tab/>
        <w:t xml:space="preserve">ОВ L 347, 11.12.2006 г., стр. 1. </w:t>
      </w:r>
    </w:p>
  </w:footnote>
  <w:footnote w:id="4">
    <w:p>
      <w:pPr>
        <w:pStyle w:val="FootnoteText"/>
      </w:pPr>
      <w:r>
        <w:rPr>
          <w:rStyle w:val="FootnoteReference"/>
        </w:rPr>
        <w:footnoteRef/>
      </w:r>
      <w:r>
        <w:tab/>
        <w:t xml:space="preserve">Решение за изпълнение 2014/797/ЕС на Съвета от 7 ноември 2014 г. за даване на разрешение на Република Естония да прилага мярка за дерогация от член 26, параграф 1, буква а) и членове 168 и 168а от Директива 2006/112/ЕО относно общата система на данъка върху добавената стойност (ОВ L 330, 15.11.2014 г., стр. 48).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332FA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13A96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C5E7C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A2A20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5A8A5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060CB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4FEC1DA"/>
    <w:lvl w:ilvl="0">
      <w:start w:val="1"/>
      <w:numFmt w:val="decimal"/>
      <w:pStyle w:val="ListNumber"/>
      <w:lvlText w:val="%1."/>
      <w:lvlJc w:val="left"/>
      <w:pPr>
        <w:tabs>
          <w:tab w:val="num" w:pos="360"/>
        </w:tabs>
        <w:ind w:left="360" w:hanging="360"/>
      </w:pPr>
    </w:lvl>
  </w:abstractNum>
  <w:abstractNum w:abstractNumId="7">
    <w:nsid w:val="FFFFFF89"/>
    <w:multiLevelType w:val="singleLevel"/>
    <w:tmpl w:val="A1E8BF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2 11:12: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C242367FAB44454BA6B8CCDC2156D80"/>
    <w:docVar w:name="LW_CROSSREFERENCE" w:val="&lt;UNUSED&gt;"/>
    <w:docVar w:name="LW_DocType" w:val="COM"/>
    <w:docVar w:name="LW_EMISSION" w:val="9.8.2017"/>
    <w:docVar w:name="LW_EMISSION_ISODATE" w:val="2017-08-09"/>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STATUT" w:val="SJ-020"/>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88"/>
    <w:docVar w:name="LW_REF.II.NEW.CP_YEAR" w:val="2017"/>
    <w:docVar w:name="LW_REF.INST.NEW" w:val="COM"/>
    <w:docVar w:name="LW_REF.INST.NEW_ADOPTED" w:val="final"/>
    <w:docVar w:name="LW_REF.INST.NEW_TEXT" w:val="(2017) 421"/>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2014/797/\u1045?\u1057? \u1079?\u1072? \u1076?\u1072?\u1074?\u1072?\u1085?\u1077? \u1085?\u1072? \u1088?\u1072?\u1079?\u1088?\u1077?\u1096?\u1077?\u1085?\u1080?\u1077? \u1085?\u1072? \u1056?\u1077?\u1087?\u1091?\u1073?\u1083?\u1080?\u1082?\u1072? \u1045?\u1089?\u1090?\u1086?\u1085?\u1080?\u1103? \u1076?\u1072? \u1087?\u1088?\u1080?\u1083?\u1072?\u1075?\u1072? \u1084?\u1103?\u1088?\u1082?\u1072? \u1079?\u1072? \u1076?\u1077?\u1088?\u1086?\u1075?\u1072?\u1094?\u1080?\u1103? \u1086?\u1090? \u1095?\u1083?\u1077?\u1085? 26, \u1087?\u1072?\u1088?\u1072?\u1075?\u1088?\u1072?\u1092? 1, \u1073?\u1091?\u1082?\u1074?\u1072? \u1072?) \u1080? \u1095?\u1083?\u1077?\u1085?\u1086?\u1074?\u1077? 168 \u1080? 168\u1072?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5D4BD-F0C6-423D-B9A7-38A11DB7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1932</Words>
  <Characters>10822</Characters>
  <Application>Microsoft Office Word</Application>
  <DocSecurity>0</DocSecurity>
  <Lines>208</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2017-07-04T14:20:00Z</cp:lastPrinted>
  <dcterms:created xsi:type="dcterms:W3CDTF">2017-07-27T15:08:00Z</dcterms:created>
  <dcterms:modified xsi:type="dcterms:W3CDTF">2017-08-02T09:12:00Z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