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77F297F45E4BC789EF0411970C82B1" style="width:450.45pt;height:393.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0"/>
        <w:rPr>
          <w:rFonts w:eastAsia="Arial Unicode MS"/>
          <w:noProof/>
        </w:rPr>
      </w:pPr>
      <w:r>
        <w:rPr>
          <w:rFonts w:eastAsia="Arial Unicode MS"/>
          <w:noProof/>
        </w:rPr>
        <w:t xml:space="preserve">Following a proposal by the Commission for an Article185 TFEU PRIMA initiative </w:t>
      </w:r>
      <w:r>
        <w:rPr>
          <w:rStyle w:val="FootnoteReference"/>
          <w:rFonts w:eastAsia="Arial Unicode MS"/>
          <w:noProof/>
        </w:rPr>
        <w:footnoteReference w:id="1"/>
      </w:r>
      <w:r>
        <w:rPr>
          <w:rFonts w:eastAsia="Arial Unicode MS"/>
          <w:noProof/>
        </w:rPr>
        <w:t>, the</w:t>
      </w:r>
      <w:r>
        <w:rPr>
          <w:rFonts w:ascii="Calibri" w:hAnsi="Calibri"/>
          <w:noProof/>
          <w:sz w:val="22"/>
        </w:rPr>
        <w:t xml:space="preserve"> </w:t>
      </w:r>
      <w:r>
        <w:rPr>
          <w:rFonts w:eastAsia="Arial Unicode MS"/>
          <w:noProof/>
        </w:rPr>
        <w:t>Decision (EU) 2017/1324 of the European Parliament and of the Council</w:t>
      </w:r>
      <w:r>
        <w:rPr>
          <w:rStyle w:val="FootnoteReference"/>
          <w:rFonts w:eastAsia="Arial Unicode MS"/>
          <w:noProof/>
        </w:rPr>
        <w:footnoteReference w:id="2"/>
      </w:r>
      <w:r>
        <w:rPr>
          <w:rFonts w:eastAsia="Arial Unicode MS"/>
          <w:noProof/>
        </w:rPr>
        <w:t xml:space="preserve"> on the participation of the Union in the Partnership for Research and Innovation in the Mediterranean Area ('PRIMA') jointly undertaken by several Member States was adopted.</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iCs/>
          <w:noProof/>
        </w:rPr>
        <w:t xml:space="preserve">PRIMA aims at implementing a joint programme to foster research and innovation capacities and to develop knowledge and common innovative solutions for improving the efficiency, safety, security and sustainability of agro-food systems and of integrated water provision and management in the Mediterranean area. PRIMA will be </w:t>
      </w:r>
      <w:r>
        <w:rPr>
          <w:rFonts w:eastAsia="Arial Unicode MS"/>
          <w:noProof/>
        </w:rPr>
        <w:t xml:space="preserve">jointly undertaken by a number of Member States and third countries ('PRIMA Participating States') with a high level of commitment to scientific, management and financial integration and under the same terms and conditions.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The </w:t>
      </w:r>
      <w:r>
        <w:rPr>
          <w:noProof/>
        </w:rPr>
        <w:t>Arab Republic of Egypt</w:t>
      </w:r>
      <w:r>
        <w:rPr>
          <w:rFonts w:eastAsia="Arial Unicode MS"/>
          <w:noProof/>
        </w:rPr>
        <w:t xml:space="preserve"> ('Egypt') expressed its wish to join PRIMA as a Participating State by letters of 25 February 2016 and 25 May 2017, committing to provide a financial contribution of 33 million euros to the initiative.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that Egypt participates in PRIMA on an equal footing with Member States and third countries associated to Horizon 2020, an International Agreement with the Union is required to extend the scope of the legal regime established by Decision (EU) 2017/1324 to Egypt.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On 30 May 2017 the Council authorised the Commission to open negotiations, on behalf of the Union, with Egypt on an International Agreement between the Union and Egypt laying down the terms and conditions for the participation of Egypt in PRIMA, subject to the adoption of Decision (EU) 2017/1324.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The negotiations started on 26 June 2017 and were successfully completed on 27 July 2017, when the text of the draft Agreement was initialled by representatives from each of the future Parties. The draft Agreement attached to this proposal is in line with the negotiating directives issued by the Council. In particular, it establishes that the terms and conditions for the participation of Egypt in PRIMA shall be those set out in Decision (EU) 2017/1324, making direct reference to the Union legislative act.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r>
        <w:rPr>
          <w:noProof/>
        </w:rPr>
        <w:t xml:space="preserve"> Upon the request of Egypt and as agreed during the negotiations, an additional recital was inserted in the preamble of the Agreement to reflect that full cooperation and coordination between competent authorities of both future Parties is essential for implementation of the future Agreement.</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As also presented in the impact assessment report for PRIMA</w:t>
      </w:r>
      <w:r>
        <w:rPr>
          <w:rStyle w:val="FootnoteReference"/>
          <w:rFonts w:eastAsia="Arial Unicode MS"/>
          <w:noProof/>
        </w:rPr>
        <w:footnoteReference w:id="3"/>
      </w:r>
      <w:r>
        <w:rPr>
          <w:rFonts w:eastAsia="Arial Unicode MS"/>
          <w:noProof/>
        </w:rPr>
        <w:t>, the openness of PRIMA to the participation of third countries such as Egypt is</w:t>
      </w:r>
      <w:r>
        <w:rPr>
          <w:rFonts w:eastAsia="Arial Unicode MS"/>
          <w:bCs/>
          <w:noProof/>
        </w:rPr>
        <w:t xml:space="preserve"> consistent with the objectives of international cooperation for research and innovation as outlined in the 2012 Commission Communication 'Enhancing and focusing EU international cooperation in research and innovation: A strategic approach'</w:t>
      </w:r>
      <w:r>
        <w:rPr>
          <w:rStyle w:val="FootnoteReference"/>
          <w:rFonts w:eastAsia="Arial Unicode MS"/>
          <w:bCs/>
          <w:noProof/>
        </w:rPr>
        <w:footnoteReference w:id="4"/>
      </w:r>
      <w:r>
        <w:rPr>
          <w:rFonts w:eastAsia="Arial Unicode MS"/>
          <w:bCs/>
          <w:noProof/>
        </w:rPr>
        <w:t xml:space="preserve"> and Horizon 2020 Framework Programme, which promotes cooperation with third countries in science, technology and innovation in order to tackle global societal challenges and support Union external policies. This Agreement is also consistent with the existing </w:t>
      </w:r>
      <w:r>
        <w:rPr>
          <w:iCs/>
          <w:noProof/>
        </w:rPr>
        <w:t>Euro-Mediterranean Agreement establishing an Association between the European Communities and their Member States, of the one part, and the Arab Republic of Egypt, of the other part</w:t>
      </w:r>
      <w:r>
        <w:rPr>
          <w:rStyle w:val="FootnoteReference"/>
          <w:rFonts w:eastAsia="Arial Unicode MS"/>
          <w:bCs/>
          <w:noProof/>
        </w:rPr>
        <w:footnoteReference w:id="5"/>
      </w:r>
      <w:r>
        <w:rPr>
          <w:rFonts w:eastAsia="Arial Unicode MS"/>
          <w:bCs/>
          <w:noProof/>
        </w:rPr>
        <w:t xml:space="preserve"> and the </w:t>
      </w:r>
      <w:r>
        <w:rPr>
          <w:noProof/>
        </w:rPr>
        <w:t xml:space="preserve">Agreement </w:t>
      </w:r>
      <w:r>
        <w:rPr>
          <w:bCs/>
          <w:noProof/>
        </w:rPr>
        <w:t>for scientific and technological cooperation between the European Community and the Arab Republic of Egypt</w:t>
      </w:r>
      <w:r>
        <w:rPr>
          <w:rStyle w:val="FootnoteReference"/>
          <w:rFonts w:eastAsia="Arial Unicode MS"/>
          <w:bCs/>
          <w:noProof/>
        </w:rPr>
        <w:footnoteReference w:id="6"/>
      </w:r>
      <w:r>
        <w:rPr>
          <w:rFonts w:eastAsia="Arial Unicode MS"/>
          <w:bCs/>
          <w:noProof/>
        </w:rPr>
        <w:t xml:space="preserve"> which provide for cooperation between the Union and Egypt in research and technological development and encourage research and development activities in the fields of common interest.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implementation of PRIMA in close cooperation with third countries such as Egypt is also </w:t>
      </w:r>
      <w:r>
        <w:rPr>
          <w:rFonts w:eastAsia="Arial Unicode MS"/>
          <w:bCs/>
          <w:noProof/>
        </w:rPr>
        <w:t>consistent with, and relevant for, other Union policies, such as migration policy, development policy and neighbourhood policy.</w:t>
      </w:r>
    </w:p>
    <w:p>
      <w:pPr>
        <w:pStyle w:val="ManualHeading1"/>
        <w:rPr>
          <w:noProof/>
        </w:rPr>
      </w:pPr>
      <w:r>
        <w:rPr>
          <w:noProof/>
        </w:rPr>
        <w:t>2.</w:t>
      </w:r>
      <w:r>
        <w:rPr>
          <w:noProof/>
        </w:rPr>
        <w:tab/>
        <w:t xml:space="preserve">LEGAL </w:t>
      </w:r>
      <w:r>
        <w:rPr>
          <w:noProof/>
          <w:sz w:val="30"/>
          <w:szCs w:val="30"/>
        </w:rPr>
        <w:t>elements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for a Council decision is based on Article 186 and Article 218(5) of the Treaty on the Functioning of the European Union. </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Legislative Financial Statement presented with this Decision sets out the indicative budgetary implications. </w:t>
      </w:r>
    </w:p>
    <w:p>
      <w:pPr>
        <w:rPr>
          <w:noProof/>
          <w:lang w:eastAsia="en-GB"/>
        </w:rPr>
      </w:pPr>
    </w:p>
    <w:p>
      <w:pPr>
        <w:rPr>
          <w:noProof/>
        </w:rPr>
      </w:pPr>
      <w:r>
        <w:rPr>
          <w:noProof/>
          <w:lang w:eastAsia="en-GB"/>
        </w:rPr>
        <w:t xml:space="preserve">In the light of the above, the Commission proposes that the Council </w:t>
      </w:r>
    </w:p>
    <w:p>
      <w:pPr>
        <w:rPr>
          <w:noProof/>
        </w:rPr>
      </w:pPr>
      <w:r>
        <w:rPr>
          <w:noProof/>
        </w:rPr>
        <w:t>- decides on the signature and provisional application of the Agreement on behalf of the Union;</w:t>
      </w:r>
    </w:p>
    <w:p>
      <w:pPr>
        <w:pStyle w:val="ListParagraph"/>
        <w:rPr>
          <w:noProof/>
        </w:rPr>
      </w:pPr>
    </w:p>
    <w:p>
      <w:pPr>
        <w:rPr>
          <w:noProof/>
        </w:rPr>
      </w:pPr>
      <w:r>
        <w:rPr>
          <w:noProof/>
        </w:rPr>
        <w:t xml:space="preserve">- authorises the negotiator of the Agreement to sign, on behalf of the Union, the Agreement for scientific and technological cooperation between the European Union and </w:t>
      </w:r>
      <w:r>
        <w:rPr>
          <w:rFonts w:eastAsia="Arial Unicode MS"/>
          <w:bCs/>
          <w:iCs/>
          <w:noProof/>
        </w:rPr>
        <w:t>the Arab Republic of Egypt</w:t>
      </w:r>
      <w:r>
        <w:rPr>
          <w:noProof/>
        </w:rPr>
        <w:t xml:space="preserve"> setting out the terms and conditions for participation of the </w:t>
      </w:r>
      <w:r>
        <w:rPr>
          <w:rFonts w:eastAsia="Arial Unicode MS"/>
          <w:bCs/>
          <w:iCs/>
          <w:noProof/>
        </w:rPr>
        <w:t>Arab Republic of Egypt</w:t>
      </w:r>
      <w:r>
        <w:rPr>
          <w:noProof/>
        </w:rPr>
        <w:t xml:space="preserve"> in the Partnership for Research and Innovation in the Mediterranean Area (PRIMA)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Union, and provisional application of the Agreement for scientific and technological cooperation between the European Union and the Arab Republic of Egypt setting out the terms and conditions for participation of the Arab Republic of Egypt in the Partnership for Research and Innovation in the Mediterranean Area (PRIMA)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186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Decision (EU) 2017/1324 of the European Parliament and of the Council</w:t>
      </w:r>
      <w:r>
        <w:rPr>
          <w:rStyle w:val="FootnoteReference"/>
          <w:noProof/>
        </w:rPr>
        <w:footnoteReference w:id="7"/>
      </w:r>
      <w:r>
        <w:rPr>
          <w:noProof/>
        </w:rPr>
        <w:t xml:space="preserve"> provides for the participation of the Union in the Partnership for Research and Innovation in the Mediterranean Area ('PRIMA') jointly undertaken by several Member States. </w:t>
      </w:r>
    </w:p>
    <w:p>
      <w:pPr>
        <w:pStyle w:val="ManualConsidrant"/>
        <w:rPr>
          <w:noProof/>
        </w:rPr>
      </w:pPr>
      <w:r>
        <w:t>(2)</w:t>
      </w:r>
      <w:r>
        <w:tab/>
      </w:r>
      <w:r>
        <w:rPr>
          <w:noProof/>
        </w:rPr>
        <w:t>PRIMA aims at implementing a joint programme to foster research and innovation capacities and to develop knowledge and common innovative solutions for improving the efficiency, safety, security and sustainability of agro-food systems and of integrated water provision and management in the Mediterranean area.</w:t>
      </w:r>
    </w:p>
    <w:p>
      <w:pPr>
        <w:pStyle w:val="ManualConsidrant"/>
        <w:rPr>
          <w:noProof/>
        </w:rPr>
      </w:pPr>
      <w:r>
        <w:t>(3)</w:t>
      </w:r>
      <w:r>
        <w:tab/>
      </w:r>
      <w:r>
        <w:rPr>
          <w:iCs/>
          <w:noProof/>
        </w:rPr>
        <w:t xml:space="preserve">PRIMA will be </w:t>
      </w:r>
      <w:r>
        <w:rPr>
          <w:noProof/>
        </w:rPr>
        <w:t>jointly undertaken by a number of Member States and third countries ('PRIMA Participating States) with a high level of commitment to scientific, management and financial integration and under the same terms and conditions.</w:t>
      </w:r>
    </w:p>
    <w:p>
      <w:pPr>
        <w:pStyle w:val="ManualConsidrant"/>
        <w:rPr>
          <w:noProof/>
        </w:rPr>
      </w:pPr>
      <w:r>
        <w:t>(4)</w:t>
      </w:r>
      <w:r>
        <w:tab/>
      </w:r>
      <w:r>
        <w:rPr>
          <w:noProof/>
        </w:rPr>
        <w:t xml:space="preserve">The </w:t>
      </w:r>
      <w:r>
        <w:rPr>
          <w:rFonts w:eastAsia="Arial Unicode MS"/>
          <w:bCs/>
          <w:iCs/>
          <w:noProof/>
        </w:rPr>
        <w:t>Arab Republic of Egypt</w:t>
      </w:r>
      <w:r>
        <w:rPr>
          <w:noProof/>
        </w:rPr>
        <w:t xml:space="preserve"> ('Egypt') expressed its wish to join PRIMA as a Participating State and on an equal footing with the Member States and countries associated to Horizon 2020 participating in PRIMA.</w:t>
      </w:r>
    </w:p>
    <w:p>
      <w:pPr>
        <w:pStyle w:val="ManualConsidrant"/>
        <w:rPr>
          <w:noProof/>
        </w:rPr>
      </w:pPr>
      <w:r>
        <w:t>(5)</w:t>
      </w:r>
      <w:r>
        <w:tab/>
      </w:r>
      <w:r>
        <w:rPr>
          <w:noProof/>
        </w:rPr>
        <w:t>In accordance with Article 1(2) of Decision (EU) 2017/1324 Egypt is to become a Participating State in PRIMA subject to the conclusion of an international agreement for scientific and technological cooperation with the Union setting out the terms and conditions for the participation of Egypt in PRIMA.</w:t>
      </w:r>
    </w:p>
    <w:p>
      <w:pPr>
        <w:pStyle w:val="ManualConsidrant"/>
        <w:rPr>
          <w:noProof/>
        </w:rPr>
      </w:pPr>
      <w:r>
        <w:t>(6)</w:t>
      </w:r>
      <w:r>
        <w:tab/>
      </w:r>
      <w:r>
        <w:rPr>
          <w:noProof/>
        </w:rPr>
        <w:t xml:space="preserve">On 30 May 2017 the Council authorised the Commission to open negotiations, on behalf of the Union, with Egypt, on an international agreement setting out the terms and conditions for the participation of Egypt in PRIMA, subject to the adoption of the </w:t>
      </w:r>
      <w:r>
        <w:rPr>
          <w:rFonts w:eastAsia="Arial Unicode MS"/>
          <w:noProof/>
        </w:rPr>
        <w:t>Decision (EU) 2017/1324</w:t>
      </w:r>
      <w:r>
        <w:rPr>
          <w:noProof/>
        </w:rPr>
        <w:t>. The negotiations were successfully completed by the initialling of the Agreement.</w:t>
      </w:r>
    </w:p>
    <w:p>
      <w:pPr>
        <w:pStyle w:val="ManualConsidrant"/>
        <w:rPr>
          <w:noProof/>
        </w:rPr>
      </w:pPr>
      <w:r>
        <w:t>(7)</w:t>
      </w:r>
      <w:r>
        <w:tab/>
      </w:r>
      <w:r>
        <w:rPr>
          <w:noProof/>
        </w:rPr>
        <w:t>Therefore, the Agreement should be signed on behalf of the Union, subject to its conclusion at a later date.</w:t>
      </w:r>
    </w:p>
    <w:p>
      <w:pPr>
        <w:pStyle w:val="ManualConsidrant"/>
        <w:rPr>
          <w:noProof/>
        </w:rPr>
      </w:pPr>
      <w:r>
        <w:t>(8)</w:t>
      </w:r>
      <w:r>
        <w:tab/>
      </w:r>
      <w:r>
        <w:rPr>
          <w:noProof/>
        </w:rPr>
        <w:t>In view of allowing for the participation of Egypt in PRIMA from its start, the Agreement should be applied provisionally.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of the Agreement for scientific and technological cooperation between the European Union and </w:t>
      </w:r>
      <w:r>
        <w:rPr>
          <w:rFonts w:eastAsia="Arial Unicode MS"/>
          <w:bCs/>
          <w:iCs/>
          <w:noProof/>
        </w:rPr>
        <w:t>the Arab Republic of Egypt</w:t>
      </w:r>
      <w:r>
        <w:rPr>
          <w:noProof/>
        </w:rPr>
        <w:t xml:space="preserve"> setting out the terms and conditions for participation of the </w:t>
      </w:r>
      <w:r>
        <w:rPr>
          <w:rFonts w:eastAsia="Arial Unicode MS"/>
          <w:bCs/>
          <w:iCs/>
          <w:noProof/>
        </w:rPr>
        <w:t>Arab Republic of Egypt</w:t>
      </w:r>
      <w:r>
        <w:rPr>
          <w:noProof/>
        </w:rPr>
        <w:t xml:space="preserve"> in the Partnership for Research and Innovation in the Mediterranean Area (PRIMA)</w:t>
      </w:r>
      <w:r>
        <w:rPr>
          <w:rFonts w:ascii="TimesNewRoman" w:hAnsi="TimesNewRoman" w:cs="TimesNewRoman"/>
          <w:noProof/>
          <w:szCs w:val="24"/>
        </w:rPr>
        <w:t xml:space="preserve"> </w:t>
      </w:r>
      <w:r>
        <w:rPr>
          <w:noProof/>
        </w:rPr>
        <w:t>is hereby approved on behalf of the Union, subject to the conclusion of that Agreement.</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 xml:space="preserve">The Council Secretariat General shall establish the instrument of full powers to sign the Agreement, subject to its conclusion, for the person(s) indicated by the negotiator of the Agreement. </w:t>
      </w:r>
    </w:p>
    <w:p>
      <w:pPr>
        <w:pStyle w:val="Titrearticle"/>
        <w:keepNext w:val="0"/>
        <w:rPr>
          <w:noProof/>
        </w:rPr>
      </w:pPr>
      <w:r>
        <w:rPr>
          <w:noProof/>
        </w:rPr>
        <w:t>Article 3</w:t>
      </w:r>
    </w:p>
    <w:p>
      <w:pPr>
        <w:keepLines/>
        <w:rPr>
          <w:noProof/>
        </w:rPr>
      </w:pPr>
      <w:r>
        <w:rPr>
          <w:noProof/>
        </w:rPr>
        <w:t xml:space="preserve">The Agreement shall be applied provisionally, in accordance with Article 4(2) of the Agreement, as of the date on which the EU receives the notification concerning the completion by Egypt of its own procedures for the approval of the Agreement, pending its entry into force. </w:t>
      </w:r>
    </w:p>
    <w:p>
      <w:pPr>
        <w:pStyle w:val="Titrearticle"/>
        <w:rPr>
          <w:noProof/>
        </w:rPr>
      </w:pPr>
      <w:r>
        <w:rPr>
          <w:noProof/>
        </w:rPr>
        <w:t>Article 4</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signing on behalf of the Union, and provisional application of the Agreement for scientific and technological cooperation between the European Union and the Arab Republic of Egypt setting out the terms and conditions for participation of the Arab Republic of Egypt in the Partnership for Research and Innovation in the Mediterranean Area (PRIMA).</w:t>
      </w:r>
    </w:p>
    <w:p>
      <w:pPr>
        <w:pStyle w:val="ManualHeading2"/>
        <w:rPr>
          <w:noProof/>
          <w:szCs w:val="24"/>
        </w:rPr>
      </w:pPr>
      <w:r>
        <w:t>1.2.</w:t>
      </w:r>
      <w:r>
        <w:tab/>
      </w:r>
      <w:r>
        <w:rPr>
          <w:noProof/>
        </w:rPr>
        <w:t>Policy area(s) concerned in the ABM/ABB structure</w:t>
      </w:r>
      <w:r>
        <w:rPr>
          <w:rStyle w:val="FootnoteReference"/>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Title 08 </w:t>
      </w:r>
      <w:r>
        <w:rPr>
          <w:noProof/>
          <w:sz w:val="23"/>
          <w:szCs w:val="23"/>
        </w:rPr>
        <w:t>Research and Innovation, Horizon 2020 Framework Programme.</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purpose of the present initiative is to allow Egypt to become a Participating State in PRIMA, whose strategic objective is to build research and innovation capacities and to develop knowledge and common innovative solutions for agro-food systems, to make them sustainable, and for integrated water provision and management in the Mediterranean area, to make those systems and that provision and management more climate resilient, efficient, cost-effective and environmentally and socially sustainable, and to contribute to solving water scarcity, food security, nutrition, health, well-being and migration problems upstream . </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view of achieving its objectives, PRIMA will be jointly undertaken by a number of Member States and third countries under the same terms and conditions. In order to ensure that Egypt participates in PRIMA on an equal footing with Member States and third countries associated to Horizon 2020, an International Agreement with the Union is required to extend the scope of the legal regime established by </w:t>
      </w:r>
      <w:r>
        <w:rPr>
          <w:rFonts w:eastAsia="Arial Unicode MS"/>
          <w:noProof/>
        </w:rPr>
        <w:t xml:space="preserve">Decision (EU) 2017/1324 </w:t>
      </w:r>
      <w:r>
        <w:rPr>
          <w:noProof/>
        </w:rPr>
        <w:t>to Egypt.</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present initiative will allow Egypt to become a Participating State in PRIMA, and thus engaged on an equal footing with Member States and third countries associated to Horizon 2020. In accordance with the provisions of </w:t>
      </w:r>
      <w:r>
        <w:rPr>
          <w:rFonts w:eastAsia="Arial Unicode MS"/>
          <w:noProof/>
        </w:rPr>
        <w:t>Decision (EU) 2017/1324</w:t>
      </w:r>
      <w:r>
        <w:rPr>
          <w:noProof/>
        </w:rPr>
        <w:t>, Egyptian legal entities would be automatically eligible to apply for EU funding in projects funded from the EU budget.</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Bdr>
          <w:top w:val="single" w:sz="4" w:space="1" w:color="auto"/>
          <w:left w:val="single" w:sz="4" w:space="4" w:color="auto"/>
          <w:bottom w:val="single" w:sz="4" w:space="1" w:color="auto"/>
          <w:right w:val="single" w:sz="4" w:space="4" w:color="auto"/>
        </w:pBdr>
        <w:ind w:left="850"/>
        <w:rPr>
          <w:noProof/>
        </w:rPr>
      </w:pPr>
      <w:r>
        <w:rPr>
          <w:noProof/>
        </w:rPr>
        <w:t>The purpose of the present initiative is to allow the participation of Egypt in PRIMA. The indicators of results and impact of the present initiative are thus strictly linked with those for the PRIMA initiative as a whole, as specified in the corresponding Commission proposal.</w:t>
      </w:r>
      <w:r>
        <w:rPr>
          <w:rStyle w:val="FootnoteReference"/>
          <w:noProof/>
        </w:rPr>
        <w:footnoteReference w:id="10"/>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 and to the PRIMA Impact Assessment Report, accompanying this Commission proposal.</w:t>
      </w:r>
      <w:r>
        <w:rPr>
          <w:rStyle w:val="FootnoteReference"/>
          <w:noProof/>
        </w:rPr>
        <w:footnoteReference w:id="11"/>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There are no precedents for this intiative, since PRIMA is the first intiative of its kind to count with participation of third countries not associated to EU Research Framewrok Programme on an equal footing with Member States and thus requiring the conclusion of international agreements with the Union for their participation.</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FE"/>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FE"/>
      </w:r>
      <w:r>
        <w:rPr>
          <w:noProof/>
        </w:rPr>
        <w:tab/>
        <w:t xml:space="preserve">Proposal/initiative in effect from the date of provisional application of the Agreement and for as long as </w:t>
      </w:r>
      <w:r>
        <w:rPr>
          <w:rFonts w:eastAsia="Arial Unicode MS"/>
          <w:noProof/>
        </w:rPr>
        <w:t xml:space="preserve">Decision (EU) 2017/1324 </w:t>
      </w:r>
      <w:r>
        <w:rPr>
          <w:noProof/>
        </w:rPr>
        <w:t>is in force (31/12/2028).</w:t>
      </w:r>
    </w:p>
    <w:p>
      <w:pPr>
        <w:pStyle w:val="ListDash2"/>
        <w:numPr>
          <w:ilvl w:val="0"/>
          <w:numId w:val="9"/>
        </w:numPr>
        <w:rPr>
          <w:noProof/>
        </w:rPr>
      </w:pPr>
      <w:r>
        <w:rPr>
          <w:noProof/>
        </w:rPr>
        <w:sym w:font="Wingdings" w:char="F0FE"/>
      </w:r>
      <w:r>
        <w:rPr>
          <w:noProof/>
        </w:rPr>
        <w:tab/>
        <w:t xml:space="preserve">Financial impact from the date of provisional application of the Agreement until 31.12.2020 (during this period an arrangement implementing the Agreement is to be set up. After this period, no further activities are envisaged under the Agreement). </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2"/>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sz w:val="23"/>
          <w:szCs w:val="23"/>
        </w:rPr>
        <w:t>A new legal entity will be established - dedicated exclusively to the PRIMA implementation. The EU financial contribution to PRIMA will be provided through this structure.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3"/>
        <w:rPr>
          <w:bCs/>
          <w:noProof/>
          <w:szCs w:val="24"/>
        </w:rPr>
      </w:pPr>
      <w:r>
        <w:t>2.2.2.</w:t>
      </w:r>
      <w:r>
        <w:tab/>
      </w:r>
      <w:r>
        <w:rPr>
          <w:noProof/>
        </w:rPr>
        <w:t>Information concerning the internal control system set up</w:t>
      </w:r>
    </w:p>
    <w:p>
      <w:pPr>
        <w:pBdr>
          <w:top w:val="single" w:sz="4" w:space="1" w:color="auto"/>
          <w:left w:val="single" w:sz="4" w:space="4" w:color="auto"/>
          <w:bottom w:val="single" w:sz="4" w:space="1" w:color="auto"/>
          <w:right w:val="single" w:sz="4" w:space="4" w:color="auto"/>
        </w:pBdr>
        <w:ind w:left="850"/>
        <w:rPr>
          <w:noProof/>
        </w:rPr>
      </w:pPr>
      <w:r>
        <w:rPr>
          <w:noProof/>
        </w:rPr>
        <w:t>Please refer to the Commission proposal for an Article185 TFEU PRIMA initiative mentioned in the previous sections.</w:t>
      </w:r>
    </w:p>
    <w:p>
      <w:pPr>
        <w:pStyle w:val="ManualHeading3"/>
        <w:rPr>
          <w:noProof/>
        </w:rPr>
      </w:pPr>
      <w:r>
        <w:t>2.2.3.</w:t>
      </w:r>
      <w:r>
        <w:tab/>
      </w:r>
      <w:r>
        <w:rPr>
          <w:noProof/>
        </w:rPr>
        <w:t xml:space="preserve">Estimate of the costs and benefits of the controls and assessment of the expected level of risk of error </w:t>
      </w:r>
    </w:p>
    <w:p>
      <w:pPr>
        <w:pBdr>
          <w:top w:val="single" w:sz="4" w:space="1" w:color="auto"/>
          <w:left w:val="single" w:sz="4" w:space="4" w:color="auto"/>
          <w:bottom w:val="single" w:sz="4" w:space="1" w:color="auto"/>
          <w:right w:val="single" w:sz="4" w:space="4" w:color="auto"/>
        </w:pBdr>
        <w:ind w:left="850"/>
        <w:rPr>
          <w:noProof/>
        </w:rPr>
      </w:pPr>
      <w:r>
        <w:rPr>
          <w:noProof/>
        </w:rPr>
        <w:t>Please refer to the Commission proposal for an Article185 TFEU PRIMA initiative mentioned in the previous sections.</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to be concluded between the EU and Egypt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szCs w:val="20"/>
              </w:rPr>
              <w:t xml:space="preserve">Heading 1a - Competitiveness for growth and jobs </w:t>
            </w:r>
          </w:p>
          <w:p>
            <w:pPr>
              <w:rPr>
                <w:noProof/>
                <w:sz w:val="22"/>
              </w:rPr>
            </w:pPr>
          </w:p>
        </w:tc>
        <w:tc>
          <w:tcPr>
            <w:tcW w:w="1080" w:type="dxa"/>
            <w:vAlign w:val="center"/>
          </w:tcPr>
          <w:p>
            <w:pPr>
              <w:jc w:val="center"/>
              <w:rPr>
                <w:noProof/>
                <w:sz w:val="22"/>
              </w:rPr>
            </w:pPr>
            <w:r>
              <w:rPr>
                <w:noProof/>
                <w:sz w:val="18"/>
              </w:rPr>
              <w:t>Diff./Non-diff.</w:t>
            </w:r>
            <w:r>
              <w:rPr>
                <w:rStyle w:val="FootnoteReference"/>
                <w:noProof/>
                <w:sz w:val="18"/>
              </w:rPr>
              <w:footnoteReference w:id="13"/>
            </w:r>
          </w:p>
        </w:tc>
        <w:tc>
          <w:tcPr>
            <w:tcW w:w="956" w:type="dxa"/>
            <w:vAlign w:val="center"/>
          </w:tcPr>
          <w:p>
            <w:pPr>
              <w:jc w:val="center"/>
              <w:rPr>
                <w:noProof/>
                <w:sz w:val="22"/>
              </w:rPr>
            </w:pPr>
            <w:r>
              <w:rPr>
                <w:noProof/>
                <w:sz w:val="18"/>
              </w:rPr>
              <w:t>from EFTA countries</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rFonts w:eastAsia="Calibri"/>
                <w:noProof/>
              </w:rPr>
              <w:t>08.01.05</w:t>
            </w:r>
          </w:p>
          <w:p>
            <w:pPr>
              <w:spacing w:after="60"/>
              <w:rPr>
                <w:noProof/>
                <w:sz w:val="22"/>
              </w:rPr>
            </w:pP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3"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 xml:space="preserve">EUR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'Competetiveness for growth and jobs'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800"/>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16"/>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302" w:type="dxa"/>
            <w:vAlign w:val="center"/>
          </w:tcPr>
          <w:p>
            <w:pPr>
              <w:jc w:val="center"/>
              <w:rPr>
                <w:noProof/>
                <w:sz w:val="20"/>
              </w:rPr>
            </w:pPr>
            <w:r>
              <w:rPr>
                <w:noProof/>
                <w:sz w:val="20"/>
              </w:rPr>
              <w:t>Year</w:t>
            </w:r>
            <w:r>
              <w:rPr>
                <w:noProof/>
                <w:sz w:val="22"/>
              </w:rPr>
              <w:br/>
            </w:r>
            <w:r>
              <w:rPr>
                <w:b/>
                <w:noProof/>
                <w:sz w:val="20"/>
              </w:rPr>
              <w:t>2021-2029</w:t>
            </w:r>
          </w:p>
        </w:tc>
        <w:tc>
          <w:tcPr>
            <w:tcW w:w="1800"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8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8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1302" w:type="dxa"/>
            <w:vAlign w:val="center"/>
          </w:tcPr>
          <w:p>
            <w:pPr>
              <w:spacing w:before="40" w:after="40"/>
              <w:jc w:val="right"/>
              <w:rPr>
                <w:noProof/>
                <w:sz w:val="20"/>
              </w:rPr>
            </w:pPr>
          </w:p>
        </w:tc>
        <w:tc>
          <w:tcPr>
            <w:tcW w:w="1800" w:type="dxa"/>
            <w:vAlign w:val="center"/>
          </w:tcPr>
          <w:p>
            <w:pPr>
              <w:spacing w:before="40" w:after="40"/>
              <w:jc w:val="right"/>
              <w:rPr>
                <w:noProof/>
                <w:sz w:val="20"/>
              </w:rPr>
            </w:pPr>
            <w:r>
              <w:rPr>
                <w:noProof/>
                <w:sz w:val="20"/>
              </w:rPr>
              <w:t>69000</w:t>
            </w: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RTD</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69000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302"/>
        <w:gridCol w:w="1800"/>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69000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69000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18"/>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302" w:type="dxa"/>
            <w:vAlign w:val="center"/>
          </w:tcPr>
          <w:p>
            <w:pPr>
              <w:jc w:val="center"/>
              <w:rPr>
                <w:noProof/>
                <w:sz w:val="20"/>
              </w:rPr>
            </w:pPr>
            <w:r>
              <w:rPr>
                <w:noProof/>
                <w:sz w:val="20"/>
              </w:rPr>
              <w:t>Year</w:t>
            </w:r>
            <w:r>
              <w:rPr>
                <w:noProof/>
                <w:sz w:val="22"/>
              </w:rPr>
              <w:br/>
            </w:r>
            <w:r>
              <w:rPr>
                <w:b/>
                <w:noProof/>
                <w:sz w:val="20"/>
              </w:rPr>
              <w:t>2021-2029</w:t>
            </w:r>
          </w:p>
        </w:tc>
        <w:tc>
          <w:tcPr>
            <w:tcW w:w="1800" w:type="dxa"/>
            <w:vAlign w:val="center"/>
          </w:tcPr>
          <w:p>
            <w:pPr>
              <w:jc w:val="center"/>
              <w:rPr>
                <w:b/>
                <w:noProof/>
                <w:sz w:val="20"/>
              </w:rPr>
            </w:pPr>
            <w:r>
              <w:rPr>
                <w:b/>
                <w:noProof/>
                <w:sz w:val="20"/>
              </w:rPr>
              <w:t>TOTAL</w:t>
            </w:r>
          </w:p>
        </w:tc>
      </w:tr>
      <w:tr>
        <w:trPr>
          <w:gridAfter w:val="7"/>
          <w:wAfter w:w="7800" w:type="dxa"/>
        </w:trPr>
        <w:tc>
          <w:tcPr>
            <w:tcW w:w="3960" w:type="dxa"/>
            <w:vAlign w:val="center"/>
          </w:tcPr>
          <w:p>
            <w:pPr>
              <w:spacing w:before="60" w:after="60"/>
              <w:jc w:val="center"/>
              <w:rPr>
                <w:noProof/>
                <w:sz w:val="22"/>
              </w:rPr>
            </w:pPr>
            <w:r>
              <w:rPr>
                <w:noProof/>
                <w:sz w:val="22"/>
              </w:rPr>
              <w:t>DG: &lt;RTD.&gt;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line="276" w:lineRule="auto"/>
              <w:jc w:val="right"/>
              <w:rPr>
                <w:noProof/>
                <w:sz w:val="20"/>
                <w:lang w:val="en-US"/>
              </w:rPr>
            </w:pPr>
            <w:r>
              <w:rPr>
                <w:noProof/>
                <w:sz w:val="20"/>
                <w:lang w:val="en-US"/>
              </w:rPr>
              <w:t>4600</w:t>
            </w:r>
          </w:p>
        </w:tc>
        <w:tc>
          <w:tcPr>
            <w:tcW w:w="868" w:type="dxa"/>
            <w:vAlign w:val="center"/>
          </w:tcPr>
          <w:p>
            <w:pPr>
              <w:spacing w:before="20" w:after="20" w:line="276" w:lineRule="auto"/>
              <w:jc w:val="right"/>
              <w:rPr>
                <w:noProof/>
                <w:sz w:val="20"/>
                <w:lang w:val="en-US"/>
              </w:rPr>
            </w:pPr>
            <w:r>
              <w:rPr>
                <w:noProof/>
                <w:sz w:val="20"/>
                <w:lang w:val="en-US"/>
              </w:rPr>
              <w:t>4600</w:t>
            </w:r>
          </w:p>
        </w:tc>
        <w:tc>
          <w:tcPr>
            <w:tcW w:w="868" w:type="dxa"/>
            <w:vAlign w:val="center"/>
          </w:tcPr>
          <w:p>
            <w:pPr>
              <w:spacing w:before="20" w:after="20" w:line="276" w:lineRule="auto"/>
              <w:jc w:val="right"/>
              <w:rPr>
                <w:noProof/>
                <w:sz w:val="20"/>
                <w:lang w:val="en-US"/>
              </w:rPr>
            </w:pPr>
            <w:r>
              <w:rPr>
                <w:noProof/>
                <w:sz w:val="20"/>
                <w:lang w:val="en-US"/>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noProof/>
                <w:sz w:val="20"/>
              </w:rPr>
              <w:t>13800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302"/>
        <w:gridCol w:w="1800"/>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13800</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19"/>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302" w:type="dxa"/>
            <w:vAlign w:val="center"/>
          </w:tcPr>
          <w:p>
            <w:pPr>
              <w:jc w:val="center"/>
              <w:rPr>
                <w:noProof/>
                <w:sz w:val="20"/>
              </w:rPr>
            </w:pPr>
            <w:r>
              <w:rPr>
                <w:noProof/>
                <w:sz w:val="20"/>
              </w:rPr>
              <w:t>Year</w:t>
            </w:r>
            <w:r>
              <w:rPr>
                <w:noProof/>
                <w:sz w:val="22"/>
              </w:rPr>
              <w:br/>
            </w:r>
            <w:r>
              <w:rPr>
                <w:b/>
                <w:noProof/>
                <w:sz w:val="20"/>
              </w:rPr>
              <w:t>2021-2029</w:t>
            </w:r>
          </w:p>
        </w:tc>
        <w:tc>
          <w:tcPr>
            <w:tcW w:w="1800"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 xml:space="preserve">Commitment appropriations in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2018</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20" w:after="20" w:line="276" w:lineRule="auto"/>
              <w:jc w:val="right"/>
              <w:rPr>
                <w:noProof/>
                <w:sz w:val="20"/>
                <w:lang w:val="en-US"/>
              </w:rPr>
            </w:pPr>
            <w:r>
              <w:rPr>
                <w:noProof/>
                <w:sz w:val="20"/>
                <w:lang w:val="en-US"/>
              </w:rPr>
              <w:t>4600</w:t>
            </w:r>
          </w:p>
        </w:tc>
        <w:tc>
          <w:tcPr>
            <w:tcW w:w="1080" w:type="dxa"/>
            <w:vAlign w:val="center"/>
          </w:tcPr>
          <w:p>
            <w:pPr>
              <w:spacing w:before="20" w:after="20" w:line="276" w:lineRule="auto"/>
              <w:jc w:val="right"/>
              <w:rPr>
                <w:noProof/>
                <w:sz w:val="20"/>
                <w:lang w:val="en-US"/>
              </w:rPr>
            </w:pPr>
            <w:r>
              <w:rPr>
                <w:noProof/>
                <w:sz w:val="20"/>
                <w:lang w:val="en-US"/>
              </w:rPr>
              <w:t>4600</w:t>
            </w:r>
          </w:p>
        </w:tc>
        <w:tc>
          <w:tcPr>
            <w:tcW w:w="1080" w:type="dxa"/>
            <w:vAlign w:val="center"/>
          </w:tcPr>
          <w:p>
            <w:pPr>
              <w:spacing w:before="20" w:after="20" w:line="276" w:lineRule="auto"/>
              <w:jc w:val="right"/>
              <w:rPr>
                <w:noProof/>
                <w:sz w:val="20"/>
                <w:lang w:val="en-US"/>
              </w:rPr>
            </w:pPr>
            <w:r>
              <w:rPr>
                <w:noProof/>
                <w:sz w:val="20"/>
                <w:lang w:val="en-US"/>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20" w:after="20" w:line="276" w:lineRule="auto"/>
              <w:jc w:val="right"/>
              <w:rPr>
                <w:b/>
                <w:noProof/>
                <w:sz w:val="20"/>
                <w:lang w:val="en-US"/>
              </w:rPr>
            </w:pPr>
            <w:r>
              <w:rPr>
                <w:b/>
                <w:noProof/>
                <w:sz w:val="20"/>
                <w:lang w:val="en-US"/>
              </w:rPr>
              <w:t>4600</w:t>
            </w:r>
          </w:p>
        </w:tc>
        <w:tc>
          <w:tcPr>
            <w:tcW w:w="1080" w:type="dxa"/>
            <w:vAlign w:val="center"/>
          </w:tcPr>
          <w:p>
            <w:pPr>
              <w:spacing w:before="20" w:after="20" w:line="276" w:lineRule="auto"/>
              <w:jc w:val="right"/>
              <w:rPr>
                <w:b/>
                <w:noProof/>
                <w:sz w:val="20"/>
                <w:lang w:val="en-US"/>
              </w:rPr>
            </w:pPr>
            <w:r>
              <w:rPr>
                <w:b/>
                <w:noProof/>
                <w:sz w:val="20"/>
                <w:lang w:val="en-US"/>
              </w:rPr>
              <w:t>4600</w:t>
            </w:r>
          </w:p>
        </w:tc>
        <w:tc>
          <w:tcPr>
            <w:tcW w:w="1080" w:type="dxa"/>
            <w:vAlign w:val="center"/>
          </w:tcPr>
          <w:p>
            <w:pPr>
              <w:spacing w:before="20" w:after="20" w:line="276" w:lineRule="auto"/>
              <w:jc w:val="right"/>
              <w:rPr>
                <w:b/>
                <w:noProof/>
                <w:sz w:val="20"/>
                <w:lang w:val="en-US"/>
              </w:rPr>
            </w:pPr>
            <w:r>
              <w:rPr>
                <w:b/>
                <w:noProof/>
                <w:sz w:val="20"/>
                <w:lang w:val="en-US"/>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3"/>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20"/>
                <w:szCs w:val="20"/>
              </w:rPr>
            </w:pPr>
            <w:r>
              <w:rPr>
                <w:noProof/>
                <w:sz w:val="20"/>
                <w:szCs w:val="20"/>
              </w:rPr>
              <w:t>23000</w:t>
            </w:r>
          </w:p>
        </w:tc>
        <w:tc>
          <w:tcPr>
            <w:tcW w:w="1080" w:type="dxa"/>
            <w:vAlign w:val="center"/>
          </w:tcPr>
          <w:p>
            <w:pPr>
              <w:spacing w:before="60" w:after="60" w:line="200" w:lineRule="exact"/>
              <w:jc w:val="right"/>
              <w:rPr>
                <w:noProof/>
                <w:sz w:val="20"/>
                <w:szCs w:val="20"/>
              </w:rPr>
            </w:pPr>
            <w:r>
              <w:rPr>
                <w:noProof/>
                <w:sz w:val="20"/>
                <w:szCs w:val="20"/>
              </w:rPr>
              <w:t>23000</w:t>
            </w:r>
          </w:p>
        </w:tc>
        <w:tc>
          <w:tcPr>
            <w:tcW w:w="1080" w:type="dxa"/>
            <w:vAlign w:val="center"/>
          </w:tcPr>
          <w:p>
            <w:pPr>
              <w:spacing w:before="60" w:after="60" w:line="200" w:lineRule="exact"/>
              <w:jc w:val="right"/>
              <w:rPr>
                <w:noProof/>
                <w:sz w:val="20"/>
                <w:szCs w:val="20"/>
              </w:rPr>
            </w:pPr>
            <w:r>
              <w:rPr>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sz w:val="20"/>
                <w:szCs w:val="20"/>
              </w:rPr>
            </w:pPr>
            <w:r>
              <w:rPr>
                <w:b/>
                <w:noProof/>
                <w:sz w:val="20"/>
                <w:szCs w:val="20"/>
              </w:rPr>
              <w:t>23000</w:t>
            </w:r>
          </w:p>
        </w:tc>
        <w:tc>
          <w:tcPr>
            <w:tcW w:w="1080" w:type="dxa"/>
            <w:vAlign w:val="center"/>
          </w:tcPr>
          <w:p>
            <w:pPr>
              <w:spacing w:before="60" w:after="60" w:line="200" w:lineRule="exact"/>
              <w:jc w:val="right"/>
              <w:rPr>
                <w:b/>
                <w:noProof/>
                <w:sz w:val="20"/>
                <w:szCs w:val="20"/>
              </w:rPr>
            </w:pPr>
            <w:r>
              <w:rPr>
                <w:b/>
                <w:noProof/>
                <w:sz w:val="20"/>
                <w:szCs w:val="20"/>
              </w:rPr>
              <w:t>23000</w:t>
            </w:r>
          </w:p>
        </w:tc>
        <w:tc>
          <w:tcPr>
            <w:tcW w:w="1080" w:type="dxa"/>
            <w:vAlign w:val="center"/>
          </w:tcPr>
          <w:p>
            <w:pPr>
              <w:spacing w:before="60" w:after="60" w:line="200" w:lineRule="exact"/>
              <w:jc w:val="right"/>
              <w:rPr>
                <w:b/>
                <w:noProof/>
                <w:sz w:val="20"/>
                <w:szCs w:val="20"/>
              </w:rPr>
            </w:pPr>
            <w:r>
              <w:rPr>
                <w:b/>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lang w:val="en-US"/>
              </w:rPr>
            </w:pPr>
            <w:r>
              <w:rPr>
                <w:b/>
                <w:noProof/>
                <w:sz w:val="20"/>
                <w:szCs w:val="20"/>
                <w:lang w:val="en-US"/>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lang w:val="en-US"/>
              </w:rPr>
            </w:pPr>
            <w:r>
              <w:rPr>
                <w:b/>
                <w:noProof/>
                <w:sz w:val="20"/>
                <w:szCs w:val="20"/>
                <w:lang w:val="en-US"/>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lang w:val="en-US"/>
              </w:rPr>
            </w:pPr>
            <w:r>
              <w:rPr>
                <w:b/>
                <w:noProof/>
                <w:sz w:val="20"/>
                <w:szCs w:val="20"/>
                <w:lang w:val="en-US"/>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1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2"/>
        <w:gridCol w:w="1954"/>
        <w:gridCol w:w="1022"/>
        <w:gridCol w:w="1199"/>
        <w:gridCol w:w="1321"/>
        <w:gridCol w:w="2129"/>
      </w:tblGrid>
      <w:tr>
        <w:trPr>
          <w:gridBefore w:val="1"/>
          <w:wBefore w:w="6" w:type="pct"/>
          <w:trHeight w:val="289"/>
          <w:jc w:val="center"/>
        </w:trPr>
        <w:tc>
          <w:tcPr>
            <w:tcW w:w="2037" w:type="pct"/>
            <w:gridSpan w:val="2"/>
            <w:shd w:val="clear" w:color="auto" w:fill="auto"/>
          </w:tcPr>
          <w:p>
            <w:pPr>
              <w:pStyle w:val="Text1"/>
              <w:spacing w:before="40" w:after="40"/>
              <w:ind w:left="0"/>
              <w:jc w:val="center"/>
              <w:rPr>
                <w:i/>
                <w:noProof/>
                <w:sz w:val="16"/>
                <w:szCs w:val="16"/>
              </w:rPr>
            </w:pPr>
          </w:p>
        </w:tc>
        <w:tc>
          <w:tcPr>
            <w:tcW w:w="533"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2018</w:t>
            </w:r>
          </w:p>
        </w:tc>
        <w:tc>
          <w:tcPr>
            <w:tcW w:w="625"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689" w:type="pct"/>
            <w:shd w:val="clear" w:color="auto" w:fill="auto"/>
            <w:vAlign w:val="center"/>
          </w:tcPr>
          <w:p>
            <w:pPr>
              <w:spacing w:before="20" w:after="20"/>
              <w:jc w:val="center"/>
              <w:rPr>
                <w:noProof/>
                <w:sz w:val="16"/>
                <w:szCs w:val="16"/>
              </w:rPr>
            </w:pPr>
            <w:r>
              <w:rPr>
                <w:noProof/>
                <w:sz w:val="16"/>
                <w:szCs w:val="16"/>
              </w:rPr>
              <w:t xml:space="preserve">Year </w:t>
            </w:r>
          </w:p>
          <w:p>
            <w:pPr>
              <w:spacing w:before="20" w:after="20"/>
              <w:jc w:val="center"/>
              <w:rPr>
                <w:noProof/>
                <w:sz w:val="16"/>
                <w:szCs w:val="16"/>
              </w:rPr>
            </w:pPr>
            <w:r>
              <w:rPr>
                <w:b/>
                <w:noProof/>
                <w:sz w:val="16"/>
                <w:szCs w:val="16"/>
              </w:rPr>
              <w:t>2020</w:t>
            </w:r>
          </w:p>
        </w:tc>
        <w:tc>
          <w:tcPr>
            <w:tcW w:w="1110" w:type="pct"/>
            <w:shd w:val="clear" w:color="auto" w:fill="auto"/>
            <w:vAlign w:val="center"/>
          </w:tcPr>
          <w:p>
            <w:pPr>
              <w:spacing w:before="20" w:after="20"/>
              <w:jc w:val="center"/>
              <w:rPr>
                <w:noProof/>
                <w:sz w:val="16"/>
                <w:szCs w:val="16"/>
              </w:rPr>
            </w:pPr>
            <w:r>
              <w:rPr>
                <w:noProof/>
                <w:sz w:val="16"/>
                <w:szCs w:val="16"/>
              </w:rPr>
              <w:t xml:space="preserve">Year </w:t>
            </w:r>
          </w:p>
          <w:p>
            <w:pPr>
              <w:spacing w:before="20" w:after="20"/>
              <w:jc w:val="center"/>
              <w:rPr>
                <w:b/>
                <w:noProof/>
                <w:sz w:val="16"/>
                <w:szCs w:val="16"/>
              </w:rPr>
            </w:pPr>
            <w:r>
              <w:rPr>
                <w:b/>
                <w:noProof/>
                <w:sz w:val="16"/>
                <w:szCs w:val="16"/>
              </w:rPr>
              <w:t xml:space="preserve">2021-2029 </w:t>
            </w:r>
          </w:p>
        </w:tc>
      </w:tr>
      <w:tr>
        <w:trPr>
          <w:gridBefore w:val="1"/>
          <w:wBefore w:w="6" w:type="pct"/>
          <w:trHeight w:val="289"/>
          <w:jc w:val="center"/>
        </w:trPr>
        <w:tc>
          <w:tcPr>
            <w:tcW w:w="388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1110" w:type="pct"/>
            <w:shd w:val="clear" w:color="auto" w:fill="auto"/>
            <w:vAlign w:val="center"/>
          </w:tcPr>
          <w:p>
            <w:pPr>
              <w:spacing w:before="20" w:after="20"/>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(Indirect research)</w:t>
            </w:r>
          </w:p>
        </w:tc>
        <w:tc>
          <w:tcPr>
            <w:tcW w:w="533" w:type="pct"/>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625" w:type="pct"/>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689" w:type="pct"/>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After w:val="1"/>
          <w:wAfter w:w="1110" w:type="pct"/>
          <w:trHeight w:val="248"/>
          <w:jc w:val="center"/>
        </w:trPr>
        <w:tc>
          <w:tcPr>
            <w:tcW w:w="389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4"/>
            </w:r>
          </w:p>
          <w:p>
            <w:pPr>
              <w:pStyle w:val="Text1"/>
              <w:spacing w:before="0" w:after="0"/>
              <w:ind w:left="0"/>
              <w:jc w:val="left"/>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01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101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533" w:type="pct"/>
            <w:shd w:val="clear" w:color="auto" w:fill="auto"/>
            <w:vAlign w:val="center"/>
          </w:tcPr>
          <w:p>
            <w:pPr>
              <w:pStyle w:val="Text1"/>
              <w:spacing w:beforeLines="20" w:before="48" w:afterLines="20" w:after="48"/>
              <w:ind w:left="0"/>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018" w:type="pct"/>
            <w:vMerge/>
            <w:shd w:val="clear" w:color="auto" w:fill="auto"/>
            <w:vAlign w:val="center"/>
          </w:tcPr>
          <w:p>
            <w:pPr>
              <w:pStyle w:val="Text1"/>
              <w:spacing w:beforeLines="20" w:before="48" w:afterLines="20" w:after="48"/>
              <w:ind w:left="136"/>
              <w:jc w:val="left"/>
              <w:rPr>
                <w:b/>
                <w:noProof/>
                <w:sz w:val="16"/>
                <w:szCs w:val="16"/>
              </w:rPr>
            </w:pPr>
          </w:p>
        </w:tc>
        <w:tc>
          <w:tcPr>
            <w:tcW w:w="101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533" w:type="pct"/>
            <w:shd w:val="clear" w:color="auto" w:fill="auto"/>
            <w:vAlign w:val="center"/>
          </w:tcPr>
          <w:p>
            <w:pPr>
              <w:pStyle w:val="Text1"/>
              <w:spacing w:beforeLines="20" w:before="48" w:afterLines="20" w:after="48"/>
              <w:ind w:left="0"/>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2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8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1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533" w:type="pct"/>
            <w:tcBorders>
              <w:top w:val="double" w:sz="4" w:space="0" w:color="auto"/>
            </w:tcBorders>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625" w:type="pct"/>
            <w:tcBorders>
              <w:top w:val="double" w:sz="4" w:space="0" w:color="auto"/>
            </w:tcBorders>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689" w:type="pct"/>
            <w:tcBorders>
              <w:top w:val="double" w:sz="4" w:space="0" w:color="auto"/>
            </w:tcBorders>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111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tabs>
                <w:tab w:val="left" w:pos="937"/>
              </w:tabs>
              <w:rPr>
                <w:noProof/>
                <w:sz w:val="20"/>
              </w:rPr>
            </w:pPr>
            <w:r>
              <w:rPr>
                <w:noProof/>
                <w:sz w:val="20"/>
              </w:rPr>
              <w:t>Preparation and conclusion of administrative arrangement with Egyptian authorities for assistance regarding protection of EU financial interests, as provided for Article 2 of the Agreement.</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rPr>
      </w:pPr>
      <w:r>
        <w:rPr>
          <w:noProof/>
        </w:rPr>
        <w:sym w:font="Wingdings" w:char="F0FE"/>
      </w:r>
      <w:r>
        <w:rPr>
          <w:noProof/>
        </w:rPr>
        <w:t xml:space="preserve"> 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 xml:space="preserve">Appropriations in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18.10.2016.</w:t>
      </w:r>
    </w:p>
  </w:footnote>
  <w:footnote w:id="2">
    <w:p>
      <w:pPr>
        <w:pStyle w:val="FootnoteText"/>
      </w:pPr>
      <w:r>
        <w:rPr>
          <w:rStyle w:val="FootnoteReference"/>
        </w:rPr>
        <w:footnoteRef/>
      </w:r>
      <w:r>
        <w:tab/>
        <w:t>Decision (EU) 2017/1324 of the European Parliament and of the Council</w:t>
      </w:r>
      <w:r>
        <w:rPr>
          <w:vertAlign w:val="superscript"/>
        </w:rPr>
        <w:t xml:space="preserve"> </w:t>
      </w:r>
      <w:r>
        <w:t>of 4 July 2017 on the participation of the Union in the Partnership for Research and Innovation in the Mediterranean Area ('PRIMA') jointly undertaken by several Member States (OJ L 185, 18.07.2017, p. 1).</w:t>
      </w:r>
    </w:p>
  </w:footnote>
  <w:footnote w:id="3">
    <w:p>
      <w:pPr>
        <w:pStyle w:val="FootnoteText"/>
        <w:rPr>
          <w:lang w:val="pt-PT"/>
        </w:rPr>
      </w:pPr>
      <w:r>
        <w:rPr>
          <w:rStyle w:val="FootnoteReference"/>
        </w:rPr>
        <w:footnoteRef/>
      </w:r>
      <w:r>
        <w:rPr>
          <w:lang w:val="pt-PT"/>
        </w:rPr>
        <w:tab/>
        <w:t>SWD(2016)332 final, 18.10.2016.</w:t>
      </w:r>
    </w:p>
  </w:footnote>
  <w:footnote w:id="4">
    <w:p>
      <w:pPr>
        <w:pStyle w:val="FootnoteText"/>
        <w:rPr>
          <w:lang w:val="pt-PT"/>
        </w:rPr>
      </w:pPr>
      <w:r>
        <w:rPr>
          <w:rStyle w:val="FootnoteReference"/>
        </w:rPr>
        <w:footnoteRef/>
      </w:r>
      <w:r>
        <w:rPr>
          <w:lang w:val="pt-PT"/>
        </w:rPr>
        <w:tab/>
        <w:t>COM(2012) 497 final.</w:t>
      </w:r>
    </w:p>
  </w:footnote>
  <w:footnote w:id="5">
    <w:p>
      <w:pPr>
        <w:pStyle w:val="FootnoteText"/>
        <w:rPr>
          <w:lang w:val="pt-PT"/>
        </w:rPr>
      </w:pPr>
      <w:r>
        <w:rPr>
          <w:rStyle w:val="FootnoteReference"/>
        </w:rPr>
        <w:footnoteRef/>
      </w:r>
      <w:r>
        <w:rPr>
          <w:lang w:val="pt-PT"/>
        </w:rPr>
        <w:tab/>
        <w:t xml:space="preserve">OJ L304, 30/09/2004, p. 39 </w:t>
      </w:r>
    </w:p>
  </w:footnote>
  <w:footnote w:id="6">
    <w:p>
      <w:pPr>
        <w:pStyle w:val="FootnoteText"/>
      </w:pPr>
      <w:r>
        <w:rPr>
          <w:rStyle w:val="FootnoteReference"/>
        </w:rPr>
        <w:footnoteRef/>
      </w:r>
      <w:r>
        <w:tab/>
      </w:r>
      <w:r>
        <w:rPr>
          <w:iCs/>
        </w:rPr>
        <w:t xml:space="preserve">OJ L182, 13/07/2005, p. 12 </w:t>
      </w:r>
    </w:p>
  </w:footnote>
  <w:footnote w:id="7">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8">
    <w:p>
      <w:pPr>
        <w:pStyle w:val="FootnoteText"/>
        <w:rPr>
          <w:szCs w:val="24"/>
        </w:rPr>
      </w:pPr>
      <w:r>
        <w:rPr>
          <w:rStyle w:val="FootnoteReference"/>
        </w:rPr>
        <w:footnoteRef/>
      </w:r>
      <w:r>
        <w:tab/>
        <w:t>ABM: activity-based management; ABB: activity-based budgeting.</w:t>
      </w:r>
    </w:p>
  </w:footnote>
  <w:footnote w:id="9">
    <w:p>
      <w:pPr>
        <w:pStyle w:val="FootnoteText"/>
        <w:rPr>
          <w:szCs w:val="24"/>
        </w:rPr>
      </w:pPr>
      <w:r>
        <w:rPr>
          <w:rStyle w:val="FootnoteReference"/>
        </w:rPr>
        <w:footnoteRef/>
      </w:r>
      <w:r>
        <w:tab/>
        <w:t>As referred to in Article 54(2)(a) or (b) of the Financial Regulation.</w:t>
      </w:r>
    </w:p>
  </w:footnote>
  <w:footnote w:id="10">
    <w:p>
      <w:pPr>
        <w:pStyle w:val="FootnoteText"/>
      </w:pPr>
      <w:r>
        <w:rPr>
          <w:rStyle w:val="FootnoteReference"/>
        </w:rPr>
        <w:footnoteRef/>
      </w:r>
      <w:r>
        <w:tab/>
        <w:t>COM(2016) 662 final, 18.10.2016</w:t>
      </w:r>
    </w:p>
  </w:footnote>
  <w:footnote w:id="11">
    <w:p>
      <w:pPr>
        <w:pStyle w:val="FootnoteText"/>
      </w:pPr>
      <w:r>
        <w:rPr>
          <w:rStyle w:val="FootnoteReference"/>
        </w:rPr>
        <w:footnoteRef/>
      </w:r>
      <w:r>
        <w:tab/>
        <w:t>SWD(2016)332 final, 18.10.2016</w:t>
      </w:r>
    </w:p>
  </w:footnote>
  <w:footnote w:id="12">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3">
    <w:p>
      <w:pPr>
        <w:pStyle w:val="FootnoteText"/>
        <w:rPr>
          <w:szCs w:val="24"/>
        </w:rPr>
      </w:pPr>
      <w:r>
        <w:rPr>
          <w:rStyle w:val="FootnoteReference"/>
        </w:rPr>
        <w:footnoteRef/>
      </w:r>
      <w:r>
        <w:tab/>
        <w:t>Diff. = Differentiated appropriations / Non-diff. = Non-differentiated appropriations.</w:t>
      </w:r>
    </w:p>
  </w:footnote>
  <w:footnote w:id="14">
    <w:p>
      <w:pPr>
        <w:pStyle w:val="FootnoteText"/>
        <w:rPr>
          <w:szCs w:val="24"/>
        </w:rPr>
      </w:pPr>
      <w:r>
        <w:rPr>
          <w:rStyle w:val="FootnoteReference"/>
        </w:rPr>
        <w:footnoteRef/>
      </w:r>
      <w:r>
        <w:tab/>
        <w:t xml:space="preserve">EFTA: European Free Trade Association. </w:t>
      </w:r>
    </w:p>
  </w:footnote>
  <w:footnote w:id="15">
    <w:p>
      <w:pPr>
        <w:pStyle w:val="FootnoteText"/>
        <w:rPr>
          <w:szCs w:val="24"/>
        </w:rPr>
      </w:pPr>
      <w:r>
        <w:rPr>
          <w:rStyle w:val="FootnoteReference"/>
        </w:rPr>
        <w:footnoteRef/>
      </w:r>
      <w:r>
        <w:tab/>
        <w:t>Candidate countries and, where applicable, potential candidate countries from the Western Balkans.</w:t>
      </w:r>
    </w:p>
  </w:footnote>
  <w:footnote w:id="16">
    <w:p>
      <w:pPr>
        <w:pStyle w:val="FootnoteText"/>
        <w:rPr>
          <w:szCs w:val="24"/>
        </w:rPr>
      </w:pPr>
      <w:r>
        <w:rPr>
          <w:rStyle w:val="FootnoteReference"/>
        </w:rPr>
        <w:footnoteRef/>
      </w:r>
      <w:r>
        <w:tab/>
        <w:t>Year 2018 is the year in which implementation of the proposal/initiative starts.</w:t>
      </w:r>
    </w:p>
  </w:footnote>
  <w:footnote w:id="1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8">
    <w:p>
      <w:pPr>
        <w:pStyle w:val="FootnoteText"/>
        <w:rPr>
          <w:szCs w:val="24"/>
        </w:rPr>
      </w:pPr>
      <w:r>
        <w:rPr>
          <w:rStyle w:val="FootnoteReference"/>
        </w:rPr>
        <w:footnoteRef/>
      </w:r>
      <w:r>
        <w:tab/>
        <w:t>Year 2018 is the year in which implementation of the proposal/initiative starts.</w:t>
      </w:r>
    </w:p>
  </w:footnote>
  <w:footnote w:id="19">
    <w:p>
      <w:pPr>
        <w:pStyle w:val="FootnoteText"/>
        <w:rPr>
          <w:szCs w:val="24"/>
        </w:rPr>
      </w:pPr>
      <w:r>
        <w:rPr>
          <w:rStyle w:val="FootnoteReference"/>
        </w:rPr>
        <w:footnoteRef/>
      </w:r>
      <w:r>
        <w:tab/>
        <w:t>Year 2018 is the year in which implementation of the proposal/initiative starts.</w:t>
      </w:r>
    </w:p>
  </w:footnote>
  <w:footnote w:id="20">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1">
    <w:p>
      <w:pPr>
        <w:pStyle w:val="FootnoteText"/>
        <w:rPr>
          <w:szCs w:val="24"/>
        </w:rPr>
      </w:pPr>
      <w:r>
        <w:rPr>
          <w:rStyle w:val="FootnoteReference"/>
        </w:rPr>
        <w:footnoteRef/>
      </w:r>
      <w:r>
        <w:tab/>
        <w:t xml:space="preserve">As described in point 1.4.2. ‘Specific objective(s)…’ </w:t>
      </w:r>
    </w:p>
  </w:footnote>
  <w:footnote w:id="22">
    <w:p>
      <w:pPr>
        <w:pStyle w:val="FootnoteText"/>
        <w:rPr>
          <w:szCs w:val="24"/>
        </w:rPr>
      </w:pPr>
      <w:r>
        <w:rPr>
          <w:rStyle w:val="FootnoteReference"/>
        </w:rPr>
        <w:footnoteRef/>
      </w:r>
      <w:r>
        <w:tab/>
        <w:t>Year 2018 is the year in which implementation of the proposal/initiative starts.</w:t>
      </w:r>
    </w:p>
  </w:footnote>
  <w:footnote w:id="2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4">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5">
    <w:p>
      <w:pPr>
        <w:pStyle w:val="FootnoteText"/>
        <w:rPr>
          <w:szCs w:val="24"/>
        </w:rPr>
      </w:pPr>
      <w:r>
        <w:rPr>
          <w:rStyle w:val="FootnoteReference"/>
        </w:rPr>
        <w:footnoteRef/>
      </w:r>
      <w:r>
        <w:tab/>
        <w:t>Sub-ceiling for external staff covered by operational appropriations (former ‘BA’ lines).</w:t>
      </w:r>
    </w:p>
  </w:footnote>
  <w:footnote w:id="26">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CA4D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3A47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FC31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A4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160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13"/>
  </w:num>
  <w:num w:numId="10">
    <w:abstractNumId w:val="24"/>
    <w:lvlOverride w:ilvl="0">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 w:numId="29">
    <w:abstractNumId w:val="18"/>
  </w:num>
  <w:num w:numId="30">
    <w:abstractNumId w:val="10"/>
  </w:num>
  <w:num w:numId="31">
    <w:abstractNumId w:val="21"/>
  </w:num>
  <w:num w:numId="32">
    <w:abstractNumId w:val="9"/>
  </w:num>
  <w:num w:numId="33">
    <w:abstractNumId w:val="11"/>
  </w:num>
  <w:num w:numId="34">
    <w:abstractNumId w:val="7"/>
  </w:num>
  <w:num w:numId="35">
    <w:abstractNumId w:val="20"/>
  </w:num>
  <w:num w:numId="36">
    <w:abstractNumId w:val="6"/>
  </w:num>
  <w:num w:numId="37">
    <w:abstractNumId w:val="12"/>
  </w:num>
  <w:num w:numId="38">
    <w:abstractNumId w:val="16"/>
  </w:num>
  <w:num w:numId="39">
    <w:abstractNumId w:val="17"/>
  </w:num>
  <w:num w:numId="40">
    <w:abstractNumId w:val="8"/>
  </w:num>
  <w:num w:numId="41">
    <w:abstractNumId w:val="15"/>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13:49: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6E77F297F45E4BC789EF0411970C82B1"/>
    <w:docVar w:name="LW_CROSSREFERENCE" w:val="&lt;UNUSED&gt;"/>
    <w:docVar w:name="LW_DocType" w:val="COM"/>
    <w:docVar w:name="LW_EMISSION" w:val="11.8.2017"/>
    <w:docVar w:name="LW_EMISSION_ISODATE" w:val="2017-08-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5"/>
    <w:docVar w:name="LW_REF.II.NEW.CP_YEAR" w:val="2017"/>
    <w:docVar w:name="LW_REF.INST.NEW" w:val="COM"/>
    <w:docVar w:name="LW_REF.INST.NEW_ADOPTED" w:val="final"/>
    <w:docVar w:name="LW_REF.INST.NEW_TEXT" w:val="(2017) 429"/>
    <w:docVar w:name="LW_REF.INTERNE" w:val="&lt;UNUSED&gt;"/>
    <w:docVar w:name="LW_SOUS.TITRE.OBJ.CP" w:val="&lt;UNUSED&gt;"/>
    <w:docVar w:name="LW_STATUT.CP" w:val="Proposal for a"/>
    <w:docVar w:name="LW_SUPERTITRE" w:val="&lt;UNUSED&gt;"/>
    <w:docVar w:name="LW_TITRE.OBJ.CP" w:val="on the signing, on behalf of the Union, and provisional application of the Agreement for scientific and technological cooperation between the European Union and the Arab Republic of Egypt setting out the terms and conditions for participation of the Arab Republic of Egypt in the Partnership for Research and Innovation in the Mediterranean Area (PRIM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8009">
      <w:bodyDiv w:val="1"/>
      <w:marLeft w:val="0"/>
      <w:marRight w:val="0"/>
      <w:marTop w:val="0"/>
      <w:marBottom w:val="0"/>
      <w:divBdr>
        <w:top w:val="none" w:sz="0" w:space="0" w:color="auto"/>
        <w:left w:val="none" w:sz="0" w:space="0" w:color="auto"/>
        <w:bottom w:val="none" w:sz="0" w:space="0" w:color="auto"/>
        <w:right w:val="none" w:sz="0" w:space="0" w:color="auto"/>
      </w:divBdr>
    </w:div>
    <w:div w:id="149953879">
      <w:bodyDiv w:val="1"/>
      <w:marLeft w:val="0"/>
      <w:marRight w:val="0"/>
      <w:marTop w:val="0"/>
      <w:marBottom w:val="0"/>
      <w:divBdr>
        <w:top w:val="none" w:sz="0" w:space="0" w:color="auto"/>
        <w:left w:val="none" w:sz="0" w:space="0" w:color="auto"/>
        <w:bottom w:val="none" w:sz="0" w:space="0" w:color="auto"/>
        <w:right w:val="none" w:sz="0" w:space="0" w:color="auto"/>
      </w:divBdr>
    </w:div>
    <w:div w:id="1368263601">
      <w:bodyDiv w:val="1"/>
      <w:marLeft w:val="0"/>
      <w:marRight w:val="0"/>
      <w:marTop w:val="0"/>
      <w:marBottom w:val="0"/>
      <w:divBdr>
        <w:top w:val="none" w:sz="0" w:space="0" w:color="auto"/>
        <w:left w:val="none" w:sz="0" w:space="0" w:color="auto"/>
        <w:bottom w:val="none" w:sz="0" w:space="0" w:color="auto"/>
        <w:right w:val="none" w:sz="0" w:space="0" w:color="auto"/>
      </w:divBdr>
    </w:div>
    <w:div w:id="1676180161">
      <w:bodyDiv w:val="1"/>
      <w:marLeft w:val="0"/>
      <w:marRight w:val="0"/>
      <w:marTop w:val="0"/>
      <w:marBottom w:val="0"/>
      <w:divBdr>
        <w:top w:val="none" w:sz="0" w:space="0" w:color="auto"/>
        <w:left w:val="none" w:sz="0" w:space="0" w:color="auto"/>
        <w:bottom w:val="none" w:sz="0" w:space="0" w:color="auto"/>
        <w:right w:val="none" w:sz="0" w:space="0" w:color="auto"/>
      </w:divBdr>
    </w:div>
    <w:div w:id="1844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C951-F8F1-4327-B96C-9460A9D3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3986</Words>
  <Characters>22800</Characters>
  <Application>Microsoft Office Word</Application>
  <DocSecurity>0</DocSecurity>
  <Lines>1200</Lines>
  <Paragraphs>546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2017-07-19T15:30:00Z</cp:lastPrinted>
  <dcterms:created xsi:type="dcterms:W3CDTF">2017-08-04T10:17:00Z</dcterms:created>
  <dcterms:modified xsi:type="dcterms:W3CDTF">2017-08-09T11:49:00Z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