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A2392F0B80644F5B844B2B7D1ACA6D4" style="width:450.55pt;height:352.5pt">
            <v:imagedata r:id="rId9" o:title=""/>
          </v:shape>
        </w:pict>
      </w:r>
    </w:p>
    <w:p>
      <w:pPr>
        <w:rPr>
          <w:noProof/>
        </w:rPr>
        <w:sectPr>
          <w:footerReference w:type="default" r:id="rId10"/>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pBdr>
          <w:top w:val="nil"/>
          <w:left w:val="nil"/>
          <w:bottom w:val="nil"/>
          <w:right w:val="nil"/>
          <w:between w:val="nil"/>
          <w:bar w:val="nil"/>
        </w:pBdr>
        <w:spacing w:before="0" w:after="240"/>
        <w:rPr>
          <w:noProof/>
        </w:rPr>
      </w:pPr>
      <w:r>
        <w:rPr>
          <w:noProof/>
        </w:rPr>
        <w:t>В Регламент (ЕС) № 1380/2013</w:t>
      </w:r>
      <w:r>
        <w:rPr>
          <w:rStyle w:val="FootnoteReference"/>
          <w:noProof/>
        </w:rPr>
        <w:footnoteReference w:id="1"/>
      </w:r>
      <w:r>
        <w:rPr>
          <w:noProof/>
        </w:rPr>
        <w:t xml:space="preserve"> е предвидено постепенното въвеждане на задължение за разтоварване на целия улов на запасите, за които се прилагат ограничения на улова или минимален референтен размер за опазване („задължение за разтоварване“). Подробностите, свързани с изпълнението на това задължение, по принцип се определят в регионални многогодишни планове за управление, приети чрез процедура за съвместно вземане на решения. Независимо от това, предвид очакванията, че за приемането на многогодишните планове ще е необходимо известно време, с Регламент (ЕС) № 1380/2013 беше намерено временно решение, изразяващо се във възможността Комисията да приема за период от не повече от три години делегирани актове за установяване на планове за премахване на изхвърлянето на улов, изготвени въз основа на съвместни препоръки от заинтересованите държави членки. Тези планове могат да съдържат разпоредби относно риболовните дейности или видовете, които вече са обхванати от задължението за разтоварване, а в някои случаи могат да въвеждат това задължение преди крайния срок, установен в Регламент (ЕС) № 1380/2013, като в тях, наред с другото, се предвиждат минимални изключения и изключения въз основа на висока способност за оцеляване, разпоредби относно документирането на улова и, когато е целесъобразно, определяне на минимални референтни размери за опазване. </w:t>
      </w:r>
    </w:p>
    <w:p>
      <w:pPr>
        <w:pBdr>
          <w:top w:val="nil"/>
          <w:left w:val="nil"/>
          <w:bottom w:val="nil"/>
          <w:right w:val="nil"/>
          <w:between w:val="nil"/>
          <w:bar w:val="nil"/>
        </w:pBdr>
        <w:spacing w:before="0" w:after="240"/>
        <w:rPr>
          <w:noProof/>
        </w:rPr>
      </w:pPr>
      <w:r>
        <w:rPr>
          <w:noProof/>
        </w:rPr>
        <w:t xml:space="preserve">Първите делегирани регламенти на Комисията за установяване на планове за премахване на изхвърлянето на улов влязоха в сила на 1 януари 2015 г. и изтичат в края на 2017 г. След края на първоначалния тригодишен период по силата на Регламент (ЕС) № 1380/2013 Комисията се оправомощава да приема делегирани актове, съдържащи единствено минимални изключения, тъй като за постигане на целта за устойчиво използване на морските биологични ресурси следва принципно да се използват многогодишните планове, които отразяват особеностите на различните видове риболов и следва да съдържат необходимите правомощия за приемането на делегирани актове, включително на другите възможности за гъвкавост, необходими за безпрепятственото изпълнение на задължението за разтоварване. </w:t>
      </w:r>
    </w:p>
    <w:p>
      <w:pPr>
        <w:pBdr>
          <w:top w:val="nil"/>
          <w:left w:val="nil"/>
          <w:bottom w:val="nil"/>
          <w:right w:val="nil"/>
          <w:between w:val="nil"/>
          <w:bar w:val="nil"/>
        </w:pBdr>
        <w:spacing w:before="0" w:after="240"/>
        <w:rPr>
          <w:noProof/>
        </w:rPr>
      </w:pPr>
      <w:r>
        <w:rPr>
          <w:noProof/>
        </w:rPr>
        <w:t>До момента е въведен само многогодишният план за Балтийско море</w:t>
      </w:r>
      <w:r>
        <w:rPr>
          <w:rStyle w:val="FootnoteReference"/>
          <w:noProof/>
        </w:rPr>
        <w:footnoteReference w:id="2"/>
      </w:r>
      <w:r>
        <w:rPr>
          <w:noProof/>
        </w:rPr>
        <w:t>, като понастоящем съзаконодателите обсъждат две предложения на Комисията за многогодишен план за дънните запаси в Северно море и за дребните пелагични видове в Адриатическо море</w:t>
      </w:r>
      <w:r>
        <w:rPr>
          <w:rStyle w:val="FootnoteReference"/>
          <w:noProof/>
        </w:rPr>
        <w:footnoteReference w:id="3"/>
      </w:r>
      <w:r>
        <w:rPr>
          <w:noProof/>
        </w:rPr>
        <w:t xml:space="preserve">. Във връзка с това е необходимо Комисията да бъде оправомощена да приема планове за премахване на изхвърлянето на улов за нов период от общо не повече от три години, за да се улесни изпълнението на задължението за разтоварване.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 xml:space="preserve">Настоящото предложение е свързано със задължението за разтоварване, което е основна разпоредба на реформираната обща политика в областта на рибарството. Неговата цел е да се улесни безпрепятственото изпълнение на това задължение, като Комисията бъде оправомощена да приема посредством делегирани актове необходимите разпоредби за гъвкавост до влизането в сила на регионални многогодишни планове, приети чрез процедурата за съвместно вземане на решения.   </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pBdr>
          <w:top w:val="nil"/>
          <w:left w:val="nil"/>
          <w:bottom w:val="nil"/>
          <w:right w:val="nil"/>
          <w:between w:val="nil"/>
          <w:bar w:val="nil"/>
        </w:pBdr>
        <w:spacing w:before="0" w:after="240"/>
        <w:rPr>
          <w:noProof/>
        </w:rPr>
      </w:pPr>
      <w:r>
        <w:rPr>
          <w:noProof/>
        </w:rPr>
        <w:t xml:space="preserve">Целта на предложението е да се подпомогне безпрепятственото изпълнение на задължението за разтоварване, с което ще се повиши селективността и ще се намали нежеланият улов. По този начин то ще допринесе за екологичната, социалната и икономическата устойчивост, които са ключови цели на няколко политики на Съюза.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pBdr>
          <w:top w:val="nil"/>
          <w:left w:val="nil"/>
          <w:bottom w:val="nil"/>
          <w:right w:val="nil"/>
          <w:between w:val="nil"/>
          <w:bar w:val="nil"/>
        </w:pBdr>
        <w:spacing w:before="0" w:after="240"/>
        <w:rPr>
          <w:noProof/>
        </w:rPr>
      </w:pPr>
      <w:r>
        <w:rPr>
          <w:noProof/>
        </w:rPr>
        <w:t>Правното основание на предложението е член 43, параграф 2 от Договора за функционирането на Европейския съюз, съгласно който Европейският парламент и Съветът, като действат в съответствие с обикновената законодателна процедура, могат да приемат разпоредби, необходими за постигането на целите на общата политика в областта на рибарството.</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pBdr>
          <w:top w:val="nil"/>
          <w:left w:val="nil"/>
          <w:bottom w:val="nil"/>
          <w:right w:val="nil"/>
          <w:between w:val="nil"/>
          <w:bar w:val="nil"/>
        </w:pBdr>
        <w:spacing w:before="0" w:after="240"/>
        <w:rPr>
          <w:rFonts w:eastAsia="Arial Unicode MS"/>
          <w:noProof/>
        </w:rPr>
      </w:pPr>
      <w:r>
        <w:rPr>
          <w:noProof/>
        </w:rPr>
        <w:t>Не се прилага, тъй като предложението попада в обхвата на изключителната компетентност на ЕС.</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eastAsia="Arial Unicode MS"/>
          <w:noProof/>
        </w:rPr>
      </w:pPr>
      <w:r>
        <w:rPr>
          <w:noProof/>
        </w:rPr>
        <w:t>Единствената цел на предложението е да се удължи с още три години периодът на оправомощаване на Комисията да приема делегирани актове за установяване на планове за премахване на изхвърлянето на улов поради закъснение в приемането на многогодишните планове. Удължаването на периода е необходимо и целесъобразно за безпрепятственото изпълнение на задължението за разтоварване. То е предвидено за точно определен срок, поради което не повдига никакви въпроси във връзка с пропорционалността.</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rFonts w:eastAsia="Arial Unicode MS"/>
          <w:noProof/>
        </w:rPr>
      </w:pPr>
      <w:r>
        <w:rPr>
          <w:noProof/>
        </w:rPr>
        <w:t>В съответствие с член 43, параграф 2 от Договора за функционирането на Европейския съюз регламент, приет от Европейския парламент и от Съвета посредством обикновената законодателна процедура, може да бъде изменен само чрез регламент, приет от Европейския парламент и от Съвета.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се прилага.</w:t>
      </w:r>
    </w:p>
    <w:p>
      <w:pPr>
        <w:pBdr>
          <w:top w:val="nil"/>
          <w:left w:val="nil"/>
          <w:bottom w:val="nil"/>
          <w:right w:val="nil"/>
          <w:between w:val="nil"/>
          <w:bar w:val="nil"/>
        </w:pBdr>
        <w:spacing w:before="0" w:after="240"/>
        <w:rPr>
          <w:rFonts w:eastAsia="Arial Unicode MS"/>
          <w:noProof/>
        </w:rPr>
      </w:pPr>
      <w:r>
        <w:rPr>
          <w:noProof/>
        </w:rPr>
        <w:t xml:space="preserve">Предложението се отнася единствено до временното удължаване на периода на оправомощаване на Комисията да приема планове за премахване на изхвърлянето на улов посредством делегирани актове до влизането в сила на многогодишните планове, които обхващат също така изпълнението на задължението за разтоварване на равнище морски басейн </w:t>
      </w:r>
      <w:r>
        <w:rPr>
          <w:noProof/>
          <w:color w:val="1F497D"/>
        </w:rPr>
        <w:t>и видове</w:t>
      </w:r>
      <w:r>
        <w:rPr>
          <w:noProof/>
        </w:rPr>
        <w:t xml:space="preserve"> в съответствие с член 10, параграф 1, буква а) от Регламент (ЕС) № 1380/2013. Съответно не е необходима оценка на цялата реформирана обща политика в областта на рибарството.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noProof/>
        </w:rPr>
      </w:pPr>
      <w:r>
        <w:rPr>
          <w:noProof/>
        </w:rPr>
        <w:t xml:space="preserve">Макар поради неотложността на въпроса да не беше проведена официална консултация, Комисията получи няколко писма от национални органи и от заинтересовани страни, изразяващи загриженост относно текущата липса на правомощия за подновяване на плановете за премахване на изхвърлянето на улов, които изтичат в края на годината. </w:t>
      </w:r>
    </w:p>
    <w:p>
      <w:pPr>
        <w:pBdr>
          <w:top w:val="nil"/>
          <w:left w:val="nil"/>
          <w:bottom w:val="nil"/>
          <w:right w:val="nil"/>
          <w:between w:val="nil"/>
          <w:bar w:val="nil"/>
        </w:pBdr>
        <w:spacing w:before="0" w:after="240"/>
        <w:rPr>
          <w:noProof/>
        </w:rPr>
      </w:pPr>
      <w:r>
        <w:rPr>
          <w:noProof/>
        </w:rPr>
        <w:t xml:space="preserve">Задължението за разтоварване представлява съществена промяна на съществуващия модел, поради което неговото изпълнение е значително предизвикателство за сектора. В този контекст следва да се гарантира възможността за осигуряване на необходимата гъвкавост, с която да се улесни постепенното въвеждане на задължението за разтоварване.  </w:t>
      </w:r>
    </w:p>
    <w:p>
      <w:pPr>
        <w:pBdr>
          <w:top w:val="nil"/>
          <w:left w:val="nil"/>
          <w:bottom w:val="nil"/>
          <w:right w:val="nil"/>
          <w:between w:val="nil"/>
          <w:bar w:val="nil"/>
        </w:pBdr>
        <w:spacing w:before="0" w:after="240"/>
        <w:rPr>
          <w:rFonts w:eastAsia="Arial Unicode MS"/>
          <w:noProof/>
        </w:rPr>
      </w:pPr>
      <w:r>
        <w:rPr>
          <w:noProof/>
        </w:rPr>
        <w:t>Преди приемането на предложението на Комисията за регламент относно реформираната обща политика в областта на рибарството беше проведена обширна обществена и експертна консултация, включително относно разпоредбите, свързани със задължението за разтоварване.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Bdr>
          <w:top w:val="nil"/>
          <w:left w:val="nil"/>
          <w:bottom w:val="nil"/>
          <w:right w:val="nil"/>
          <w:between w:val="nil"/>
          <w:bar w:val="nil"/>
        </w:pBdr>
        <w:spacing w:before="0" w:after="240"/>
        <w:rPr>
          <w:noProof/>
        </w:rPr>
      </w:pPr>
      <w:r>
        <w:rPr>
          <w:noProof/>
        </w:rPr>
        <w:t xml:space="preserve">Не се прилага. </w:t>
      </w:r>
    </w:p>
    <w:p>
      <w:pPr>
        <w:pBdr>
          <w:top w:val="nil"/>
          <w:left w:val="nil"/>
          <w:bottom w:val="nil"/>
          <w:right w:val="nil"/>
          <w:between w:val="nil"/>
          <w:bar w:val="nil"/>
        </w:pBdr>
        <w:spacing w:before="0" w:after="240"/>
        <w:rPr>
          <w:rFonts w:eastAsia="Arial Unicode MS"/>
          <w:noProof/>
        </w:rPr>
      </w:pPr>
      <w:r>
        <w:rPr>
          <w:noProof/>
        </w:rPr>
        <w:t>Предложението се отнася единствено до временното удължаване на периода на оправомощаване на Комисията да приема планове за премахване на изхвърлянето на улов посредством делегирани актове до влизането в сила на многогодишните планове, които обхващат също така изпълнението на задължението за разтоварване на равнище морски басейн. Преди приемането на предложението на Комисията за регламент относно реформираната обща политика в областта на рибарството беше проведена обширна обществена и експертна консултация, включително относно разпоредбите, свързани със задължението за разтоварване.</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noProof/>
        </w:rPr>
      </w:pPr>
      <w:r>
        <w:rPr>
          <w:noProof/>
        </w:rPr>
        <w:t xml:space="preserve">Не се прилага. </w:t>
      </w:r>
    </w:p>
    <w:p>
      <w:pPr>
        <w:pBdr>
          <w:top w:val="nil"/>
          <w:left w:val="nil"/>
          <w:bottom w:val="nil"/>
          <w:right w:val="nil"/>
          <w:between w:val="nil"/>
          <w:bar w:val="nil"/>
        </w:pBdr>
        <w:spacing w:before="0" w:after="240"/>
        <w:rPr>
          <w:noProof/>
        </w:rPr>
      </w:pPr>
      <w:r>
        <w:rPr>
          <w:noProof/>
        </w:rPr>
        <w:t>Предложението се отнася единствено до временното удължаване на периода на оправомощаване на Комисията да приема планове за премахване на изхвърлянето на улов посредством делегирани актове до влизането в сила на многогодишните планове, които обхващат също така изпълнението на задължението за разтоварване на равнище морски басейн. Тъй като предложението не оказва значително икономическо, екологично или социално въздействие, не се налага изготвянето на нова оценка на въздействието.</w:t>
      </w:r>
    </w:p>
    <w:p>
      <w:pPr>
        <w:pBdr>
          <w:top w:val="nil"/>
          <w:left w:val="nil"/>
          <w:bottom w:val="nil"/>
          <w:right w:val="nil"/>
          <w:between w:val="nil"/>
          <w:bar w:val="nil"/>
        </w:pBdr>
        <w:spacing w:before="0" w:after="240"/>
        <w:rPr>
          <w:rFonts w:eastAsia="Arial Unicode MS"/>
          <w:noProof/>
        </w:rPr>
      </w:pPr>
      <w:r>
        <w:rPr>
          <w:noProof/>
        </w:rPr>
        <w:t>Преди приемането на предложението на Комисията за регламент относно реформираната обща политика в областта на рибарството беше извършена цялостна оценка на въздействието, включително относно разпоредбите, свързани със задължението за разтоварване.</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 xml:space="preserve">Не се прилага. </w:t>
      </w:r>
    </w:p>
    <w:p>
      <w:pPr>
        <w:pStyle w:val="ManualHeading2"/>
        <w:rPr>
          <w:rFonts w:eastAsia="Arial Unicode MS"/>
          <w:noProof/>
          <w:u w:color="000000"/>
          <w:bdr w:val="nil"/>
        </w:rPr>
      </w:pPr>
      <w:r>
        <w:rPr>
          <w:noProof/>
        </w:rPr>
        <w:t>•</w:t>
      </w:r>
      <w:r>
        <w:rPr>
          <w:noProof/>
        </w:rPr>
        <w:tab/>
        <w:t>Основни права</w:t>
      </w:r>
    </w:p>
    <w:p>
      <w:pPr>
        <w:pBdr>
          <w:top w:val="nil"/>
          <w:left w:val="nil"/>
          <w:bottom w:val="nil"/>
          <w:right w:val="nil"/>
          <w:between w:val="nil"/>
          <w:bar w:val="nil"/>
        </w:pBdr>
        <w:spacing w:before="0" w:after="240"/>
        <w:rPr>
          <w:noProof/>
        </w:rPr>
      </w:pPr>
      <w:r>
        <w:rPr>
          <w:noProof/>
        </w:rPr>
        <w:t xml:space="preserve">Не се прилага. </w:t>
      </w:r>
    </w:p>
    <w:p>
      <w:pPr>
        <w:pBdr>
          <w:top w:val="nil"/>
          <w:left w:val="nil"/>
          <w:bottom w:val="nil"/>
          <w:right w:val="nil"/>
          <w:between w:val="nil"/>
          <w:bar w:val="nil"/>
        </w:pBdr>
        <w:spacing w:before="0" w:after="240"/>
        <w:rPr>
          <w:rFonts w:eastAsia="Arial Unicode MS"/>
          <w:noProof/>
        </w:rPr>
      </w:pPr>
      <w:r>
        <w:rPr>
          <w:noProof/>
        </w:rPr>
        <w:t xml:space="preserve">Предложението се отнася единствено до временното удължаване на периода на оправомощаване на Комисията да приема планове за премахване на изхвърлянето на улов посредством делегирани актове. То не оказва въздействие върху защитата на основните права.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Не се прилага. </w:t>
      </w:r>
    </w:p>
    <w:p>
      <w:pPr>
        <w:pBdr>
          <w:top w:val="nil"/>
          <w:left w:val="nil"/>
          <w:bottom w:val="nil"/>
          <w:right w:val="nil"/>
          <w:between w:val="nil"/>
          <w:bar w:val="nil"/>
        </w:pBdr>
        <w:spacing w:before="0" w:after="240"/>
        <w:rPr>
          <w:rFonts w:eastAsia="Arial Unicode MS"/>
          <w:noProof/>
        </w:rPr>
      </w:pPr>
      <w:r>
        <w:rPr>
          <w:noProof/>
        </w:rPr>
        <w:t xml:space="preserve">Предложението се отнася единствено до временното удължаване на периода на оправомощаване на Комисията да приема планове за премахване на изхвърлянето на улов посредством делегирани актове. То няма отражение върху бюджета.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механизъм за мониторинг, оценка и докладване</w:t>
      </w:r>
    </w:p>
    <w:p>
      <w:pPr>
        <w:pBdr>
          <w:top w:val="nil"/>
          <w:left w:val="nil"/>
          <w:bottom w:val="nil"/>
          <w:right w:val="nil"/>
          <w:between w:val="nil"/>
          <w:bar w:val="nil"/>
        </w:pBdr>
        <w:spacing w:before="0" w:after="240"/>
        <w:rPr>
          <w:rFonts w:eastAsia="Arial Unicode MS"/>
          <w:noProof/>
        </w:rPr>
      </w:pPr>
      <w:r>
        <w:rPr>
          <w:noProof/>
        </w:rPr>
        <w:t xml:space="preserve">В съответствие с член 46 от Регламент (ЕС) № 1380/2013 Комисията трябва да докладва редовно за упражняването на делегираните ѝ правомощия. Делегирането на тези правомощия може да бъде оттеглено по всяко време от Европейския парламент и Съвета. </w:t>
      </w:r>
    </w:p>
    <w:p>
      <w:pPr>
        <w:pStyle w:val="ManualHeading2"/>
        <w:rPr>
          <w:rFonts w:eastAsia="Arial Unicode MS"/>
          <w:noProof/>
          <w:u w:color="000000"/>
          <w:bdr w:val="nil"/>
        </w:rPr>
      </w:pPr>
      <w:r>
        <w:rPr>
          <w:noProof/>
        </w:rPr>
        <w:t>•</w:t>
      </w:r>
      <w:r>
        <w:rPr>
          <w:noProof/>
        </w:rPr>
        <w:tab/>
        <w:t>Обяснителни документи (за директивите)</w:t>
      </w:r>
    </w:p>
    <w:p>
      <w:pPr>
        <w:pBdr>
          <w:top w:val="nil"/>
          <w:left w:val="nil"/>
          <w:bottom w:val="nil"/>
          <w:right w:val="nil"/>
          <w:between w:val="nil"/>
          <w:bar w:val="nil"/>
        </w:pBdr>
        <w:spacing w:before="0" w:after="240"/>
        <w:rPr>
          <w:noProof/>
        </w:rPr>
      </w:pPr>
      <w:r>
        <w:rPr>
          <w:noProof/>
        </w:rPr>
        <w:t xml:space="preserve">Не се прилага. </w:t>
      </w:r>
    </w:p>
    <w:p>
      <w:pPr>
        <w:pBdr>
          <w:top w:val="nil"/>
          <w:left w:val="nil"/>
          <w:bottom w:val="nil"/>
          <w:right w:val="nil"/>
          <w:between w:val="nil"/>
          <w:bar w:val="nil"/>
        </w:pBdr>
        <w:spacing w:before="0" w:after="240"/>
        <w:rPr>
          <w:rFonts w:eastAsia="Arial Unicode MS"/>
          <w:noProof/>
        </w:rPr>
      </w:pPr>
      <w:r>
        <w:rPr>
          <w:noProof/>
        </w:rPr>
        <w:t>Предложеният акт е регламент.</w:t>
      </w:r>
    </w:p>
    <w:p>
      <w:pPr>
        <w:pStyle w:val="ManualHeading2"/>
        <w:rPr>
          <w:rFonts w:eastAsia="Arial Unicode MS"/>
          <w:noProof/>
          <w:u w:color="000000"/>
          <w:bdr w:val="nil"/>
        </w:rPr>
      </w:pPr>
      <w:r>
        <w:rPr>
          <w:noProof/>
        </w:rPr>
        <w:t>•</w:t>
      </w:r>
      <w:r>
        <w:rPr>
          <w:noProof/>
        </w:rPr>
        <w:tab/>
        <w:t>Подробно разяснение на конкретните разпоредби на предложението</w:t>
      </w:r>
    </w:p>
    <w:p>
      <w:pPr>
        <w:pBdr>
          <w:top w:val="nil"/>
          <w:left w:val="nil"/>
          <w:bottom w:val="nil"/>
          <w:right w:val="nil"/>
          <w:between w:val="nil"/>
          <w:bar w:val="nil"/>
        </w:pBdr>
        <w:spacing w:before="0" w:after="240"/>
        <w:rPr>
          <w:rFonts w:eastAsia="Arial Unicode MS"/>
          <w:noProof/>
        </w:rPr>
      </w:pPr>
      <w:r>
        <w:rPr>
          <w:noProof/>
        </w:rPr>
        <w:t>Предложението съдържа само една материалноправна разпоредба, състояща се в изменение на член 15, параграф 6 от Регламент (ЕС) № 1380/2013 с оглед удължаването с още три години на периода на оправомощаване на Комисията да приема планове за премахване на изхвърлянето на улов посредством делегирани актове, при условие че липсват многогодишни планове за съответните морски басейни.</w:t>
      </w:r>
    </w:p>
    <w:p>
      <w:pPr>
        <w:rPr>
          <w:noProof/>
        </w:rPr>
        <w:sectPr>
          <w:footerReference w:type="default" r:id="rId11"/>
          <w:footerReference w:type="first" r:id="rId12"/>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2017/0190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изменение на Регламент (ЕС) № 1380/2013 относно общата политика в областта на рибарството</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 43, параграф 2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4"/>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С член 15, параграф 1 от Регламент (ЕС) № 1380/2013 на Европейския парламент и на Съвета</w:t>
      </w:r>
      <w:r>
        <w:rPr>
          <w:rStyle w:val="FootnoteReference"/>
          <w:noProof/>
        </w:rPr>
        <w:footnoteReference w:id="5"/>
      </w:r>
      <w:r>
        <w:rPr>
          <w:noProof/>
        </w:rPr>
        <w:t xml:space="preserve"> се въвежда задължение за разтоварване на целия улов на видовете, за които се прилагат ограничения за улов, а в Средиземно море — и на улова на видовете, за които се прилагат минимални размери („задължение за разтоварване“).</w:t>
      </w:r>
    </w:p>
    <w:p>
      <w:pPr>
        <w:pStyle w:val="ManualConsidrant"/>
        <w:rPr>
          <w:noProof/>
        </w:rPr>
      </w:pPr>
      <w:r>
        <w:t>(2)</w:t>
      </w:r>
      <w:r>
        <w:tab/>
      </w:r>
      <w:r>
        <w:rPr>
          <w:noProof/>
        </w:rPr>
        <w:t>В многогодишните планове, посочени в член 9 от Регламент (ЕС) № 1380/2013, и в плановете за управление, посочени в член 18 от Регламент (ЕО) № 1967/2006</w:t>
      </w:r>
      <w:r>
        <w:rPr>
          <w:rStyle w:val="FootnoteReference"/>
          <w:noProof/>
        </w:rPr>
        <w:footnoteReference w:id="6"/>
      </w:r>
      <w:r>
        <w:rPr>
          <w:noProof/>
        </w:rPr>
        <w:t>, следва да се установят подробни разпоредби, с които да се улесни изпълнението на задължението за разтоварване („планове за премахване на изхвърлянето на улов“).</w:t>
      </w:r>
    </w:p>
    <w:p>
      <w:pPr>
        <w:pStyle w:val="ManualConsidrant"/>
        <w:rPr>
          <w:noProof/>
        </w:rPr>
      </w:pPr>
      <w:r>
        <w:t>(3)</w:t>
      </w:r>
      <w:r>
        <w:tab/>
      </w:r>
      <w:r>
        <w:rPr>
          <w:noProof/>
        </w:rPr>
        <w:t xml:space="preserve">В член 15, параграф 6 от Регламент (ЕС) № 1380/2013 се предвижда, че при липсата на многогодишни планове или планове за управление Комисията може да приема </w:t>
      </w:r>
      <w:r>
        <w:rPr>
          <w:noProof/>
          <w:color w:val="000000"/>
        </w:rPr>
        <w:t>временно и за период от не повече от три години</w:t>
      </w:r>
      <w:r>
        <w:rPr>
          <w:noProof/>
        </w:rPr>
        <w:t xml:space="preserve"> планове за премахване на изхвърлянето на улов. </w:t>
      </w:r>
    </w:p>
    <w:p>
      <w:pPr>
        <w:pStyle w:val="ManualConsidrant"/>
        <w:rPr>
          <w:noProof/>
        </w:rPr>
      </w:pPr>
      <w:r>
        <w:t>(4)</w:t>
      </w:r>
      <w:r>
        <w:tab/>
      </w:r>
      <w:r>
        <w:rPr>
          <w:noProof/>
        </w:rPr>
        <w:t xml:space="preserve">Опитът показва, че за изготвянето и приемането на многогодишни планове или планове за управление, включващи планове за премахване на изхвърлянето на улов, е необходимо повече време, отколкото е било предвидено към момента на приемане на Регламент (ЕС) № 1380/2013. </w:t>
      </w:r>
    </w:p>
    <w:p>
      <w:pPr>
        <w:pStyle w:val="ManualConsidrant"/>
        <w:rPr>
          <w:noProof/>
        </w:rPr>
      </w:pPr>
      <w:r>
        <w:t>(5)</w:t>
      </w:r>
      <w:r>
        <w:tab/>
      </w:r>
      <w:r>
        <w:rPr>
          <w:noProof/>
        </w:rPr>
        <w:t xml:space="preserve">Поради това е целесъобразно да се определи периодът, в който Комисията може да приема планове за премахване на изхвърлянето на улов при липсата на многогодишни планове или на планове за управление. </w:t>
      </w:r>
    </w:p>
    <w:p>
      <w:pPr>
        <w:pStyle w:val="ManualConsidrant"/>
        <w:rPr>
          <w:noProof/>
        </w:rPr>
      </w:pPr>
      <w:r>
        <w:t>(6)</w:t>
      </w:r>
      <w:r>
        <w:tab/>
      </w:r>
      <w:r>
        <w:rPr>
          <w:noProof/>
        </w:rPr>
        <w:t>Регламент (ЕС) № 1380/2013 следва да бъде съответно изменен,</w:t>
      </w:r>
    </w:p>
    <w:p>
      <w:pPr>
        <w:pStyle w:val="Formuledadoption"/>
        <w:rPr>
          <w:noProof/>
        </w:rPr>
      </w:pPr>
      <w:r>
        <w:rPr>
          <w:noProof/>
        </w:rPr>
        <w:t>ПРИЕХА НАСТОЯЩИЯ РЕГЛАМЕНТ:</w:t>
      </w:r>
    </w:p>
    <w:p>
      <w:pPr>
        <w:pStyle w:val="Titrearticle"/>
        <w:rPr>
          <w:noProof/>
        </w:rPr>
      </w:pPr>
      <w:r>
        <w:rPr>
          <w:noProof/>
        </w:rPr>
        <w:t>Член 1</w:t>
      </w:r>
    </w:p>
    <w:p>
      <w:pPr>
        <w:rPr>
          <w:rFonts w:eastAsia="Times New Roman"/>
          <w:noProof/>
          <w:szCs w:val="24"/>
        </w:rPr>
      </w:pPr>
      <w:r>
        <w:rPr>
          <w:noProof/>
        </w:rPr>
        <w:t>В член 15 от Регламент (ЕС) № 1380/2013 параграф 6 се заменя със следното:</w:t>
      </w:r>
    </w:p>
    <w:p>
      <w:pPr>
        <w:pStyle w:val="Titrearticle"/>
        <w:jc w:val="both"/>
        <w:rPr>
          <w:i w:val="0"/>
          <w:noProof/>
          <w:szCs w:val="24"/>
        </w:rPr>
      </w:pPr>
      <w:r>
        <w:rPr>
          <w:i w:val="0"/>
          <w:noProof/>
        </w:rPr>
        <w:t>„6. Ако не е приет многогодишен план или план за управление на съответния вид риболов в съответствие с член 18 от Регламент (ЕО) № 1967/2006, по силата на член 18 от настоящия регламент на Комисията се предоставя правомощието да приема делегирани актове в съответствие с член 46 от настоящия регламент, с които временно се определят специални планове за премахване на изхвърлянето на улов, съдържащи спецификациите, посочени в параграф 5, букви а)—д) от настоящия член, за първоначален период от не повече от три години, който може да бъде удължен повторно с общо три години. Държавите членки могат да си сътрудничат в съответствие с член 18 от настоящия регламент за изготвянето на такъв план с цел Комисията да приеме тези актове или да представи предложение в съответствие с обикновената законодателна процедура.“</w:t>
      </w:r>
    </w:p>
    <w:p>
      <w:pPr>
        <w:pStyle w:val="Titrearticle"/>
        <w:rPr>
          <w:noProof/>
        </w:rPr>
      </w:pPr>
      <w:r>
        <w:rPr>
          <w:noProof/>
        </w:rPr>
        <w:t xml:space="preserve">Член 2 </w:t>
      </w:r>
    </w:p>
    <w:p>
      <w:pPr>
        <w:rPr>
          <w:noProof/>
        </w:rPr>
      </w:pPr>
      <w:r>
        <w:rPr>
          <w:noProof/>
        </w:rPr>
        <w:t xml:space="preserve">Настоящият регламент влиза в сила на третия ден след деня на публикуването му в </w:t>
      </w:r>
      <w:r>
        <w:rPr>
          <w:i/>
          <w:noProof/>
        </w:rPr>
        <w:t>Официален вестник на Европейския съюз</w:t>
      </w:r>
      <w:r>
        <w:rPr>
          <w:noProof/>
        </w:rPr>
        <w:t>.</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rPr>
          <w:noProof/>
        </w:rPr>
        <w:t>Съставено в Брюксел на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pPr>
      <w:r>
        <w:rPr>
          <w:rStyle w:val="FootnoteReference"/>
        </w:rPr>
        <w:footnoteRef/>
      </w:r>
      <w:r>
        <w:tab/>
        <w:t>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w:t>
      </w:r>
    </w:p>
  </w:footnote>
  <w:footnote w:id="2">
    <w:p>
      <w:pPr>
        <w:pStyle w:val="FootnoteText"/>
        <w:ind w:left="0" w:firstLine="0"/>
      </w:pPr>
      <w:r>
        <w:rPr>
          <w:rStyle w:val="FootnoteReference"/>
        </w:rPr>
        <w:footnoteRef/>
      </w:r>
      <w:r>
        <w:tab/>
        <w:t>Регламент (ЕС) 2016/1139 на Европейския парламент и на Съвета от 6 юли 2016 г. за създаване на многогодишен план за запасите от треска, херинга и цаца в Балтийско море и за видовете риболов, които експлоатират тези запаси, за изменение на Регламент (ЕО) № 2187/2005 на Съвета и за отмяна на Регламент (ЕО) № 1098/2007 на Съвета (ОВ L 191, 15.7.2016 г., стр. 1).</w:t>
      </w:r>
    </w:p>
  </w:footnote>
  <w:footnote w:id="3">
    <w:p>
      <w:pPr>
        <w:pStyle w:val="FootnoteText"/>
        <w:ind w:left="0" w:firstLine="0"/>
        <w:rPr>
          <w:lang w:val="pt-PT"/>
        </w:rPr>
      </w:pPr>
      <w:r>
        <w:rPr>
          <w:rStyle w:val="FootnoteReference"/>
        </w:rPr>
        <w:footnoteRef/>
      </w:r>
      <w:r>
        <w:tab/>
        <w:t>COM/2016/0493 final — 2016/0238 (COD) и COM/2017/097 final — 2017/043 (COD).</w:t>
      </w:r>
    </w:p>
    <w:p>
      <w:pPr>
        <w:pStyle w:val="FootnoteText"/>
        <w:ind w:left="0" w:firstLine="0"/>
        <w:rPr>
          <w:lang w:val="pt-PT"/>
        </w:rPr>
      </w:pPr>
    </w:p>
  </w:footnote>
  <w:footnote w:id="4">
    <w:p>
      <w:pPr>
        <w:pStyle w:val="FootnoteText"/>
      </w:pPr>
      <w:r>
        <w:rPr>
          <w:rStyle w:val="FootnoteReference"/>
        </w:rPr>
        <w:footnoteRef/>
      </w:r>
      <w:r>
        <w:tab/>
        <w:t>ОВ C […], […] г., стр. […].</w:t>
      </w:r>
    </w:p>
  </w:footnote>
  <w:footnote w:id="5">
    <w:p>
      <w:pPr>
        <w:pStyle w:val="FootnoteText"/>
      </w:pPr>
      <w:r>
        <w:rPr>
          <w:rStyle w:val="FootnoteReference"/>
        </w:rPr>
        <w:footnoteRef/>
      </w:r>
      <w:r>
        <w:tab/>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на Съвета и Решение 2004/585/ЕО на Съвета (ОВ L 354, 28.12.2013 г., стр. 22). </w:t>
      </w:r>
    </w:p>
  </w:footnote>
  <w:footnote w:id="6">
    <w:p>
      <w:pPr>
        <w:pStyle w:val="FootnoteText"/>
      </w:pPr>
      <w:r>
        <w:rPr>
          <w:rStyle w:val="FootnoteReference"/>
        </w:rPr>
        <w:footnoteRef/>
      </w:r>
      <w:r>
        <w:tab/>
        <w:t>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(ОВ L 409, 30.12.2006 г., стр. 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BE0B0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56CD614"/>
    <w:lvl w:ilvl="0">
      <w:start w:val="1"/>
      <w:numFmt w:val="decimal"/>
      <w:pStyle w:val="ListNumber3"/>
      <w:lvlText w:val="%1."/>
      <w:lvlJc w:val="left"/>
      <w:pPr>
        <w:tabs>
          <w:tab w:val="num" w:pos="926"/>
        </w:tabs>
        <w:ind w:left="926" w:hanging="360"/>
      </w:pPr>
    </w:lvl>
  </w:abstractNum>
  <w:abstractNum w:abstractNumId="2">
    <w:nsid w:val="FFFFFF7F"/>
    <w:multiLevelType w:val="singleLevel"/>
    <w:tmpl w:val="754EBAAC"/>
    <w:lvl w:ilvl="0">
      <w:start w:val="1"/>
      <w:numFmt w:val="decimal"/>
      <w:pStyle w:val="ListNumber2"/>
      <w:lvlText w:val="%1."/>
      <w:lvlJc w:val="left"/>
      <w:pPr>
        <w:tabs>
          <w:tab w:val="num" w:pos="643"/>
        </w:tabs>
        <w:ind w:left="643" w:hanging="360"/>
      </w:pPr>
    </w:lvl>
  </w:abstractNum>
  <w:abstractNum w:abstractNumId="3">
    <w:nsid w:val="FFFFFF81"/>
    <w:multiLevelType w:val="singleLevel"/>
    <w:tmpl w:val="DFD6AA4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082D0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F28C9F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FC81F4"/>
    <w:lvl w:ilvl="0">
      <w:start w:val="1"/>
      <w:numFmt w:val="decimal"/>
      <w:pStyle w:val="ListNumber"/>
      <w:lvlText w:val="%1."/>
      <w:lvlJc w:val="left"/>
      <w:pPr>
        <w:tabs>
          <w:tab w:val="num" w:pos="360"/>
        </w:tabs>
        <w:ind w:left="360" w:hanging="360"/>
      </w:pPr>
    </w:lvl>
  </w:abstractNum>
  <w:abstractNum w:abstractNumId="7">
    <w:nsid w:val="FFFFFF89"/>
    <w:multiLevelType w:val="singleLevel"/>
    <w:tmpl w:val="9FFAA56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3481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9 17:02: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A2392F0B80644F5B844B2B7D1ACA6D4"/>
    <w:docVar w:name="LW_CROSSREFERENCE" w:val="&lt;UNUSED&gt;"/>
    <w:docVar w:name="LW_DocType" w:val="COM"/>
    <w:docVar w:name="LW_EMISSION" w:val="11.8.2017"/>
    <w:docVar w:name="LW_EMISSION_ISODATE" w:val="2017-08-11"/>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90"/>
    <w:docVar w:name="LW_REF.II.NEW.CP_YEAR" w:val="2017"/>
    <w:docVar w:name="LW_REF.INST.NEW" w:val="COM"/>
    <w:docVar w:name="LW_REF.INST.NEW_ADOPTED" w:val="final"/>
    <w:docVar w:name="LW_REF.INST.NEW_TEXT" w:val="(2017) 424"/>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56?\u1077?\u1075?\u1083?\u1072?\u1084?\u1077?\u1085?\u1090? (\u1045?\u1057?) \u8470? 1380/2013 \u1086?\u1090?\u1085?\u1086?\u1089?\u1085?\u1086? \u1086?\u1073?\u1097?\u1072?\u1090?\u1072? \u1087?\u1086?\u1083?\u1080?\u1090?\u1080?\u1082?\u1072? \u1074? \u1086?\u1073?\u1083?\u1072?\u1089?\u1090?\u1090?\u1072? \u1085?\u1072? \u1088?\u1080?\u1073?\u1072?\u1088?\u1089?\u1090?\u1074?\u1086?\u1090?\u108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212922">
      <w:bodyDiv w:val="1"/>
      <w:marLeft w:val="0"/>
      <w:marRight w:val="0"/>
      <w:marTop w:val="0"/>
      <w:marBottom w:val="0"/>
      <w:divBdr>
        <w:top w:val="none" w:sz="0" w:space="0" w:color="auto"/>
        <w:left w:val="none" w:sz="0" w:space="0" w:color="auto"/>
        <w:bottom w:val="none" w:sz="0" w:space="0" w:color="auto"/>
        <w:right w:val="none" w:sz="0" w:space="0" w:color="auto"/>
      </w:divBdr>
      <w:divsChild>
        <w:div w:id="1126267093">
          <w:marLeft w:val="0"/>
          <w:marRight w:val="0"/>
          <w:marTop w:val="0"/>
          <w:marBottom w:val="0"/>
          <w:divBdr>
            <w:top w:val="none" w:sz="0" w:space="0" w:color="auto"/>
            <w:left w:val="none" w:sz="0" w:space="0" w:color="auto"/>
            <w:bottom w:val="none" w:sz="0" w:space="0" w:color="auto"/>
            <w:right w:val="none" w:sz="0" w:space="0" w:color="auto"/>
          </w:divBdr>
          <w:divsChild>
            <w:div w:id="89400367">
              <w:marLeft w:val="0"/>
              <w:marRight w:val="0"/>
              <w:marTop w:val="0"/>
              <w:marBottom w:val="0"/>
              <w:divBdr>
                <w:top w:val="none" w:sz="0" w:space="0" w:color="auto"/>
                <w:left w:val="none" w:sz="0" w:space="0" w:color="auto"/>
                <w:bottom w:val="none" w:sz="0" w:space="0" w:color="auto"/>
                <w:right w:val="none" w:sz="0" w:space="0" w:color="auto"/>
              </w:divBdr>
              <w:divsChild>
                <w:div w:id="702094808">
                  <w:marLeft w:val="0"/>
                  <w:marRight w:val="0"/>
                  <w:marTop w:val="0"/>
                  <w:marBottom w:val="0"/>
                  <w:divBdr>
                    <w:top w:val="none" w:sz="0" w:space="0" w:color="auto"/>
                    <w:left w:val="none" w:sz="0" w:space="0" w:color="auto"/>
                    <w:bottom w:val="none" w:sz="0" w:space="0" w:color="auto"/>
                    <w:right w:val="none" w:sz="0" w:space="0" w:color="auto"/>
                  </w:divBdr>
                  <w:divsChild>
                    <w:div w:id="593854314">
                      <w:marLeft w:val="1"/>
                      <w:marRight w:val="1"/>
                      <w:marTop w:val="0"/>
                      <w:marBottom w:val="0"/>
                      <w:divBdr>
                        <w:top w:val="none" w:sz="0" w:space="0" w:color="auto"/>
                        <w:left w:val="none" w:sz="0" w:space="0" w:color="auto"/>
                        <w:bottom w:val="none" w:sz="0" w:space="0" w:color="auto"/>
                        <w:right w:val="none" w:sz="0" w:space="0" w:color="auto"/>
                      </w:divBdr>
                      <w:divsChild>
                        <w:div w:id="1485780907">
                          <w:marLeft w:val="0"/>
                          <w:marRight w:val="0"/>
                          <w:marTop w:val="0"/>
                          <w:marBottom w:val="0"/>
                          <w:divBdr>
                            <w:top w:val="none" w:sz="0" w:space="0" w:color="auto"/>
                            <w:left w:val="none" w:sz="0" w:space="0" w:color="auto"/>
                            <w:bottom w:val="none" w:sz="0" w:space="0" w:color="auto"/>
                            <w:right w:val="none" w:sz="0" w:space="0" w:color="auto"/>
                          </w:divBdr>
                          <w:divsChild>
                            <w:div w:id="439566733">
                              <w:marLeft w:val="0"/>
                              <w:marRight w:val="0"/>
                              <w:marTop w:val="0"/>
                              <w:marBottom w:val="360"/>
                              <w:divBdr>
                                <w:top w:val="none" w:sz="0" w:space="0" w:color="auto"/>
                                <w:left w:val="none" w:sz="0" w:space="0" w:color="auto"/>
                                <w:bottom w:val="none" w:sz="0" w:space="0" w:color="auto"/>
                                <w:right w:val="none" w:sz="0" w:space="0" w:color="auto"/>
                              </w:divBdr>
                              <w:divsChild>
                                <w:div w:id="2142457949">
                                  <w:marLeft w:val="0"/>
                                  <w:marRight w:val="0"/>
                                  <w:marTop w:val="0"/>
                                  <w:marBottom w:val="0"/>
                                  <w:divBdr>
                                    <w:top w:val="none" w:sz="0" w:space="0" w:color="auto"/>
                                    <w:left w:val="none" w:sz="0" w:space="0" w:color="auto"/>
                                    <w:bottom w:val="none" w:sz="0" w:space="0" w:color="auto"/>
                                    <w:right w:val="none" w:sz="0" w:space="0" w:color="auto"/>
                                  </w:divBdr>
                                  <w:divsChild>
                                    <w:div w:id="212272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139680">
      <w:bodyDiv w:val="1"/>
      <w:marLeft w:val="0"/>
      <w:marRight w:val="0"/>
      <w:marTop w:val="0"/>
      <w:marBottom w:val="0"/>
      <w:divBdr>
        <w:top w:val="none" w:sz="0" w:space="0" w:color="auto"/>
        <w:left w:val="none" w:sz="0" w:space="0" w:color="auto"/>
        <w:bottom w:val="none" w:sz="0" w:space="0" w:color="auto"/>
        <w:right w:val="none" w:sz="0" w:space="0" w:color="auto"/>
      </w:divBdr>
      <w:divsChild>
        <w:div w:id="1086609641">
          <w:marLeft w:val="0"/>
          <w:marRight w:val="0"/>
          <w:marTop w:val="0"/>
          <w:marBottom w:val="0"/>
          <w:divBdr>
            <w:top w:val="none" w:sz="0" w:space="0" w:color="auto"/>
            <w:left w:val="none" w:sz="0" w:space="0" w:color="auto"/>
            <w:bottom w:val="none" w:sz="0" w:space="0" w:color="auto"/>
            <w:right w:val="none" w:sz="0" w:space="0" w:color="auto"/>
          </w:divBdr>
          <w:divsChild>
            <w:div w:id="1613587338">
              <w:marLeft w:val="0"/>
              <w:marRight w:val="0"/>
              <w:marTop w:val="0"/>
              <w:marBottom w:val="0"/>
              <w:divBdr>
                <w:top w:val="none" w:sz="0" w:space="0" w:color="auto"/>
                <w:left w:val="none" w:sz="0" w:space="0" w:color="auto"/>
                <w:bottom w:val="none" w:sz="0" w:space="0" w:color="auto"/>
                <w:right w:val="none" w:sz="0" w:space="0" w:color="auto"/>
              </w:divBdr>
              <w:divsChild>
                <w:div w:id="1747921231">
                  <w:marLeft w:val="0"/>
                  <w:marRight w:val="0"/>
                  <w:marTop w:val="0"/>
                  <w:marBottom w:val="0"/>
                  <w:divBdr>
                    <w:top w:val="none" w:sz="0" w:space="0" w:color="auto"/>
                    <w:left w:val="none" w:sz="0" w:space="0" w:color="auto"/>
                    <w:bottom w:val="none" w:sz="0" w:space="0" w:color="auto"/>
                    <w:right w:val="none" w:sz="0" w:space="0" w:color="auto"/>
                  </w:divBdr>
                  <w:divsChild>
                    <w:div w:id="2139488983">
                      <w:marLeft w:val="1"/>
                      <w:marRight w:val="1"/>
                      <w:marTop w:val="0"/>
                      <w:marBottom w:val="0"/>
                      <w:divBdr>
                        <w:top w:val="none" w:sz="0" w:space="0" w:color="auto"/>
                        <w:left w:val="none" w:sz="0" w:space="0" w:color="auto"/>
                        <w:bottom w:val="none" w:sz="0" w:space="0" w:color="auto"/>
                        <w:right w:val="none" w:sz="0" w:space="0" w:color="auto"/>
                      </w:divBdr>
                      <w:divsChild>
                        <w:div w:id="592202851">
                          <w:marLeft w:val="0"/>
                          <w:marRight w:val="0"/>
                          <w:marTop w:val="0"/>
                          <w:marBottom w:val="0"/>
                          <w:divBdr>
                            <w:top w:val="none" w:sz="0" w:space="0" w:color="auto"/>
                            <w:left w:val="none" w:sz="0" w:space="0" w:color="auto"/>
                            <w:bottom w:val="none" w:sz="0" w:space="0" w:color="auto"/>
                            <w:right w:val="none" w:sz="0" w:space="0" w:color="auto"/>
                          </w:divBdr>
                          <w:divsChild>
                            <w:div w:id="2106342532">
                              <w:marLeft w:val="0"/>
                              <w:marRight w:val="0"/>
                              <w:marTop w:val="0"/>
                              <w:marBottom w:val="360"/>
                              <w:divBdr>
                                <w:top w:val="none" w:sz="0" w:space="0" w:color="auto"/>
                                <w:left w:val="none" w:sz="0" w:space="0" w:color="auto"/>
                                <w:bottom w:val="none" w:sz="0" w:space="0" w:color="auto"/>
                                <w:right w:val="none" w:sz="0" w:space="0" w:color="auto"/>
                              </w:divBdr>
                              <w:divsChild>
                                <w:div w:id="876813517">
                                  <w:marLeft w:val="0"/>
                                  <w:marRight w:val="0"/>
                                  <w:marTop w:val="0"/>
                                  <w:marBottom w:val="0"/>
                                  <w:divBdr>
                                    <w:top w:val="none" w:sz="0" w:space="0" w:color="auto"/>
                                    <w:left w:val="none" w:sz="0" w:space="0" w:color="auto"/>
                                    <w:bottom w:val="none" w:sz="0" w:space="0" w:color="auto"/>
                                    <w:right w:val="none" w:sz="0" w:space="0" w:color="auto"/>
                                  </w:divBdr>
                                  <w:divsChild>
                                    <w:div w:id="19479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BDC1D-A296-4347-93A4-16599F540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1825</Words>
  <Characters>10989</Characters>
  <Application>Microsoft Office Word</Application>
  <DocSecurity>0</DocSecurity>
  <Lines>211</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2017-08-01T15:01:00Z</cp:lastPrinted>
  <dcterms:created xsi:type="dcterms:W3CDTF">2017-08-08T13:31:00Z</dcterms:created>
  <dcterms:modified xsi:type="dcterms:W3CDTF">2017-08-09T15:02:00Z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