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22938669"/>
      <w:bookmarkStart w:id="1" w:name="_Toc233267380"/>
      <w:bookmarkStart w:id="2" w:name="_Toc236467966"/>
      <w:bookmarkStart w:id="3"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866CCEAFA9F4D0CAFCE3CA25064C3CC" style="width:450.8pt;height:394.45pt">
            <v:imagedata r:id="rId9" o:title=""/>
          </v:shape>
        </w:pict>
      </w:r>
    </w:p>
    <w:bookmarkEnd w:id="3"/>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Heading"/>
        <w:rPr>
          <w:noProof/>
        </w:rPr>
      </w:pPr>
      <w:bookmarkStart w:id="4" w:name="_GoBack"/>
      <w:bookmarkEnd w:id="4"/>
      <w:r>
        <w:rPr>
          <w:noProof/>
        </w:rPr>
        <w:lastRenderedPageBreak/>
        <w:t>TABLE OF 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"1-4" \h \z \u </w:instrText>
      </w:r>
      <w:r>
        <w:rPr>
          <w:noProof/>
        </w:rPr>
        <w:fldChar w:fldCharType="separate"/>
      </w:r>
      <w:hyperlink w:anchor="_Toc484783888"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BUDGET PROCEDURE</w:t>
        </w:r>
        <w:r>
          <w:rPr>
            <w:noProof/>
            <w:webHidden/>
          </w:rPr>
          <w:tab/>
        </w:r>
        <w:r>
          <w:rPr>
            <w:noProof/>
            <w:webHidden/>
          </w:rPr>
          <w:fldChar w:fldCharType="begin"/>
        </w:r>
        <w:r>
          <w:rPr>
            <w:noProof/>
            <w:webHidden/>
          </w:rPr>
          <w:instrText xml:space="preserve"> PAGEREF _Toc484783888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889"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Financial Framework 2014-2020.</w:t>
        </w:r>
        <w:r>
          <w:rPr>
            <w:noProof/>
            <w:webHidden/>
          </w:rPr>
          <w:tab/>
        </w:r>
        <w:r>
          <w:rPr>
            <w:noProof/>
            <w:webHidden/>
          </w:rPr>
          <w:fldChar w:fldCharType="begin"/>
        </w:r>
        <w:r>
          <w:rPr>
            <w:noProof/>
            <w:webHidden/>
          </w:rPr>
          <w:instrText xml:space="preserve"> PAGEREF _Toc484783889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890"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Draft Budget 2016 and Amending Letter 2/2016</w:t>
        </w:r>
        <w:r>
          <w:rPr>
            <w:noProof/>
            <w:webHidden/>
          </w:rPr>
          <w:tab/>
        </w:r>
        <w:r>
          <w:rPr>
            <w:noProof/>
            <w:webHidden/>
          </w:rPr>
          <w:fldChar w:fldCharType="begin"/>
        </w:r>
        <w:r>
          <w:rPr>
            <w:noProof/>
            <w:webHidden/>
          </w:rPr>
          <w:instrText xml:space="preserve"> PAGEREF _Toc484783890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891"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Adoption of the 2016 budget</w:t>
        </w:r>
        <w:r>
          <w:rPr>
            <w:noProof/>
            <w:webHidden/>
          </w:rPr>
          <w:tab/>
        </w:r>
        <w:r>
          <w:rPr>
            <w:noProof/>
            <w:webHidden/>
          </w:rPr>
          <w:fldChar w:fldCharType="begin"/>
        </w:r>
        <w:r>
          <w:rPr>
            <w:noProof/>
            <w:webHidden/>
          </w:rPr>
          <w:instrText xml:space="preserve"> PAGEREF _Toc484783891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892"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Revenue assigned to the EAGF</w:t>
        </w:r>
        <w:r>
          <w:rPr>
            <w:noProof/>
            <w:webHidden/>
          </w:rPr>
          <w:tab/>
        </w:r>
        <w:r>
          <w:rPr>
            <w:noProof/>
            <w:webHidden/>
          </w:rPr>
          <w:fldChar w:fldCharType="begin"/>
        </w:r>
        <w:r>
          <w:rPr>
            <w:noProof/>
            <w:webHidden/>
          </w:rPr>
          <w:instrText xml:space="preserve"> PAGEREF _Toc484783892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84783893"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CASH POSITION AND MANAGEMENT OF APPROPRIATIONS</w:t>
        </w:r>
        <w:r>
          <w:rPr>
            <w:noProof/>
            <w:webHidden/>
          </w:rPr>
          <w:tab/>
        </w:r>
        <w:r>
          <w:rPr>
            <w:noProof/>
            <w:webHidden/>
          </w:rPr>
          <w:fldChar w:fldCharType="begin"/>
        </w:r>
        <w:r>
          <w:rPr>
            <w:noProof/>
            <w:webHidden/>
          </w:rPr>
          <w:instrText xml:space="preserve"> PAGEREF _Toc484783893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894"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Management of appropriations</w:t>
        </w:r>
        <w:r>
          <w:rPr>
            <w:noProof/>
            <w:webHidden/>
          </w:rPr>
          <w:tab/>
        </w:r>
        <w:r>
          <w:rPr>
            <w:noProof/>
            <w:webHidden/>
          </w:rPr>
          <w:fldChar w:fldCharType="begin"/>
        </w:r>
        <w:r>
          <w:rPr>
            <w:noProof/>
            <w:webHidden/>
          </w:rPr>
          <w:instrText xml:space="preserve"> PAGEREF _Toc484783894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895"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Appropriations available for the 2016 financial year</w:t>
        </w:r>
        <w:r>
          <w:rPr>
            <w:noProof/>
            <w:webHidden/>
          </w:rPr>
          <w:tab/>
        </w:r>
        <w:r>
          <w:rPr>
            <w:noProof/>
            <w:webHidden/>
          </w:rPr>
          <w:fldChar w:fldCharType="begin"/>
        </w:r>
        <w:r>
          <w:rPr>
            <w:noProof/>
            <w:webHidden/>
          </w:rPr>
          <w:instrText xml:space="preserve"> PAGEREF _Toc484783895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896" w:history="1">
        <w:r>
          <w:rPr>
            <w:rStyle w:val="Hyperlink"/>
            <w:iCs/>
            <w:noProof/>
          </w:rPr>
          <w:t>2.1.2.</w:t>
        </w:r>
        <w:r>
          <w:rPr>
            <w:rFonts w:asciiTheme="minorHAnsi" w:eastAsiaTheme="minorEastAsia" w:hAnsiTheme="minorHAnsi" w:cstheme="minorBidi"/>
            <w:noProof/>
            <w:sz w:val="22"/>
            <w:szCs w:val="22"/>
            <w:lang w:eastAsia="en-GB"/>
          </w:rPr>
          <w:tab/>
        </w:r>
        <w:r>
          <w:rPr>
            <w:rStyle w:val="Hyperlink"/>
            <w:iCs/>
            <w:noProof/>
          </w:rPr>
          <w:t>Expenditure section of the EU budget in relation to EAGF</w:t>
        </w:r>
        <w:r>
          <w:rPr>
            <w:noProof/>
            <w:webHidden/>
          </w:rPr>
          <w:tab/>
        </w:r>
        <w:r>
          <w:rPr>
            <w:noProof/>
            <w:webHidden/>
          </w:rPr>
          <w:fldChar w:fldCharType="begin"/>
        </w:r>
        <w:r>
          <w:rPr>
            <w:noProof/>
            <w:webHidden/>
          </w:rPr>
          <w:instrText xml:space="preserve"> PAGEREF _Toc484783896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897" w:history="1">
        <w:r>
          <w:rPr>
            <w:rStyle w:val="Hyperlink"/>
            <w:iCs/>
            <w:noProof/>
          </w:rPr>
          <w:t>2.1.3.</w:t>
        </w:r>
        <w:r>
          <w:rPr>
            <w:rFonts w:asciiTheme="minorHAnsi" w:eastAsiaTheme="minorEastAsia" w:hAnsiTheme="minorHAnsi" w:cstheme="minorBidi"/>
            <w:noProof/>
            <w:sz w:val="22"/>
            <w:szCs w:val="22"/>
            <w:lang w:eastAsia="en-GB"/>
          </w:rPr>
          <w:tab/>
        </w:r>
        <w:r>
          <w:rPr>
            <w:rStyle w:val="Hyperlink"/>
            <w:iCs/>
            <w:noProof/>
          </w:rPr>
          <w:t>Assigned revenue section of the EU budget in relation to EAGF</w:t>
        </w:r>
        <w:r>
          <w:rPr>
            <w:noProof/>
            <w:webHidden/>
          </w:rPr>
          <w:tab/>
        </w:r>
        <w:r>
          <w:rPr>
            <w:noProof/>
            <w:webHidden/>
          </w:rPr>
          <w:fldChar w:fldCharType="begin"/>
        </w:r>
        <w:r>
          <w:rPr>
            <w:noProof/>
            <w:webHidden/>
          </w:rPr>
          <w:instrText xml:space="preserve"> PAGEREF _Toc484783897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898" w:history="1">
        <w:r>
          <w:rPr>
            <w:rStyle w:val="Hyperlink"/>
            <w:iCs/>
            <w:noProof/>
          </w:rPr>
          <w:t>2.1.4.</w:t>
        </w:r>
        <w:r>
          <w:rPr>
            <w:rFonts w:asciiTheme="minorHAnsi" w:eastAsiaTheme="minorEastAsia" w:hAnsiTheme="minorHAnsi" w:cstheme="minorBidi"/>
            <w:noProof/>
            <w:sz w:val="22"/>
            <w:szCs w:val="22"/>
            <w:lang w:eastAsia="en-GB"/>
          </w:rPr>
          <w:tab/>
        </w:r>
        <w:r>
          <w:rPr>
            <w:rStyle w:val="Hyperlink"/>
            <w:iCs/>
            <w:noProof/>
          </w:rPr>
          <w:t>Budget execution of appropriations available for the 2016 financial year</w:t>
        </w:r>
        <w:r>
          <w:rPr>
            <w:noProof/>
            <w:webHidden/>
          </w:rPr>
          <w:tab/>
        </w:r>
        <w:r>
          <w:rPr>
            <w:noProof/>
            <w:webHidden/>
          </w:rPr>
          <w:fldChar w:fldCharType="begin"/>
        </w:r>
        <w:r>
          <w:rPr>
            <w:noProof/>
            <w:webHidden/>
          </w:rPr>
          <w:instrText xml:space="preserve"> PAGEREF _Toc484783898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899" w:history="1">
        <w:r>
          <w:rPr>
            <w:rStyle w:val="Hyperlink"/>
            <w:iCs/>
            <w:noProof/>
          </w:rPr>
          <w:t>2.1.5.</w:t>
        </w:r>
        <w:r>
          <w:rPr>
            <w:rFonts w:asciiTheme="minorHAnsi" w:eastAsiaTheme="minorEastAsia" w:hAnsiTheme="minorHAnsi" w:cstheme="minorBidi"/>
            <w:noProof/>
            <w:sz w:val="22"/>
            <w:szCs w:val="22"/>
            <w:lang w:eastAsia="en-GB"/>
          </w:rPr>
          <w:tab/>
        </w:r>
        <w:r>
          <w:rPr>
            <w:rStyle w:val="Hyperlink"/>
            <w:iCs/>
            <w:noProof/>
          </w:rPr>
          <w:t>Assigned revenue received under shared management</w:t>
        </w:r>
        <w:r>
          <w:rPr>
            <w:noProof/>
            <w:webHidden/>
          </w:rPr>
          <w:tab/>
        </w:r>
        <w:r>
          <w:rPr>
            <w:noProof/>
            <w:webHidden/>
          </w:rPr>
          <w:fldChar w:fldCharType="begin"/>
        </w:r>
        <w:r>
          <w:rPr>
            <w:noProof/>
            <w:webHidden/>
          </w:rPr>
          <w:instrText xml:space="preserve"> PAGEREF _Toc484783899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00" w:history="1">
        <w:r>
          <w:rPr>
            <w:rStyle w:val="Hyperlink"/>
            <w:noProof/>
          </w:rPr>
          <w:t>2.1.6.</w:t>
        </w:r>
        <w:r>
          <w:rPr>
            <w:rFonts w:asciiTheme="minorHAnsi" w:eastAsiaTheme="minorEastAsia" w:hAnsiTheme="minorHAnsi" w:cstheme="minorBidi"/>
            <w:noProof/>
            <w:sz w:val="22"/>
            <w:szCs w:val="22"/>
            <w:lang w:eastAsia="en-GB"/>
          </w:rPr>
          <w:tab/>
        </w:r>
        <w:r>
          <w:rPr>
            <w:rStyle w:val="Hyperlink"/>
            <w:iCs/>
            <w:noProof/>
          </w:rPr>
          <w:t>Budget execution</w:t>
        </w:r>
        <w:r>
          <w:rPr>
            <w:noProof/>
            <w:webHidden/>
          </w:rPr>
          <w:tab/>
        </w:r>
        <w:r>
          <w:rPr>
            <w:noProof/>
            <w:webHidden/>
          </w:rPr>
          <w:fldChar w:fldCharType="begin"/>
        </w:r>
        <w:r>
          <w:rPr>
            <w:noProof/>
            <w:webHidden/>
          </w:rPr>
          <w:instrText xml:space="preserve"> PAGEREF _Toc484783900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01" w:history="1">
        <w:r>
          <w:rPr>
            <w:rStyle w:val="Hyperlink"/>
            <w:noProof/>
          </w:rPr>
          <w:t>2.1.7.</w:t>
        </w:r>
        <w:r>
          <w:rPr>
            <w:rFonts w:asciiTheme="minorHAnsi" w:eastAsiaTheme="minorEastAsia" w:hAnsiTheme="minorHAnsi" w:cstheme="minorBidi"/>
            <w:noProof/>
            <w:sz w:val="22"/>
            <w:szCs w:val="22"/>
            <w:lang w:eastAsia="en-GB"/>
          </w:rPr>
          <w:tab/>
        </w:r>
        <w:r>
          <w:rPr>
            <w:rStyle w:val="Hyperlink"/>
            <w:noProof/>
          </w:rPr>
          <w:t>Budget execution of voted appropriations - Expenditure under direct management made by the Commission</w:t>
        </w:r>
        <w:r>
          <w:rPr>
            <w:noProof/>
            <w:webHidden/>
          </w:rPr>
          <w:tab/>
        </w:r>
        <w:r>
          <w:rPr>
            <w:noProof/>
            <w:webHidden/>
          </w:rPr>
          <w:fldChar w:fldCharType="begin"/>
        </w:r>
        <w:r>
          <w:rPr>
            <w:noProof/>
            <w:webHidden/>
          </w:rPr>
          <w:instrText xml:space="preserve"> PAGEREF _Toc484783901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02" w:history="1">
        <w:r>
          <w:rPr>
            <w:rStyle w:val="Hyperlink"/>
            <w:iCs/>
            <w:noProof/>
          </w:rPr>
          <w:t>2.1.8.</w:t>
        </w:r>
        <w:r>
          <w:rPr>
            <w:rFonts w:asciiTheme="minorHAnsi" w:eastAsiaTheme="minorEastAsia" w:hAnsiTheme="minorHAnsi" w:cstheme="minorBidi"/>
            <w:noProof/>
            <w:sz w:val="22"/>
            <w:szCs w:val="22"/>
            <w:lang w:eastAsia="en-GB"/>
          </w:rPr>
          <w:tab/>
        </w:r>
        <w:r>
          <w:rPr>
            <w:rStyle w:val="Hyperlink"/>
            <w:iCs/>
            <w:noProof/>
          </w:rPr>
          <w:t>Budget execution - Expenditure under direct management made by the Commission - Automatic carryover from 2015</w:t>
        </w:r>
        <w:r>
          <w:rPr>
            <w:noProof/>
            <w:webHidden/>
          </w:rPr>
          <w:tab/>
        </w:r>
        <w:r>
          <w:rPr>
            <w:noProof/>
            <w:webHidden/>
          </w:rPr>
          <w:fldChar w:fldCharType="begin"/>
        </w:r>
        <w:r>
          <w:rPr>
            <w:noProof/>
            <w:webHidden/>
          </w:rPr>
          <w:instrText xml:space="preserve"> PAGEREF _Toc484783902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03"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Monthly payments</w:t>
        </w:r>
        <w:r>
          <w:rPr>
            <w:noProof/>
            <w:webHidden/>
          </w:rPr>
          <w:tab/>
        </w:r>
        <w:r>
          <w:rPr>
            <w:noProof/>
            <w:webHidden/>
          </w:rPr>
          <w:fldChar w:fldCharType="begin"/>
        </w:r>
        <w:r>
          <w:rPr>
            <w:noProof/>
            <w:webHidden/>
          </w:rPr>
          <w:instrText xml:space="preserve"> PAGEREF _Toc484783903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04"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Monthly payments to Member States under shared management</w:t>
        </w:r>
        <w:r>
          <w:rPr>
            <w:noProof/>
            <w:webHidden/>
          </w:rPr>
          <w:tab/>
        </w:r>
        <w:r>
          <w:rPr>
            <w:noProof/>
            <w:webHidden/>
          </w:rPr>
          <w:fldChar w:fldCharType="begin"/>
        </w:r>
        <w:r>
          <w:rPr>
            <w:noProof/>
            <w:webHidden/>
          </w:rPr>
          <w:instrText xml:space="preserve"> PAGEREF _Toc484783904 \h </w:instrText>
        </w:r>
        <w:r>
          <w:rPr>
            <w:noProof/>
            <w:webHidden/>
          </w:rPr>
        </w:r>
        <w:r>
          <w:rPr>
            <w:noProof/>
            <w:webHidden/>
          </w:rPr>
          <w:fldChar w:fldCharType="separate"/>
        </w:r>
        <w:r>
          <w:rPr>
            <w:noProof/>
            <w:webHidden/>
          </w:rPr>
          <w:t>11</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05" w:history="1">
        <w:r>
          <w:rPr>
            <w:rStyle w:val="Hyperlink"/>
            <w:noProof/>
          </w:rPr>
          <w:t>2.2.1.1.</w:t>
        </w:r>
        <w:r>
          <w:rPr>
            <w:rFonts w:asciiTheme="minorHAnsi" w:eastAsiaTheme="minorEastAsia" w:hAnsiTheme="minorHAnsi" w:cstheme="minorBidi"/>
            <w:noProof/>
            <w:sz w:val="22"/>
            <w:szCs w:val="22"/>
            <w:lang w:eastAsia="en-GB"/>
          </w:rPr>
          <w:tab/>
        </w:r>
        <w:r>
          <w:rPr>
            <w:rStyle w:val="Hyperlink"/>
            <w:noProof/>
          </w:rPr>
          <w:t>Monthly payments on the provision for expenditure</w:t>
        </w:r>
        <w:r>
          <w:rPr>
            <w:noProof/>
            <w:webHidden/>
          </w:rPr>
          <w:tab/>
        </w:r>
        <w:r>
          <w:rPr>
            <w:noProof/>
            <w:webHidden/>
          </w:rPr>
          <w:fldChar w:fldCharType="begin"/>
        </w:r>
        <w:r>
          <w:rPr>
            <w:noProof/>
            <w:webHidden/>
          </w:rPr>
          <w:instrText xml:space="preserve"> PAGEREF _Toc484783905 \h </w:instrText>
        </w:r>
        <w:r>
          <w:rPr>
            <w:noProof/>
            <w:webHidden/>
          </w:rPr>
        </w:r>
        <w:r>
          <w:rPr>
            <w:noProof/>
            <w:webHidden/>
          </w:rPr>
          <w:fldChar w:fldCharType="separate"/>
        </w:r>
        <w:r>
          <w:rPr>
            <w:noProof/>
            <w:webHidden/>
          </w:rPr>
          <w:t>11</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06" w:history="1">
        <w:r>
          <w:rPr>
            <w:rStyle w:val="Hyperlink"/>
            <w:noProof/>
          </w:rPr>
          <w:t>2.2.1.2.</w:t>
        </w:r>
        <w:r>
          <w:rPr>
            <w:rFonts w:asciiTheme="minorHAnsi" w:eastAsiaTheme="minorEastAsia" w:hAnsiTheme="minorHAnsi" w:cstheme="minorBidi"/>
            <w:noProof/>
            <w:sz w:val="22"/>
            <w:szCs w:val="22"/>
            <w:lang w:eastAsia="en-GB"/>
          </w:rPr>
          <w:tab/>
        </w:r>
        <w:r>
          <w:rPr>
            <w:rStyle w:val="Hyperlink"/>
            <w:noProof/>
          </w:rPr>
          <w:t>Decisions on monthly payments for 2016</w:t>
        </w:r>
        <w:r>
          <w:rPr>
            <w:noProof/>
            <w:webHidden/>
          </w:rPr>
          <w:tab/>
        </w:r>
        <w:r>
          <w:rPr>
            <w:noProof/>
            <w:webHidden/>
          </w:rPr>
          <w:fldChar w:fldCharType="begin"/>
        </w:r>
        <w:r>
          <w:rPr>
            <w:noProof/>
            <w:webHidden/>
          </w:rPr>
          <w:instrText xml:space="preserve"> PAGEREF _Toc484783906 \h </w:instrText>
        </w:r>
        <w:r>
          <w:rPr>
            <w:noProof/>
            <w:webHidden/>
          </w:rPr>
        </w:r>
        <w:r>
          <w:rPr>
            <w:noProof/>
            <w:webHidden/>
          </w:rPr>
          <w:fldChar w:fldCharType="separate"/>
        </w:r>
        <w:r>
          <w:rPr>
            <w:noProof/>
            <w:webHidden/>
          </w:rPr>
          <w:t>11</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07" w:history="1">
        <w:r>
          <w:rPr>
            <w:rStyle w:val="Hyperlink"/>
            <w:noProof/>
          </w:rPr>
          <w:t>2.2.1.3.</w:t>
        </w:r>
        <w:r>
          <w:rPr>
            <w:rFonts w:asciiTheme="minorHAnsi" w:eastAsiaTheme="minorEastAsia" w:hAnsiTheme="minorHAnsi" w:cstheme="minorBidi"/>
            <w:noProof/>
            <w:sz w:val="22"/>
            <w:szCs w:val="22"/>
            <w:lang w:eastAsia="en-GB"/>
          </w:rPr>
          <w:tab/>
        </w:r>
        <w:r>
          <w:rPr>
            <w:rStyle w:val="Hyperlink"/>
            <w:noProof/>
          </w:rPr>
          <w:t>Reductions and suspensions of monthly payments</w:t>
        </w:r>
        <w:r>
          <w:rPr>
            <w:noProof/>
            <w:webHidden/>
          </w:rPr>
          <w:tab/>
        </w:r>
        <w:r>
          <w:rPr>
            <w:noProof/>
            <w:webHidden/>
          </w:rPr>
          <w:fldChar w:fldCharType="begin"/>
        </w:r>
        <w:r>
          <w:rPr>
            <w:noProof/>
            <w:webHidden/>
          </w:rPr>
          <w:instrText xml:space="preserve"> PAGEREF _Toc484783907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08" w:history="1">
        <w:r>
          <w:rPr>
            <w:rStyle w:val="Hyperlink"/>
            <w:iCs/>
            <w:noProof/>
          </w:rPr>
          <w:t>2.2.2.</w:t>
        </w:r>
        <w:r>
          <w:rPr>
            <w:rFonts w:asciiTheme="minorHAnsi" w:eastAsiaTheme="minorEastAsia" w:hAnsiTheme="minorHAnsi" w:cstheme="minorBidi"/>
            <w:noProof/>
            <w:sz w:val="22"/>
            <w:szCs w:val="22"/>
            <w:lang w:eastAsia="en-GB"/>
          </w:rPr>
          <w:tab/>
        </w:r>
        <w:r>
          <w:rPr>
            <w:rStyle w:val="Hyperlink"/>
            <w:noProof/>
          </w:rPr>
          <w:t xml:space="preserve">Direct management expenditure </w:t>
        </w:r>
        <w:r>
          <w:rPr>
            <w:rStyle w:val="Hyperlink"/>
            <w:iCs/>
            <w:noProof/>
          </w:rPr>
          <w:t>by the Commission</w:t>
        </w:r>
        <w:r>
          <w:rPr>
            <w:noProof/>
            <w:webHidden/>
          </w:rPr>
          <w:tab/>
        </w:r>
        <w:r>
          <w:rPr>
            <w:noProof/>
            <w:webHidden/>
          </w:rPr>
          <w:fldChar w:fldCharType="begin"/>
        </w:r>
        <w:r>
          <w:rPr>
            <w:noProof/>
            <w:webHidden/>
          </w:rPr>
          <w:instrText xml:space="preserve"> PAGEREF _Toc484783908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84783909"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THE IMPLEMENTATION OF THE 2016 EAGF BUDGET</w:t>
        </w:r>
        <w:r>
          <w:rPr>
            <w:noProof/>
            <w:webHidden/>
          </w:rPr>
          <w:tab/>
        </w:r>
        <w:r>
          <w:rPr>
            <w:noProof/>
            <w:webHidden/>
          </w:rPr>
          <w:fldChar w:fldCharType="begin"/>
        </w:r>
        <w:r>
          <w:rPr>
            <w:noProof/>
            <w:webHidden/>
          </w:rPr>
          <w:instrText xml:space="preserve"> PAGEREF _Toc484783909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10"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The uptake of the EAGF budget appropriations</w:t>
        </w:r>
        <w:r>
          <w:rPr>
            <w:noProof/>
            <w:webHidden/>
          </w:rPr>
          <w:tab/>
        </w:r>
        <w:r>
          <w:rPr>
            <w:noProof/>
            <w:webHidden/>
          </w:rPr>
          <w:fldChar w:fldCharType="begin"/>
        </w:r>
        <w:r>
          <w:rPr>
            <w:noProof/>
            <w:webHidden/>
          </w:rPr>
          <w:instrText xml:space="preserve"> PAGEREF _Toc484783910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11"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Comments on the implementation of 2016 EAGF budget</w:t>
        </w:r>
        <w:r>
          <w:rPr>
            <w:noProof/>
            <w:webHidden/>
          </w:rPr>
          <w:tab/>
        </w:r>
        <w:r>
          <w:rPr>
            <w:noProof/>
            <w:webHidden/>
          </w:rPr>
          <w:fldChar w:fldCharType="begin"/>
        </w:r>
        <w:r>
          <w:rPr>
            <w:noProof/>
            <w:webHidden/>
          </w:rPr>
          <w:instrText xml:space="preserve"> PAGEREF _Toc484783911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12" w:history="1">
        <w:r>
          <w:rPr>
            <w:rStyle w:val="Hyperlink"/>
            <w:noProof/>
          </w:rPr>
          <w:t>3.2.1.</w:t>
        </w:r>
        <w:r>
          <w:rPr>
            <w:rFonts w:asciiTheme="minorHAnsi" w:eastAsiaTheme="minorEastAsia" w:hAnsiTheme="minorHAnsi" w:cstheme="minorBidi"/>
            <w:noProof/>
            <w:sz w:val="22"/>
            <w:szCs w:val="22"/>
            <w:lang w:eastAsia="en-GB"/>
          </w:rPr>
          <w:tab/>
        </w:r>
        <w:r>
          <w:rPr>
            <w:rStyle w:val="Hyperlink"/>
            <w:noProof/>
          </w:rPr>
          <w:t>Chapter 05 02: Interventions in agricultural markets</w:t>
        </w:r>
        <w:r>
          <w:rPr>
            <w:noProof/>
            <w:webHidden/>
          </w:rPr>
          <w:tab/>
        </w:r>
        <w:r>
          <w:rPr>
            <w:noProof/>
            <w:webHidden/>
          </w:rPr>
          <w:fldChar w:fldCharType="begin"/>
        </w:r>
        <w:r>
          <w:rPr>
            <w:noProof/>
            <w:webHidden/>
          </w:rPr>
          <w:instrText xml:space="preserve"> PAGEREF _Toc484783912 \h </w:instrText>
        </w:r>
        <w:r>
          <w:rPr>
            <w:noProof/>
            <w:webHidden/>
          </w:rPr>
        </w:r>
        <w:r>
          <w:rPr>
            <w:noProof/>
            <w:webHidden/>
          </w:rPr>
          <w:fldChar w:fldCharType="separate"/>
        </w:r>
        <w:r>
          <w:rPr>
            <w:noProof/>
            <w:webHidden/>
          </w:rPr>
          <w:t>13</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13" w:history="1">
        <w:r>
          <w:rPr>
            <w:rStyle w:val="Hyperlink"/>
            <w:noProof/>
          </w:rPr>
          <w:t>3.2.1.1.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_Toc484783913 \h </w:instrText>
        </w:r>
        <w:r>
          <w:rPr>
            <w:noProof/>
            <w:webHidden/>
          </w:rPr>
        </w:r>
        <w:r>
          <w:rPr>
            <w:noProof/>
            <w:webHidden/>
          </w:rPr>
          <w:fldChar w:fldCharType="separate"/>
        </w:r>
        <w:r>
          <w:rPr>
            <w:noProof/>
            <w:webHidden/>
          </w:rPr>
          <w:t>13</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14" w:history="1">
        <w:r>
          <w:rPr>
            <w:rStyle w:val="Hyperlink"/>
            <w:noProof/>
          </w:rPr>
          <w:t>3.2.1.2.</w:t>
        </w:r>
        <w:r>
          <w:rPr>
            <w:rFonts w:asciiTheme="minorHAnsi" w:eastAsiaTheme="minorEastAsia" w:hAnsiTheme="minorHAnsi" w:cstheme="minorBidi"/>
            <w:noProof/>
            <w:sz w:val="22"/>
            <w:szCs w:val="22"/>
            <w:lang w:eastAsia="en-GB"/>
          </w:rPr>
          <w:tab/>
        </w:r>
        <w:r>
          <w:rPr>
            <w:rStyle w:val="Hyperlink"/>
            <w:noProof/>
          </w:rPr>
          <w:t>Article 05 02 08: Fruits and vegetables</w:t>
        </w:r>
        <w:r>
          <w:rPr>
            <w:noProof/>
            <w:webHidden/>
          </w:rPr>
          <w:tab/>
        </w:r>
        <w:r>
          <w:rPr>
            <w:noProof/>
            <w:webHidden/>
          </w:rPr>
          <w:fldChar w:fldCharType="begin"/>
        </w:r>
        <w:r>
          <w:rPr>
            <w:noProof/>
            <w:webHidden/>
          </w:rPr>
          <w:instrText xml:space="preserve"> PAGEREF _Toc484783914 \h </w:instrText>
        </w:r>
        <w:r>
          <w:rPr>
            <w:noProof/>
            <w:webHidden/>
          </w:rPr>
        </w:r>
        <w:r>
          <w:rPr>
            <w:noProof/>
            <w:webHidden/>
          </w:rPr>
          <w:fldChar w:fldCharType="separate"/>
        </w:r>
        <w:r>
          <w:rPr>
            <w:noProof/>
            <w:webHidden/>
          </w:rPr>
          <w:t>13</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15" w:history="1">
        <w:r>
          <w:rPr>
            <w:rStyle w:val="Hyperlink"/>
            <w:noProof/>
          </w:rPr>
          <w:t>3.2.1.3.</w:t>
        </w:r>
        <w:r>
          <w:rPr>
            <w:rFonts w:asciiTheme="minorHAnsi" w:eastAsiaTheme="minorEastAsia" w:hAnsiTheme="minorHAnsi" w:cstheme="minorBidi"/>
            <w:noProof/>
            <w:sz w:val="22"/>
            <w:szCs w:val="22"/>
            <w:lang w:eastAsia="en-GB"/>
          </w:rPr>
          <w:tab/>
        </w:r>
        <w:r>
          <w:rPr>
            <w:rStyle w:val="Hyperlink"/>
            <w:noProof/>
          </w:rPr>
          <w:t>Article 05 02 09: Products of the wine-growing sector</w:t>
        </w:r>
        <w:r>
          <w:rPr>
            <w:noProof/>
            <w:webHidden/>
          </w:rPr>
          <w:tab/>
        </w:r>
        <w:r>
          <w:rPr>
            <w:noProof/>
            <w:webHidden/>
          </w:rPr>
          <w:fldChar w:fldCharType="begin"/>
        </w:r>
        <w:r>
          <w:rPr>
            <w:noProof/>
            <w:webHidden/>
          </w:rPr>
          <w:instrText xml:space="preserve"> PAGEREF _Toc484783915 \h </w:instrText>
        </w:r>
        <w:r>
          <w:rPr>
            <w:noProof/>
            <w:webHidden/>
          </w:rPr>
        </w:r>
        <w:r>
          <w:rPr>
            <w:noProof/>
            <w:webHidden/>
          </w:rPr>
          <w:fldChar w:fldCharType="separate"/>
        </w:r>
        <w:r>
          <w:rPr>
            <w:noProof/>
            <w:webHidden/>
          </w:rPr>
          <w:t>14</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16" w:history="1">
        <w:r>
          <w:rPr>
            <w:rStyle w:val="Hyperlink"/>
            <w:noProof/>
          </w:rPr>
          <w:t>3.2.1.4.</w:t>
        </w:r>
        <w:r>
          <w:rPr>
            <w:rFonts w:asciiTheme="minorHAnsi" w:eastAsiaTheme="minorEastAsia" w:hAnsiTheme="minorHAnsi" w:cstheme="minorBidi"/>
            <w:noProof/>
            <w:sz w:val="22"/>
            <w:szCs w:val="22"/>
            <w:lang w:eastAsia="en-GB"/>
          </w:rPr>
          <w:tab/>
        </w:r>
        <w:r>
          <w:rPr>
            <w:rStyle w:val="Hyperlink"/>
            <w:noProof/>
          </w:rPr>
          <w:t>Article 05 02 10: Promotion</w:t>
        </w:r>
        <w:r>
          <w:rPr>
            <w:noProof/>
            <w:webHidden/>
          </w:rPr>
          <w:tab/>
        </w:r>
        <w:r>
          <w:rPr>
            <w:noProof/>
            <w:webHidden/>
          </w:rPr>
          <w:fldChar w:fldCharType="begin"/>
        </w:r>
        <w:r>
          <w:rPr>
            <w:noProof/>
            <w:webHidden/>
          </w:rPr>
          <w:instrText xml:space="preserve"> PAGEREF _Toc484783916 \h </w:instrText>
        </w:r>
        <w:r>
          <w:rPr>
            <w:noProof/>
            <w:webHidden/>
          </w:rPr>
        </w:r>
        <w:r>
          <w:rPr>
            <w:noProof/>
            <w:webHidden/>
          </w:rPr>
          <w:fldChar w:fldCharType="separate"/>
        </w:r>
        <w:r>
          <w:rPr>
            <w:noProof/>
            <w:webHidden/>
          </w:rPr>
          <w:t>14</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17" w:history="1">
        <w:r>
          <w:rPr>
            <w:rStyle w:val="Hyperlink"/>
            <w:noProof/>
          </w:rPr>
          <w:t>3.2.1.5.</w:t>
        </w:r>
        <w:r>
          <w:rPr>
            <w:rFonts w:asciiTheme="minorHAnsi" w:eastAsiaTheme="minorEastAsia" w:hAnsiTheme="minorHAnsi" w:cstheme="minorBidi"/>
            <w:noProof/>
            <w:sz w:val="22"/>
            <w:szCs w:val="22"/>
            <w:lang w:eastAsia="en-GB"/>
          </w:rPr>
          <w:tab/>
        </w:r>
        <w:r>
          <w:rPr>
            <w:rStyle w:val="Hyperlink"/>
            <w:noProof/>
          </w:rPr>
          <w:t>Article 05 02 11: Other plant products/measures</w:t>
        </w:r>
        <w:r>
          <w:rPr>
            <w:noProof/>
            <w:webHidden/>
          </w:rPr>
          <w:tab/>
        </w:r>
        <w:r>
          <w:rPr>
            <w:noProof/>
            <w:webHidden/>
          </w:rPr>
          <w:fldChar w:fldCharType="begin"/>
        </w:r>
        <w:r>
          <w:rPr>
            <w:noProof/>
            <w:webHidden/>
          </w:rPr>
          <w:instrText xml:space="preserve"> PAGEREF _Toc484783917 \h </w:instrText>
        </w:r>
        <w:r>
          <w:rPr>
            <w:noProof/>
            <w:webHidden/>
          </w:rPr>
        </w:r>
        <w:r>
          <w:rPr>
            <w:noProof/>
            <w:webHidden/>
          </w:rPr>
          <w:fldChar w:fldCharType="separate"/>
        </w:r>
        <w:r>
          <w:rPr>
            <w:noProof/>
            <w:webHidden/>
          </w:rPr>
          <w:t>14</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18" w:history="1">
        <w:r>
          <w:rPr>
            <w:rStyle w:val="Hyperlink"/>
            <w:noProof/>
          </w:rPr>
          <w:t>3.2.1.6.</w:t>
        </w:r>
        <w:r>
          <w:rPr>
            <w:rFonts w:asciiTheme="minorHAnsi" w:eastAsiaTheme="minorEastAsia" w:hAnsiTheme="minorHAnsi" w:cstheme="minorBidi"/>
            <w:noProof/>
            <w:sz w:val="22"/>
            <w:szCs w:val="22"/>
            <w:lang w:eastAsia="en-GB"/>
          </w:rPr>
          <w:tab/>
        </w:r>
        <w:r>
          <w:rPr>
            <w:rStyle w:val="Hyperlink"/>
            <w:noProof/>
          </w:rPr>
          <w:t>Article 05 02 12: Milk and milk products</w:t>
        </w:r>
        <w:r>
          <w:rPr>
            <w:noProof/>
            <w:webHidden/>
          </w:rPr>
          <w:tab/>
        </w:r>
        <w:r>
          <w:rPr>
            <w:noProof/>
            <w:webHidden/>
          </w:rPr>
          <w:fldChar w:fldCharType="begin"/>
        </w:r>
        <w:r>
          <w:rPr>
            <w:noProof/>
            <w:webHidden/>
          </w:rPr>
          <w:instrText xml:space="preserve"> PAGEREF _Toc484783918 \h </w:instrText>
        </w:r>
        <w:r>
          <w:rPr>
            <w:noProof/>
            <w:webHidden/>
          </w:rPr>
        </w:r>
        <w:r>
          <w:rPr>
            <w:noProof/>
            <w:webHidden/>
          </w:rPr>
          <w:fldChar w:fldCharType="separate"/>
        </w:r>
        <w:r>
          <w:rPr>
            <w:noProof/>
            <w:webHidden/>
          </w:rPr>
          <w:t>14</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19" w:history="1">
        <w:r>
          <w:rPr>
            <w:rStyle w:val="Hyperlink"/>
            <w:noProof/>
          </w:rPr>
          <w:t>3.2.1.7.</w:t>
        </w:r>
        <w:r>
          <w:rPr>
            <w:rFonts w:asciiTheme="minorHAnsi" w:eastAsiaTheme="minorEastAsia" w:hAnsiTheme="minorHAnsi" w:cstheme="minorBidi"/>
            <w:noProof/>
            <w:sz w:val="22"/>
            <w:szCs w:val="22"/>
            <w:lang w:eastAsia="en-GB"/>
          </w:rPr>
          <w:tab/>
        </w:r>
        <w:r>
          <w:rPr>
            <w:rStyle w:val="Hyperlink"/>
            <w:noProof/>
          </w:rPr>
          <w:t>Article 05 02 15: Pig meat, eggs and poultry, bee-keeping and other animal products</w:t>
        </w:r>
        <w:r>
          <w:rPr>
            <w:noProof/>
            <w:webHidden/>
          </w:rPr>
          <w:tab/>
        </w:r>
        <w:r>
          <w:rPr>
            <w:noProof/>
            <w:webHidden/>
          </w:rPr>
          <w:fldChar w:fldCharType="begin"/>
        </w:r>
        <w:r>
          <w:rPr>
            <w:noProof/>
            <w:webHidden/>
          </w:rPr>
          <w:instrText xml:space="preserve"> PAGEREF _Toc484783919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20" w:history="1">
        <w:r>
          <w:rPr>
            <w:rStyle w:val="Hyperlink"/>
            <w:noProof/>
          </w:rPr>
          <w:t>3.2.2.</w:t>
        </w:r>
        <w:r>
          <w:rPr>
            <w:rFonts w:asciiTheme="minorHAnsi" w:eastAsiaTheme="minorEastAsia" w:hAnsiTheme="minorHAnsi" w:cstheme="minorBidi"/>
            <w:noProof/>
            <w:sz w:val="22"/>
            <w:szCs w:val="22"/>
            <w:lang w:eastAsia="en-GB"/>
          </w:rPr>
          <w:tab/>
        </w:r>
        <w:r>
          <w:rPr>
            <w:rStyle w:val="Hyperlink"/>
            <w:noProof/>
          </w:rPr>
          <w:t>Chapter 05 03: Direct payments</w:t>
        </w:r>
        <w:r>
          <w:rPr>
            <w:noProof/>
            <w:webHidden/>
          </w:rPr>
          <w:tab/>
        </w:r>
        <w:r>
          <w:rPr>
            <w:noProof/>
            <w:webHidden/>
          </w:rPr>
          <w:fldChar w:fldCharType="begin"/>
        </w:r>
        <w:r>
          <w:rPr>
            <w:noProof/>
            <w:webHidden/>
          </w:rPr>
          <w:instrText xml:space="preserve"> PAGEREF _Toc484783920 \h </w:instrText>
        </w:r>
        <w:r>
          <w:rPr>
            <w:noProof/>
            <w:webHidden/>
          </w:rPr>
        </w:r>
        <w:r>
          <w:rPr>
            <w:noProof/>
            <w:webHidden/>
          </w:rPr>
          <w:fldChar w:fldCharType="separate"/>
        </w:r>
        <w:r>
          <w:rPr>
            <w:noProof/>
            <w:webHidden/>
          </w:rPr>
          <w:t>15</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21" w:history="1">
        <w:r>
          <w:rPr>
            <w:rStyle w:val="Hyperlink"/>
            <w:noProof/>
          </w:rPr>
          <w:t>3.2.2.1.</w:t>
        </w:r>
        <w:r>
          <w:rPr>
            <w:rFonts w:asciiTheme="minorHAnsi" w:eastAsiaTheme="minorEastAsia" w:hAnsiTheme="minorHAnsi" w:cstheme="minorBidi"/>
            <w:noProof/>
            <w:sz w:val="22"/>
            <w:szCs w:val="22"/>
            <w:lang w:eastAsia="en-GB"/>
          </w:rPr>
          <w:tab/>
        </w:r>
        <w:r>
          <w:rPr>
            <w:rStyle w:val="Hyperlink"/>
            <w:noProof/>
          </w:rPr>
          <w:t>Article 05 03 01: Decoupled direct payments</w:t>
        </w:r>
        <w:r>
          <w:rPr>
            <w:noProof/>
            <w:webHidden/>
          </w:rPr>
          <w:tab/>
        </w:r>
        <w:r>
          <w:rPr>
            <w:noProof/>
            <w:webHidden/>
          </w:rPr>
          <w:fldChar w:fldCharType="begin"/>
        </w:r>
        <w:r>
          <w:rPr>
            <w:noProof/>
            <w:webHidden/>
          </w:rPr>
          <w:instrText xml:space="preserve"> PAGEREF _Toc484783921 \h </w:instrText>
        </w:r>
        <w:r>
          <w:rPr>
            <w:noProof/>
            <w:webHidden/>
          </w:rPr>
        </w:r>
        <w:r>
          <w:rPr>
            <w:noProof/>
            <w:webHidden/>
          </w:rPr>
          <w:fldChar w:fldCharType="separate"/>
        </w:r>
        <w:r>
          <w:rPr>
            <w:noProof/>
            <w:webHidden/>
          </w:rPr>
          <w:t>16</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22" w:history="1">
        <w:r>
          <w:rPr>
            <w:rStyle w:val="Hyperlink"/>
            <w:noProof/>
          </w:rPr>
          <w:t>3.2.2.2.</w:t>
        </w:r>
        <w:r>
          <w:rPr>
            <w:rFonts w:asciiTheme="minorHAnsi" w:eastAsiaTheme="minorEastAsia" w:hAnsiTheme="minorHAnsi" w:cstheme="minorBidi"/>
            <w:noProof/>
            <w:sz w:val="22"/>
            <w:szCs w:val="22"/>
            <w:lang w:eastAsia="en-GB"/>
          </w:rPr>
          <w:tab/>
        </w:r>
        <w:r>
          <w:rPr>
            <w:rStyle w:val="Hyperlink"/>
            <w:noProof/>
          </w:rPr>
          <w:t>Article 05 03 02: Other direct payments</w:t>
        </w:r>
        <w:r>
          <w:rPr>
            <w:noProof/>
            <w:webHidden/>
          </w:rPr>
          <w:tab/>
        </w:r>
        <w:r>
          <w:rPr>
            <w:noProof/>
            <w:webHidden/>
          </w:rPr>
          <w:fldChar w:fldCharType="begin"/>
        </w:r>
        <w:r>
          <w:rPr>
            <w:noProof/>
            <w:webHidden/>
          </w:rPr>
          <w:instrText xml:space="preserve"> PAGEREF _Toc484783922 \h </w:instrText>
        </w:r>
        <w:r>
          <w:rPr>
            <w:noProof/>
            <w:webHidden/>
          </w:rPr>
        </w:r>
        <w:r>
          <w:rPr>
            <w:noProof/>
            <w:webHidden/>
          </w:rPr>
          <w:fldChar w:fldCharType="separate"/>
        </w:r>
        <w:r>
          <w:rPr>
            <w:noProof/>
            <w:webHidden/>
          </w:rPr>
          <w:t>17</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23" w:history="1">
        <w:r>
          <w:rPr>
            <w:rStyle w:val="Hyperlink"/>
            <w:noProof/>
          </w:rPr>
          <w:t>3.2.2.3.</w:t>
        </w:r>
        <w:r>
          <w:rPr>
            <w:rFonts w:asciiTheme="minorHAnsi" w:eastAsiaTheme="minorEastAsia" w:hAnsiTheme="minorHAnsi" w:cstheme="minorBidi"/>
            <w:noProof/>
            <w:sz w:val="22"/>
            <w:szCs w:val="22"/>
            <w:lang w:eastAsia="en-GB"/>
          </w:rPr>
          <w:tab/>
        </w:r>
        <w:r>
          <w:rPr>
            <w:rStyle w:val="Hyperlink"/>
            <w:noProof/>
          </w:rPr>
          <w:t>Article 05 03 03: Additional amounts of aid</w:t>
        </w:r>
        <w:r>
          <w:rPr>
            <w:noProof/>
            <w:webHidden/>
          </w:rPr>
          <w:tab/>
        </w:r>
        <w:r>
          <w:rPr>
            <w:noProof/>
            <w:webHidden/>
          </w:rPr>
          <w:fldChar w:fldCharType="begin"/>
        </w:r>
        <w:r>
          <w:rPr>
            <w:noProof/>
            <w:webHidden/>
          </w:rPr>
          <w:instrText xml:space="preserve"> PAGEREF _Toc484783923 \h </w:instrText>
        </w:r>
        <w:r>
          <w:rPr>
            <w:noProof/>
            <w:webHidden/>
          </w:rPr>
        </w:r>
        <w:r>
          <w:rPr>
            <w:noProof/>
            <w:webHidden/>
          </w:rPr>
          <w:fldChar w:fldCharType="separate"/>
        </w:r>
        <w:r>
          <w:rPr>
            <w:noProof/>
            <w:webHidden/>
          </w:rPr>
          <w:t>18</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24" w:history="1">
        <w:r>
          <w:rPr>
            <w:rStyle w:val="Hyperlink"/>
            <w:noProof/>
          </w:rPr>
          <w:t>3.2.2.4.</w:t>
        </w:r>
        <w:r>
          <w:rPr>
            <w:rFonts w:asciiTheme="minorHAnsi" w:eastAsiaTheme="minorEastAsia" w:hAnsiTheme="minorHAnsi" w:cstheme="minorBidi"/>
            <w:noProof/>
            <w:sz w:val="22"/>
            <w:szCs w:val="22"/>
            <w:lang w:eastAsia="en-GB"/>
          </w:rPr>
          <w:tab/>
        </w:r>
        <w:r>
          <w:rPr>
            <w:rStyle w:val="Hyperlink"/>
            <w:noProof/>
          </w:rPr>
          <w:t>Article 05 03 09: Reimbursement of direct payments in relation to financial discipline</w:t>
        </w:r>
        <w:r>
          <w:rPr>
            <w:noProof/>
            <w:webHidden/>
          </w:rPr>
          <w:tab/>
        </w:r>
        <w:r>
          <w:rPr>
            <w:noProof/>
            <w:webHidden/>
          </w:rPr>
          <w:fldChar w:fldCharType="begin"/>
        </w:r>
        <w:r>
          <w:rPr>
            <w:noProof/>
            <w:webHidden/>
          </w:rPr>
          <w:instrText xml:space="preserve"> PAGEREF _Toc484783924 \h </w:instrText>
        </w:r>
        <w:r>
          <w:rPr>
            <w:noProof/>
            <w:webHidden/>
          </w:rPr>
        </w:r>
        <w:r>
          <w:rPr>
            <w:noProof/>
            <w:webHidden/>
          </w:rPr>
          <w:fldChar w:fldCharType="separate"/>
        </w:r>
        <w:r>
          <w:rPr>
            <w:noProof/>
            <w:webHidden/>
          </w:rPr>
          <w:t>18</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25" w:history="1">
        <w:r>
          <w:rPr>
            <w:rStyle w:val="Hyperlink"/>
            <w:noProof/>
          </w:rPr>
          <w:t>3.2.2.5.</w:t>
        </w:r>
        <w:r>
          <w:rPr>
            <w:rFonts w:asciiTheme="minorHAnsi" w:eastAsiaTheme="minorEastAsia" w:hAnsiTheme="minorHAnsi" w:cstheme="minorBidi"/>
            <w:noProof/>
            <w:sz w:val="22"/>
            <w:szCs w:val="22"/>
            <w:lang w:eastAsia="en-GB"/>
          </w:rPr>
          <w:tab/>
        </w:r>
        <w:r>
          <w:rPr>
            <w:rStyle w:val="Hyperlink"/>
            <w:noProof/>
          </w:rPr>
          <w:t>Article 05 03 10: Reserve for crises in the agricultural sector</w:t>
        </w:r>
        <w:r>
          <w:rPr>
            <w:noProof/>
            <w:webHidden/>
          </w:rPr>
          <w:tab/>
        </w:r>
        <w:r>
          <w:rPr>
            <w:noProof/>
            <w:webHidden/>
          </w:rPr>
          <w:fldChar w:fldCharType="begin"/>
        </w:r>
        <w:r>
          <w:rPr>
            <w:noProof/>
            <w:webHidden/>
          </w:rPr>
          <w:instrText xml:space="preserve"> PAGEREF _Toc484783925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26" w:history="1">
        <w:r>
          <w:rPr>
            <w:rStyle w:val="Hyperlink"/>
            <w:noProof/>
          </w:rPr>
          <w:t>3.2.3.</w:t>
        </w:r>
        <w:r>
          <w:rPr>
            <w:rFonts w:asciiTheme="minorHAnsi" w:eastAsiaTheme="minorEastAsia" w:hAnsiTheme="minorHAnsi" w:cstheme="minorBidi"/>
            <w:noProof/>
            <w:sz w:val="22"/>
            <w:szCs w:val="22"/>
            <w:lang w:eastAsia="en-GB"/>
          </w:rPr>
          <w:tab/>
        </w:r>
        <w:r>
          <w:rPr>
            <w:rStyle w:val="Hyperlink"/>
            <w:noProof/>
          </w:rPr>
          <w:t>Chapter 05 04: Rural Development</w:t>
        </w:r>
        <w:r>
          <w:rPr>
            <w:noProof/>
            <w:webHidden/>
          </w:rPr>
          <w:tab/>
        </w:r>
        <w:r>
          <w:rPr>
            <w:noProof/>
            <w:webHidden/>
          </w:rPr>
          <w:fldChar w:fldCharType="begin"/>
        </w:r>
        <w:r>
          <w:rPr>
            <w:noProof/>
            <w:webHidden/>
          </w:rPr>
          <w:instrText xml:space="preserve"> PAGEREF _Toc484783926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27" w:history="1">
        <w:r>
          <w:rPr>
            <w:rStyle w:val="Hyperlink"/>
            <w:noProof/>
          </w:rPr>
          <w:t>3.2.4.</w:t>
        </w:r>
        <w:r>
          <w:rPr>
            <w:rFonts w:asciiTheme="minorHAnsi" w:eastAsiaTheme="minorEastAsia" w:hAnsiTheme="minorHAnsi" w:cstheme="minorBidi"/>
            <w:noProof/>
            <w:sz w:val="22"/>
            <w:szCs w:val="22"/>
            <w:lang w:eastAsia="en-GB"/>
          </w:rPr>
          <w:tab/>
        </w:r>
        <w:r>
          <w:rPr>
            <w:rStyle w:val="Hyperlink"/>
            <w:noProof/>
          </w:rPr>
          <w:t>Chapter 05 07: Audit of agricultural expenditure</w:t>
        </w:r>
        <w:r>
          <w:rPr>
            <w:noProof/>
            <w:webHidden/>
          </w:rPr>
          <w:tab/>
        </w:r>
        <w:r>
          <w:rPr>
            <w:noProof/>
            <w:webHidden/>
          </w:rPr>
          <w:fldChar w:fldCharType="begin"/>
        </w:r>
        <w:r>
          <w:rPr>
            <w:noProof/>
            <w:webHidden/>
          </w:rPr>
          <w:instrText xml:space="preserve"> PAGEREF _Toc484783927 \h </w:instrText>
        </w:r>
        <w:r>
          <w:rPr>
            <w:noProof/>
            <w:webHidden/>
          </w:rPr>
        </w:r>
        <w:r>
          <w:rPr>
            <w:noProof/>
            <w:webHidden/>
          </w:rPr>
          <w:fldChar w:fldCharType="separate"/>
        </w:r>
        <w:r>
          <w:rPr>
            <w:noProof/>
            <w:webHidden/>
          </w:rPr>
          <w:t>19</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28" w:history="1">
        <w:r>
          <w:rPr>
            <w:rStyle w:val="Hyperlink"/>
            <w:noProof/>
          </w:rPr>
          <w:t>3.2.4.1.</w:t>
        </w:r>
        <w:r>
          <w:rPr>
            <w:rFonts w:asciiTheme="minorHAnsi" w:eastAsiaTheme="minorEastAsia" w:hAnsiTheme="minorHAnsi" w:cstheme="minorBidi"/>
            <w:noProof/>
            <w:sz w:val="22"/>
            <w:szCs w:val="22"/>
            <w:lang w:eastAsia="en-GB"/>
          </w:rPr>
          <w:tab/>
        </w:r>
        <w:r>
          <w:rPr>
            <w:rStyle w:val="Hyperlink"/>
            <w:noProof/>
          </w:rPr>
          <w:t>Article 05 07 01: Control of agricultural expenditure</w:t>
        </w:r>
        <w:r>
          <w:rPr>
            <w:noProof/>
            <w:webHidden/>
          </w:rPr>
          <w:tab/>
        </w:r>
        <w:r>
          <w:rPr>
            <w:noProof/>
            <w:webHidden/>
          </w:rPr>
          <w:fldChar w:fldCharType="begin"/>
        </w:r>
        <w:r>
          <w:rPr>
            <w:noProof/>
            <w:webHidden/>
          </w:rPr>
          <w:instrText xml:space="preserve"> PAGEREF _Toc484783928 \h </w:instrText>
        </w:r>
        <w:r>
          <w:rPr>
            <w:noProof/>
            <w:webHidden/>
          </w:rPr>
        </w:r>
        <w:r>
          <w:rPr>
            <w:noProof/>
            <w:webHidden/>
          </w:rPr>
          <w:fldChar w:fldCharType="separate"/>
        </w:r>
        <w:r>
          <w:rPr>
            <w:noProof/>
            <w:webHidden/>
          </w:rPr>
          <w:t>19</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29" w:history="1">
        <w:r>
          <w:rPr>
            <w:rStyle w:val="Hyperlink"/>
            <w:noProof/>
          </w:rPr>
          <w:t>3.2.4.2.</w:t>
        </w:r>
        <w:r>
          <w:rPr>
            <w:rFonts w:asciiTheme="minorHAnsi" w:eastAsiaTheme="minorEastAsia" w:hAnsiTheme="minorHAnsi" w:cstheme="minorBidi"/>
            <w:noProof/>
            <w:sz w:val="22"/>
            <w:szCs w:val="22"/>
            <w:lang w:eastAsia="en-GB"/>
          </w:rPr>
          <w:tab/>
        </w:r>
        <w:r>
          <w:rPr>
            <w:rStyle w:val="Hyperlink"/>
            <w:noProof/>
          </w:rPr>
          <w:t>Article 05 07 02: Settlement of disputes</w:t>
        </w:r>
        <w:r>
          <w:rPr>
            <w:noProof/>
            <w:webHidden/>
          </w:rPr>
          <w:tab/>
        </w:r>
        <w:r>
          <w:rPr>
            <w:noProof/>
            <w:webHidden/>
          </w:rPr>
          <w:fldChar w:fldCharType="begin"/>
        </w:r>
        <w:r>
          <w:rPr>
            <w:noProof/>
            <w:webHidden/>
          </w:rPr>
          <w:instrText xml:space="preserve"> PAGEREF _Toc484783929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30" w:history="1">
        <w:r>
          <w:rPr>
            <w:rStyle w:val="Hyperlink"/>
            <w:noProof/>
          </w:rPr>
          <w:t>3.2.5.</w:t>
        </w:r>
        <w:r>
          <w:rPr>
            <w:rFonts w:asciiTheme="minorHAnsi" w:eastAsiaTheme="minorEastAsia" w:hAnsiTheme="minorHAnsi" w:cstheme="minorBidi"/>
            <w:noProof/>
            <w:sz w:val="22"/>
            <w:szCs w:val="22"/>
            <w:lang w:eastAsia="en-GB"/>
          </w:rPr>
          <w:tab/>
        </w:r>
        <w:r>
          <w:rPr>
            <w:rStyle w:val="Hyperlink"/>
            <w:noProof/>
          </w:rPr>
          <w:t>Chapter 05 08: Policy strategy and coordination</w:t>
        </w:r>
        <w:r>
          <w:rPr>
            <w:noProof/>
            <w:webHidden/>
          </w:rPr>
          <w:tab/>
        </w:r>
        <w:r>
          <w:rPr>
            <w:noProof/>
            <w:webHidden/>
          </w:rPr>
          <w:fldChar w:fldCharType="begin"/>
        </w:r>
        <w:r>
          <w:rPr>
            <w:noProof/>
            <w:webHidden/>
          </w:rPr>
          <w:instrText xml:space="preserve"> PAGEREF _Toc484783930 \h </w:instrText>
        </w:r>
        <w:r>
          <w:rPr>
            <w:noProof/>
            <w:webHidden/>
          </w:rPr>
        </w:r>
        <w:r>
          <w:rPr>
            <w:noProof/>
            <w:webHidden/>
          </w:rPr>
          <w:fldChar w:fldCharType="separate"/>
        </w:r>
        <w:r>
          <w:rPr>
            <w:noProof/>
            <w:webHidden/>
          </w:rPr>
          <w:t>20</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31" w:history="1">
        <w:r>
          <w:rPr>
            <w:rStyle w:val="Hyperlink"/>
            <w:noProof/>
          </w:rPr>
          <w:t>3.2.5.1.</w:t>
        </w:r>
        <w:r>
          <w:rPr>
            <w:rFonts w:asciiTheme="minorHAnsi" w:eastAsiaTheme="minorEastAsia" w:hAnsiTheme="minorHAnsi" w:cstheme="minorBidi"/>
            <w:noProof/>
            <w:sz w:val="22"/>
            <w:szCs w:val="22"/>
            <w:lang w:eastAsia="en-GB"/>
          </w:rPr>
          <w:tab/>
        </w:r>
        <w:r>
          <w:rPr>
            <w:rStyle w:val="Hyperlink"/>
            <w:noProof/>
          </w:rPr>
          <w:t>Article 05 08 01: Farm accountancy data network (FADN)</w:t>
        </w:r>
        <w:r>
          <w:rPr>
            <w:noProof/>
            <w:webHidden/>
          </w:rPr>
          <w:tab/>
        </w:r>
        <w:r>
          <w:rPr>
            <w:noProof/>
            <w:webHidden/>
          </w:rPr>
          <w:fldChar w:fldCharType="begin"/>
        </w:r>
        <w:r>
          <w:rPr>
            <w:noProof/>
            <w:webHidden/>
          </w:rPr>
          <w:instrText xml:space="preserve"> PAGEREF _Toc484783931 \h </w:instrText>
        </w:r>
        <w:r>
          <w:rPr>
            <w:noProof/>
            <w:webHidden/>
          </w:rPr>
        </w:r>
        <w:r>
          <w:rPr>
            <w:noProof/>
            <w:webHidden/>
          </w:rPr>
          <w:fldChar w:fldCharType="separate"/>
        </w:r>
        <w:r>
          <w:rPr>
            <w:noProof/>
            <w:webHidden/>
          </w:rPr>
          <w:t>20</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32" w:history="1">
        <w:r>
          <w:rPr>
            <w:rStyle w:val="Hyperlink"/>
            <w:noProof/>
          </w:rPr>
          <w:t>3.2.5.2.</w:t>
        </w:r>
        <w:r>
          <w:rPr>
            <w:rFonts w:asciiTheme="minorHAnsi" w:eastAsiaTheme="minorEastAsia" w:hAnsiTheme="minorHAnsi" w:cstheme="minorBidi"/>
            <w:noProof/>
            <w:sz w:val="22"/>
            <w:szCs w:val="22"/>
            <w:lang w:eastAsia="en-GB"/>
          </w:rPr>
          <w:tab/>
        </w:r>
        <w:r>
          <w:rPr>
            <w:rStyle w:val="Hyperlink"/>
            <w:noProof/>
          </w:rPr>
          <w:t>Article 05 08 02: Surveys on the structure of agricultural holdings</w:t>
        </w:r>
        <w:r>
          <w:rPr>
            <w:noProof/>
            <w:webHidden/>
          </w:rPr>
          <w:tab/>
        </w:r>
        <w:r>
          <w:rPr>
            <w:noProof/>
            <w:webHidden/>
          </w:rPr>
          <w:fldChar w:fldCharType="begin"/>
        </w:r>
        <w:r>
          <w:rPr>
            <w:noProof/>
            <w:webHidden/>
          </w:rPr>
          <w:instrText xml:space="preserve"> PAGEREF _Toc484783932 \h </w:instrText>
        </w:r>
        <w:r>
          <w:rPr>
            <w:noProof/>
            <w:webHidden/>
          </w:rPr>
        </w:r>
        <w:r>
          <w:rPr>
            <w:noProof/>
            <w:webHidden/>
          </w:rPr>
          <w:fldChar w:fldCharType="separate"/>
        </w:r>
        <w:r>
          <w:rPr>
            <w:noProof/>
            <w:webHidden/>
          </w:rPr>
          <w:t>20</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33" w:history="1">
        <w:r>
          <w:rPr>
            <w:rStyle w:val="Hyperlink"/>
            <w:noProof/>
          </w:rPr>
          <w:t>3.2.5.3.</w:t>
        </w:r>
        <w:r>
          <w:rPr>
            <w:rFonts w:asciiTheme="minorHAnsi" w:eastAsiaTheme="minorEastAsia" w:hAnsiTheme="minorHAnsi" w:cstheme="minorBidi"/>
            <w:noProof/>
            <w:sz w:val="22"/>
            <w:szCs w:val="22"/>
            <w:lang w:eastAsia="en-GB"/>
          </w:rPr>
          <w:tab/>
        </w:r>
        <w:r>
          <w:rPr>
            <w:rStyle w:val="Hyperlink"/>
            <w:noProof/>
          </w:rPr>
          <w:t>Article 05 08 03: Restructuring of systems for agricultural surveys</w:t>
        </w:r>
        <w:r>
          <w:rPr>
            <w:noProof/>
            <w:webHidden/>
          </w:rPr>
          <w:tab/>
        </w:r>
        <w:r>
          <w:rPr>
            <w:noProof/>
            <w:webHidden/>
          </w:rPr>
          <w:fldChar w:fldCharType="begin"/>
        </w:r>
        <w:r>
          <w:rPr>
            <w:noProof/>
            <w:webHidden/>
          </w:rPr>
          <w:instrText xml:space="preserve"> PAGEREF _Toc484783933 \h </w:instrText>
        </w:r>
        <w:r>
          <w:rPr>
            <w:noProof/>
            <w:webHidden/>
          </w:rPr>
        </w:r>
        <w:r>
          <w:rPr>
            <w:noProof/>
            <w:webHidden/>
          </w:rPr>
          <w:fldChar w:fldCharType="separate"/>
        </w:r>
        <w:r>
          <w:rPr>
            <w:noProof/>
            <w:webHidden/>
          </w:rPr>
          <w:t>20</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34" w:history="1">
        <w:r>
          <w:rPr>
            <w:rStyle w:val="Hyperlink"/>
            <w:noProof/>
          </w:rPr>
          <w:t>3.2.5.4.</w:t>
        </w:r>
        <w:r>
          <w:rPr>
            <w:rFonts w:asciiTheme="minorHAnsi" w:eastAsiaTheme="minorEastAsia" w:hAnsiTheme="minorHAnsi" w:cstheme="minorBidi"/>
            <w:noProof/>
            <w:sz w:val="22"/>
            <w:szCs w:val="22"/>
            <w:lang w:eastAsia="en-GB"/>
          </w:rPr>
          <w:tab/>
        </w:r>
        <w:r>
          <w:rPr>
            <w:rStyle w:val="Hyperlink"/>
            <w:noProof/>
          </w:rPr>
          <w:t>Article 05 08 06: Enhancing public awareness of the common agricultural policy</w:t>
        </w:r>
        <w:r>
          <w:rPr>
            <w:noProof/>
            <w:webHidden/>
          </w:rPr>
          <w:tab/>
        </w:r>
        <w:r>
          <w:rPr>
            <w:noProof/>
            <w:webHidden/>
          </w:rPr>
          <w:fldChar w:fldCharType="begin"/>
        </w:r>
        <w:r>
          <w:rPr>
            <w:noProof/>
            <w:webHidden/>
          </w:rPr>
          <w:instrText xml:space="preserve"> PAGEREF _Toc484783934 \h </w:instrText>
        </w:r>
        <w:r>
          <w:rPr>
            <w:noProof/>
            <w:webHidden/>
          </w:rPr>
        </w:r>
        <w:r>
          <w:rPr>
            <w:noProof/>
            <w:webHidden/>
          </w:rPr>
          <w:fldChar w:fldCharType="separate"/>
        </w:r>
        <w:r>
          <w:rPr>
            <w:noProof/>
            <w:webHidden/>
          </w:rPr>
          <w:t>20</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35" w:history="1">
        <w:r>
          <w:rPr>
            <w:rStyle w:val="Hyperlink"/>
            <w:noProof/>
          </w:rPr>
          <w:t>3.2.5.5.</w:t>
        </w:r>
        <w:r>
          <w:rPr>
            <w:rFonts w:asciiTheme="minorHAnsi" w:eastAsiaTheme="minorEastAsia" w:hAnsiTheme="minorHAnsi" w:cstheme="minorBidi"/>
            <w:noProof/>
            <w:sz w:val="22"/>
            <w:szCs w:val="22"/>
            <w:lang w:eastAsia="en-GB"/>
          </w:rPr>
          <w:tab/>
        </w:r>
        <w:r>
          <w:rPr>
            <w:rStyle w:val="Hyperlink"/>
            <w:noProof/>
          </w:rPr>
          <w:t>Article 05 08 09: EAGF – Operational technical assistance</w:t>
        </w:r>
        <w:r>
          <w:rPr>
            <w:noProof/>
            <w:webHidden/>
          </w:rPr>
          <w:tab/>
        </w:r>
        <w:r>
          <w:rPr>
            <w:noProof/>
            <w:webHidden/>
          </w:rPr>
          <w:fldChar w:fldCharType="begin"/>
        </w:r>
        <w:r>
          <w:rPr>
            <w:noProof/>
            <w:webHidden/>
          </w:rPr>
          <w:instrText xml:space="preserve"> PAGEREF _Toc484783935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84783936"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IMPLEMENTATION OF REVENUE ASSIGNED TO EAGF</w:t>
        </w:r>
        <w:r>
          <w:rPr>
            <w:noProof/>
            <w:webHidden/>
          </w:rPr>
          <w:tab/>
        </w:r>
        <w:r>
          <w:rPr>
            <w:noProof/>
            <w:webHidden/>
          </w:rPr>
          <w:fldChar w:fldCharType="begin"/>
        </w:r>
        <w:r>
          <w:rPr>
            <w:noProof/>
            <w:webHidden/>
          </w:rPr>
          <w:instrText xml:space="preserve"> PAGEREF _Toc484783936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84783937"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CONTROL MEASURES</w:t>
        </w:r>
        <w:r>
          <w:rPr>
            <w:noProof/>
            <w:webHidden/>
          </w:rPr>
          <w:tab/>
        </w:r>
        <w:r>
          <w:rPr>
            <w:noProof/>
            <w:webHidden/>
          </w:rPr>
          <w:fldChar w:fldCharType="begin"/>
        </w:r>
        <w:r>
          <w:rPr>
            <w:noProof/>
            <w:webHidden/>
          </w:rPr>
          <w:instrText xml:space="preserve"> PAGEREF _Toc484783937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38"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_Toc484783938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39"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Integrated Administration and Control System (IACS)</w:t>
        </w:r>
        <w:r>
          <w:rPr>
            <w:noProof/>
            <w:webHidden/>
          </w:rPr>
          <w:tab/>
        </w:r>
        <w:r>
          <w:rPr>
            <w:noProof/>
            <w:webHidden/>
          </w:rPr>
          <w:fldChar w:fldCharType="begin"/>
        </w:r>
        <w:r>
          <w:rPr>
            <w:noProof/>
            <w:webHidden/>
          </w:rPr>
          <w:instrText xml:space="preserve"> PAGEREF _Toc484783939 \h </w:instrText>
        </w:r>
        <w:r>
          <w:rPr>
            <w:noProof/>
            <w:webHidden/>
          </w:rPr>
        </w:r>
        <w:r>
          <w:rPr>
            <w:noProof/>
            <w:webHidden/>
          </w:rPr>
          <w:fldChar w:fldCharType="separate"/>
        </w:r>
        <w:r>
          <w:rPr>
            <w:noProof/>
            <w:webHidden/>
          </w:rPr>
          <w:t>21</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40"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Market measures</w:t>
        </w:r>
        <w:r>
          <w:rPr>
            <w:noProof/>
            <w:webHidden/>
          </w:rPr>
          <w:tab/>
        </w:r>
        <w:r>
          <w:rPr>
            <w:noProof/>
            <w:webHidden/>
          </w:rPr>
          <w:fldChar w:fldCharType="begin"/>
        </w:r>
        <w:r>
          <w:rPr>
            <w:noProof/>
            <w:webHidden/>
          </w:rPr>
          <w:instrText xml:space="preserve"> PAGEREF _Toc484783940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41"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Application of Chapter III of Title V Regulation (EU) No 1306/2013 (ex-post scrutiny)</w:t>
        </w:r>
        <w:r>
          <w:rPr>
            <w:noProof/>
            <w:webHidden/>
          </w:rPr>
          <w:tab/>
        </w:r>
        <w:r>
          <w:rPr>
            <w:noProof/>
            <w:webHidden/>
          </w:rPr>
          <w:fldChar w:fldCharType="begin"/>
        </w:r>
        <w:r>
          <w:rPr>
            <w:noProof/>
            <w:webHidden/>
          </w:rPr>
          <w:instrText xml:space="preserve"> PAGEREF _Toc484783941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84783942"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CLEARANCE OF ACCOUNTS</w:t>
        </w:r>
        <w:r>
          <w:rPr>
            <w:noProof/>
            <w:webHidden/>
          </w:rPr>
          <w:tab/>
        </w:r>
        <w:r>
          <w:rPr>
            <w:noProof/>
            <w:webHidden/>
          </w:rPr>
          <w:fldChar w:fldCharType="begin"/>
        </w:r>
        <w:r>
          <w:rPr>
            <w:noProof/>
            <w:webHidden/>
          </w:rPr>
          <w:instrText xml:space="preserve"> PAGEREF _Toc484783942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43"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Conformity clearance</w:t>
        </w:r>
        <w:r>
          <w:rPr>
            <w:noProof/>
            <w:webHidden/>
          </w:rPr>
          <w:tab/>
        </w:r>
        <w:r>
          <w:rPr>
            <w:noProof/>
            <w:webHidden/>
          </w:rPr>
          <w:fldChar w:fldCharType="begin"/>
        </w:r>
        <w:r>
          <w:rPr>
            <w:noProof/>
            <w:webHidden/>
          </w:rPr>
          <w:instrText xml:space="preserve"> PAGEREF _Toc484783943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44" w:history="1">
        <w:r>
          <w:rPr>
            <w:rStyle w:val="Hyperlink"/>
            <w:noProof/>
          </w:rPr>
          <w:t>6.1.1.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_Toc484783944 \h </w:instrText>
        </w:r>
        <w:r>
          <w:rPr>
            <w:noProof/>
            <w:webHidden/>
          </w:rPr>
        </w:r>
        <w:r>
          <w:rPr>
            <w:noProof/>
            <w:webHidden/>
          </w:rPr>
          <w:fldChar w:fldCharType="separate"/>
        </w:r>
        <w:r>
          <w:rPr>
            <w:noProof/>
            <w:webHidden/>
          </w:rPr>
          <w:t>23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45" w:history="1">
        <w:r>
          <w:rPr>
            <w:rStyle w:val="Hyperlink"/>
            <w:noProof/>
          </w:rPr>
          <w:t>6.1.2.</w:t>
        </w:r>
        <w:r>
          <w:rPr>
            <w:rFonts w:asciiTheme="minorHAnsi" w:eastAsiaTheme="minorEastAsia" w:hAnsiTheme="minorHAnsi" w:cstheme="minorBidi"/>
            <w:noProof/>
            <w:sz w:val="22"/>
            <w:szCs w:val="22"/>
            <w:lang w:eastAsia="en-GB"/>
          </w:rPr>
          <w:tab/>
        </w:r>
        <w:r>
          <w:rPr>
            <w:rStyle w:val="Hyperlink"/>
            <w:noProof/>
          </w:rPr>
          <w:t>Audits and decisions adopted in 2016</w:t>
        </w:r>
        <w:r>
          <w:rPr>
            <w:noProof/>
            <w:webHidden/>
          </w:rPr>
          <w:tab/>
        </w:r>
        <w:r>
          <w:rPr>
            <w:noProof/>
            <w:webHidden/>
          </w:rPr>
          <w:fldChar w:fldCharType="begin"/>
        </w:r>
        <w:r>
          <w:rPr>
            <w:noProof/>
            <w:webHidden/>
          </w:rPr>
          <w:instrText xml:space="preserve"> PAGEREF _Toc484783945 \h </w:instrText>
        </w:r>
        <w:r>
          <w:rPr>
            <w:noProof/>
            <w:webHidden/>
          </w:rPr>
        </w:r>
        <w:r>
          <w:rPr>
            <w:noProof/>
            <w:webHidden/>
          </w:rPr>
          <w:fldChar w:fldCharType="separate"/>
        </w:r>
        <w:r>
          <w:rPr>
            <w:noProof/>
            <w:webHidden/>
          </w:rPr>
          <w:t>23</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46" w:history="1">
        <w:r>
          <w:rPr>
            <w:rStyle w:val="Hyperlink"/>
            <w:noProof/>
          </w:rPr>
          <w:t>6.1.2.1.</w:t>
        </w:r>
        <w:r>
          <w:rPr>
            <w:rFonts w:asciiTheme="minorHAnsi" w:eastAsiaTheme="minorEastAsia" w:hAnsiTheme="minorHAnsi" w:cstheme="minorBidi"/>
            <w:noProof/>
            <w:sz w:val="22"/>
            <w:szCs w:val="22"/>
            <w:lang w:eastAsia="en-GB"/>
          </w:rPr>
          <w:tab/>
        </w:r>
        <w:r>
          <w:rPr>
            <w:rStyle w:val="Hyperlink"/>
            <w:noProof/>
          </w:rPr>
          <w:t>Audits</w:t>
        </w:r>
        <w:r>
          <w:rPr>
            <w:noProof/>
            <w:webHidden/>
          </w:rPr>
          <w:tab/>
        </w:r>
        <w:r>
          <w:rPr>
            <w:noProof/>
            <w:webHidden/>
          </w:rPr>
          <w:fldChar w:fldCharType="begin"/>
        </w:r>
        <w:r>
          <w:rPr>
            <w:noProof/>
            <w:webHidden/>
          </w:rPr>
          <w:instrText xml:space="preserve"> PAGEREF _Toc484783946 \h </w:instrText>
        </w:r>
        <w:r>
          <w:rPr>
            <w:noProof/>
            <w:webHidden/>
          </w:rPr>
        </w:r>
        <w:r>
          <w:rPr>
            <w:noProof/>
            <w:webHidden/>
          </w:rPr>
          <w:fldChar w:fldCharType="separate"/>
        </w:r>
        <w:r>
          <w:rPr>
            <w:noProof/>
            <w:webHidden/>
          </w:rPr>
          <w:t>23</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47" w:history="1">
        <w:r>
          <w:rPr>
            <w:rStyle w:val="Hyperlink"/>
            <w:noProof/>
          </w:rPr>
          <w:t>6.1.2.2.</w:t>
        </w:r>
        <w:r>
          <w:rPr>
            <w:rFonts w:asciiTheme="minorHAnsi" w:eastAsiaTheme="minorEastAsia" w:hAnsiTheme="minorHAnsi" w:cstheme="minorBidi"/>
            <w:noProof/>
            <w:sz w:val="22"/>
            <w:szCs w:val="22"/>
            <w:lang w:eastAsia="en-GB"/>
          </w:rPr>
          <w:tab/>
        </w:r>
        <w:r>
          <w:rPr>
            <w:rStyle w:val="Hyperlink"/>
            <w:noProof/>
          </w:rPr>
          <w:t>Conformity decisions</w:t>
        </w:r>
        <w:r>
          <w:rPr>
            <w:noProof/>
            <w:webHidden/>
          </w:rPr>
          <w:tab/>
        </w:r>
        <w:r>
          <w:rPr>
            <w:noProof/>
            <w:webHidden/>
          </w:rPr>
          <w:fldChar w:fldCharType="begin"/>
        </w:r>
        <w:r>
          <w:rPr>
            <w:noProof/>
            <w:webHidden/>
          </w:rPr>
          <w:instrText xml:space="preserve"> PAGEREF _Toc484783947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48"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Financial clearance</w:t>
        </w:r>
        <w:r>
          <w:rPr>
            <w:noProof/>
            <w:webHidden/>
          </w:rPr>
          <w:tab/>
        </w:r>
        <w:r>
          <w:rPr>
            <w:noProof/>
            <w:webHidden/>
          </w:rPr>
          <w:fldChar w:fldCharType="begin"/>
        </w:r>
        <w:r>
          <w:rPr>
            <w:noProof/>
            <w:webHidden/>
          </w:rPr>
          <w:instrText xml:space="preserve"> PAGEREF _Toc484783948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49"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_Toc484783949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50" w:history="1">
        <w:r>
          <w:rPr>
            <w:rStyle w:val="Hyperlink"/>
            <w:iCs/>
            <w:noProof/>
          </w:rPr>
          <w:t>6.2.2.</w:t>
        </w:r>
        <w:r>
          <w:rPr>
            <w:rFonts w:asciiTheme="minorHAnsi" w:eastAsiaTheme="minorEastAsia" w:hAnsiTheme="minorHAnsi" w:cstheme="minorBidi"/>
            <w:noProof/>
            <w:sz w:val="22"/>
            <w:szCs w:val="22"/>
            <w:lang w:eastAsia="en-GB"/>
          </w:rPr>
          <w:tab/>
        </w:r>
        <w:r>
          <w:rPr>
            <w:rStyle w:val="Hyperlink"/>
            <w:iCs/>
            <w:noProof/>
          </w:rPr>
          <w:t>Decisions</w:t>
        </w:r>
        <w:r>
          <w:rPr>
            <w:noProof/>
            <w:webHidden/>
          </w:rPr>
          <w:tab/>
        </w:r>
        <w:r>
          <w:rPr>
            <w:noProof/>
            <w:webHidden/>
          </w:rPr>
          <w:fldChar w:fldCharType="begin"/>
        </w:r>
        <w:r>
          <w:rPr>
            <w:noProof/>
            <w:webHidden/>
          </w:rPr>
          <w:instrText xml:space="preserve"> PAGEREF _Toc484783950 \h </w:instrText>
        </w:r>
        <w:r>
          <w:rPr>
            <w:noProof/>
            <w:webHidden/>
          </w:rPr>
        </w:r>
        <w:r>
          <w:rPr>
            <w:noProof/>
            <w:webHidden/>
          </w:rPr>
          <w:fldChar w:fldCharType="separate"/>
        </w:r>
        <w:r>
          <w:rPr>
            <w:noProof/>
            <w:webHidden/>
          </w:rPr>
          <w:t>25</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51" w:history="1">
        <w:r>
          <w:rPr>
            <w:rStyle w:val="Hyperlink"/>
            <w:noProof/>
          </w:rPr>
          <w:t>6.2.2.1.</w:t>
        </w:r>
        <w:r>
          <w:rPr>
            <w:rFonts w:asciiTheme="minorHAnsi" w:eastAsiaTheme="minorEastAsia" w:hAnsiTheme="minorHAnsi" w:cstheme="minorBidi"/>
            <w:noProof/>
            <w:sz w:val="22"/>
            <w:szCs w:val="22"/>
            <w:lang w:eastAsia="en-GB"/>
          </w:rPr>
          <w:tab/>
        </w:r>
        <w:r>
          <w:rPr>
            <w:rStyle w:val="Hyperlink"/>
            <w:noProof/>
          </w:rPr>
          <w:t>Financial clearance decision for the financial year 2010</w:t>
        </w:r>
        <w:r>
          <w:rPr>
            <w:noProof/>
            <w:webHidden/>
          </w:rPr>
          <w:tab/>
        </w:r>
        <w:r>
          <w:rPr>
            <w:noProof/>
            <w:webHidden/>
          </w:rPr>
          <w:fldChar w:fldCharType="begin"/>
        </w:r>
        <w:r>
          <w:rPr>
            <w:noProof/>
            <w:webHidden/>
          </w:rPr>
          <w:instrText xml:space="preserve"> PAGEREF _Toc484783951 \h </w:instrText>
        </w:r>
        <w:r>
          <w:rPr>
            <w:noProof/>
            <w:webHidden/>
          </w:rPr>
        </w:r>
        <w:r>
          <w:rPr>
            <w:noProof/>
            <w:webHidden/>
          </w:rPr>
          <w:fldChar w:fldCharType="separate"/>
        </w:r>
        <w:r>
          <w:rPr>
            <w:noProof/>
            <w:webHidden/>
          </w:rPr>
          <w:t>25</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52" w:history="1">
        <w:r>
          <w:rPr>
            <w:rStyle w:val="Hyperlink"/>
            <w:noProof/>
          </w:rPr>
          <w:t>6.2.2.2.</w:t>
        </w:r>
        <w:r>
          <w:rPr>
            <w:rFonts w:asciiTheme="minorHAnsi" w:eastAsiaTheme="minorEastAsia" w:hAnsiTheme="minorHAnsi" w:cstheme="minorBidi"/>
            <w:noProof/>
            <w:sz w:val="22"/>
            <w:szCs w:val="22"/>
            <w:lang w:eastAsia="en-GB"/>
          </w:rPr>
          <w:tab/>
        </w:r>
        <w:r>
          <w:rPr>
            <w:rStyle w:val="Hyperlink"/>
            <w:noProof/>
          </w:rPr>
          <w:t>Financial clearance decision for the financial year 2011</w:t>
        </w:r>
        <w:r>
          <w:rPr>
            <w:noProof/>
            <w:webHidden/>
          </w:rPr>
          <w:tab/>
        </w:r>
        <w:r>
          <w:rPr>
            <w:noProof/>
            <w:webHidden/>
          </w:rPr>
          <w:fldChar w:fldCharType="begin"/>
        </w:r>
        <w:r>
          <w:rPr>
            <w:noProof/>
            <w:webHidden/>
          </w:rPr>
          <w:instrText xml:space="preserve"> PAGEREF _Toc484783952 \h </w:instrText>
        </w:r>
        <w:r>
          <w:rPr>
            <w:noProof/>
            <w:webHidden/>
          </w:rPr>
        </w:r>
        <w:r>
          <w:rPr>
            <w:noProof/>
            <w:webHidden/>
          </w:rPr>
          <w:fldChar w:fldCharType="separate"/>
        </w:r>
        <w:r>
          <w:rPr>
            <w:noProof/>
            <w:webHidden/>
          </w:rPr>
          <w:t>26</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53" w:history="1">
        <w:r>
          <w:rPr>
            <w:rStyle w:val="Hyperlink"/>
            <w:noProof/>
          </w:rPr>
          <w:t>6.2.2.3.</w:t>
        </w:r>
        <w:r>
          <w:rPr>
            <w:rFonts w:asciiTheme="minorHAnsi" w:eastAsiaTheme="minorEastAsia" w:hAnsiTheme="minorHAnsi" w:cstheme="minorBidi"/>
            <w:noProof/>
            <w:sz w:val="22"/>
            <w:szCs w:val="22"/>
            <w:lang w:eastAsia="en-GB"/>
          </w:rPr>
          <w:tab/>
        </w:r>
        <w:r>
          <w:rPr>
            <w:rStyle w:val="Hyperlink"/>
            <w:noProof/>
          </w:rPr>
          <w:t>Financial clearance decision for the financial year 2012</w:t>
        </w:r>
        <w:r>
          <w:rPr>
            <w:noProof/>
            <w:webHidden/>
          </w:rPr>
          <w:tab/>
        </w:r>
        <w:r>
          <w:rPr>
            <w:noProof/>
            <w:webHidden/>
          </w:rPr>
          <w:fldChar w:fldCharType="begin"/>
        </w:r>
        <w:r>
          <w:rPr>
            <w:noProof/>
            <w:webHidden/>
          </w:rPr>
          <w:instrText xml:space="preserve"> PAGEREF _Toc484783953 \h </w:instrText>
        </w:r>
        <w:r>
          <w:rPr>
            <w:noProof/>
            <w:webHidden/>
          </w:rPr>
        </w:r>
        <w:r>
          <w:rPr>
            <w:noProof/>
            <w:webHidden/>
          </w:rPr>
          <w:fldChar w:fldCharType="separate"/>
        </w:r>
        <w:r>
          <w:rPr>
            <w:noProof/>
            <w:webHidden/>
          </w:rPr>
          <w:t>26</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54" w:history="1">
        <w:r>
          <w:rPr>
            <w:rStyle w:val="Hyperlink"/>
            <w:noProof/>
          </w:rPr>
          <w:t>6.2.2.4.</w:t>
        </w:r>
        <w:r>
          <w:rPr>
            <w:rFonts w:asciiTheme="minorHAnsi" w:eastAsiaTheme="minorEastAsia" w:hAnsiTheme="minorHAnsi" w:cstheme="minorBidi"/>
            <w:noProof/>
            <w:sz w:val="22"/>
            <w:szCs w:val="22"/>
            <w:lang w:eastAsia="en-GB"/>
          </w:rPr>
          <w:tab/>
        </w:r>
        <w:r>
          <w:rPr>
            <w:rStyle w:val="Hyperlink"/>
            <w:noProof/>
          </w:rPr>
          <w:t>Financial clearance decision for the financial year 2013</w:t>
        </w:r>
        <w:r>
          <w:rPr>
            <w:noProof/>
            <w:webHidden/>
          </w:rPr>
          <w:tab/>
        </w:r>
        <w:r>
          <w:rPr>
            <w:noProof/>
            <w:webHidden/>
          </w:rPr>
          <w:fldChar w:fldCharType="begin"/>
        </w:r>
        <w:r>
          <w:rPr>
            <w:noProof/>
            <w:webHidden/>
          </w:rPr>
          <w:instrText xml:space="preserve"> PAGEREF _Toc484783954 \h </w:instrText>
        </w:r>
        <w:r>
          <w:rPr>
            <w:noProof/>
            <w:webHidden/>
          </w:rPr>
        </w:r>
        <w:r>
          <w:rPr>
            <w:noProof/>
            <w:webHidden/>
          </w:rPr>
          <w:fldChar w:fldCharType="separate"/>
        </w:r>
        <w:r>
          <w:rPr>
            <w:noProof/>
            <w:webHidden/>
          </w:rPr>
          <w:t>26</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55" w:history="1">
        <w:r>
          <w:rPr>
            <w:rStyle w:val="Hyperlink"/>
            <w:noProof/>
          </w:rPr>
          <w:t>6.2.2.5.</w:t>
        </w:r>
        <w:r>
          <w:rPr>
            <w:rFonts w:asciiTheme="minorHAnsi" w:eastAsiaTheme="minorEastAsia" w:hAnsiTheme="minorHAnsi" w:cstheme="minorBidi"/>
            <w:noProof/>
            <w:sz w:val="22"/>
            <w:szCs w:val="22"/>
            <w:lang w:eastAsia="en-GB"/>
          </w:rPr>
          <w:tab/>
        </w:r>
        <w:r>
          <w:rPr>
            <w:rStyle w:val="Hyperlink"/>
            <w:noProof/>
          </w:rPr>
          <w:t>Financial clearance decision for the financial year 2014</w:t>
        </w:r>
        <w:r>
          <w:rPr>
            <w:noProof/>
            <w:webHidden/>
          </w:rPr>
          <w:tab/>
        </w:r>
        <w:r>
          <w:rPr>
            <w:noProof/>
            <w:webHidden/>
          </w:rPr>
          <w:fldChar w:fldCharType="begin"/>
        </w:r>
        <w:r>
          <w:rPr>
            <w:noProof/>
            <w:webHidden/>
          </w:rPr>
          <w:instrText xml:space="preserve"> PAGEREF _Toc484783955 \h </w:instrText>
        </w:r>
        <w:r>
          <w:rPr>
            <w:noProof/>
            <w:webHidden/>
          </w:rPr>
        </w:r>
        <w:r>
          <w:rPr>
            <w:noProof/>
            <w:webHidden/>
          </w:rPr>
          <w:fldChar w:fldCharType="separate"/>
        </w:r>
        <w:r>
          <w:rPr>
            <w:noProof/>
            <w:webHidden/>
          </w:rPr>
          <w:t>26</w:t>
        </w:r>
        <w:r>
          <w:rPr>
            <w:noProof/>
            <w:webHidden/>
          </w:rPr>
          <w:fldChar w:fldCharType="end"/>
        </w:r>
      </w:hyperlink>
    </w:p>
    <w:p>
      <w:pPr>
        <w:pStyle w:val="TOC4"/>
        <w:rPr>
          <w:rFonts w:asciiTheme="minorHAnsi" w:eastAsiaTheme="minorEastAsia" w:hAnsiTheme="minorHAnsi" w:cstheme="minorBidi"/>
          <w:noProof/>
          <w:sz w:val="22"/>
          <w:szCs w:val="22"/>
          <w:lang w:eastAsia="en-GB"/>
        </w:rPr>
      </w:pPr>
      <w:hyperlink w:anchor="_Toc484783956" w:history="1">
        <w:r>
          <w:rPr>
            <w:rStyle w:val="Hyperlink"/>
            <w:noProof/>
          </w:rPr>
          <w:t>6.2.2.6.</w:t>
        </w:r>
        <w:r>
          <w:rPr>
            <w:rFonts w:asciiTheme="minorHAnsi" w:eastAsiaTheme="minorEastAsia" w:hAnsiTheme="minorHAnsi" w:cstheme="minorBidi"/>
            <w:noProof/>
            <w:sz w:val="22"/>
            <w:szCs w:val="22"/>
            <w:lang w:eastAsia="en-GB"/>
          </w:rPr>
          <w:tab/>
        </w:r>
        <w:r>
          <w:rPr>
            <w:rStyle w:val="Hyperlink"/>
            <w:noProof/>
          </w:rPr>
          <w:t>Financial clearance decision for the financial year 2015</w:t>
        </w:r>
        <w:r>
          <w:rPr>
            <w:noProof/>
            <w:webHidden/>
          </w:rPr>
          <w:tab/>
        </w:r>
        <w:r>
          <w:rPr>
            <w:noProof/>
            <w:webHidden/>
          </w:rPr>
          <w:fldChar w:fldCharType="begin"/>
        </w:r>
        <w:r>
          <w:rPr>
            <w:noProof/>
            <w:webHidden/>
          </w:rPr>
          <w:instrText xml:space="preserve"> PAGEREF _Toc484783956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57"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Appeals brought before the Court of Justice against clearance decisions</w:t>
        </w:r>
        <w:r>
          <w:rPr>
            <w:noProof/>
            <w:webHidden/>
          </w:rPr>
          <w:tab/>
        </w:r>
        <w:r>
          <w:rPr>
            <w:noProof/>
            <w:webHidden/>
          </w:rPr>
          <w:fldChar w:fldCharType="begin"/>
        </w:r>
        <w:r>
          <w:rPr>
            <w:noProof/>
            <w:webHidden/>
          </w:rPr>
          <w:instrText xml:space="preserve"> PAGEREF _Toc484783957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58" w:history="1">
        <w:r>
          <w:rPr>
            <w:rStyle w:val="Hyperlink"/>
            <w:noProof/>
          </w:rPr>
          <w:t>6.3.1.</w:t>
        </w:r>
        <w:r>
          <w:rPr>
            <w:rFonts w:asciiTheme="minorHAnsi" w:eastAsiaTheme="minorEastAsia" w:hAnsiTheme="minorHAnsi" w:cstheme="minorBidi"/>
            <w:noProof/>
            <w:sz w:val="22"/>
            <w:szCs w:val="22"/>
            <w:lang w:eastAsia="en-GB"/>
          </w:rPr>
          <w:tab/>
        </w:r>
        <w:r>
          <w:rPr>
            <w:rStyle w:val="Hyperlink"/>
            <w:noProof/>
          </w:rPr>
          <w:t>Judgments handed down</w:t>
        </w:r>
        <w:r>
          <w:rPr>
            <w:noProof/>
            <w:webHidden/>
          </w:rPr>
          <w:tab/>
        </w:r>
        <w:r>
          <w:rPr>
            <w:noProof/>
            <w:webHidden/>
          </w:rPr>
          <w:fldChar w:fldCharType="begin"/>
        </w:r>
        <w:r>
          <w:rPr>
            <w:noProof/>
            <w:webHidden/>
          </w:rPr>
          <w:instrText xml:space="preserve"> PAGEREF _Toc484783958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59" w:history="1">
        <w:r>
          <w:rPr>
            <w:rStyle w:val="Hyperlink"/>
            <w:iCs/>
            <w:noProof/>
          </w:rPr>
          <w:t>6.3.2.</w:t>
        </w:r>
        <w:r>
          <w:rPr>
            <w:rFonts w:asciiTheme="minorHAnsi" w:eastAsiaTheme="minorEastAsia" w:hAnsiTheme="minorHAnsi" w:cstheme="minorBidi"/>
            <w:noProof/>
            <w:sz w:val="22"/>
            <w:szCs w:val="22"/>
            <w:lang w:eastAsia="en-GB"/>
          </w:rPr>
          <w:tab/>
        </w:r>
        <w:r>
          <w:rPr>
            <w:rStyle w:val="Hyperlink"/>
            <w:iCs/>
            <w:noProof/>
          </w:rPr>
          <w:t>New appeals</w:t>
        </w:r>
        <w:r>
          <w:rPr>
            <w:noProof/>
            <w:webHidden/>
          </w:rPr>
          <w:tab/>
        </w:r>
        <w:r>
          <w:rPr>
            <w:noProof/>
            <w:webHidden/>
          </w:rPr>
          <w:fldChar w:fldCharType="begin"/>
        </w:r>
        <w:r>
          <w:rPr>
            <w:noProof/>
            <w:webHidden/>
          </w:rPr>
          <w:instrText xml:space="preserve"> PAGEREF _Toc484783959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60" w:history="1">
        <w:r>
          <w:rPr>
            <w:rStyle w:val="Hyperlink"/>
            <w:iCs/>
            <w:noProof/>
          </w:rPr>
          <w:t>6.3.3.</w:t>
        </w:r>
        <w:r>
          <w:rPr>
            <w:rFonts w:asciiTheme="minorHAnsi" w:eastAsiaTheme="minorEastAsia" w:hAnsiTheme="minorHAnsi" w:cstheme="minorBidi"/>
            <w:noProof/>
            <w:sz w:val="22"/>
            <w:szCs w:val="22"/>
            <w:lang w:eastAsia="en-GB"/>
          </w:rPr>
          <w:tab/>
        </w:r>
        <w:r>
          <w:rPr>
            <w:rStyle w:val="Hyperlink"/>
            <w:iCs/>
            <w:noProof/>
          </w:rPr>
          <w:t>Appeals pending</w:t>
        </w:r>
        <w:r>
          <w:rPr>
            <w:noProof/>
            <w:webHidden/>
          </w:rPr>
          <w:tab/>
        </w:r>
        <w:r>
          <w:rPr>
            <w:noProof/>
            <w:webHidden/>
          </w:rPr>
          <w:fldChar w:fldCharType="begin"/>
        </w:r>
        <w:r>
          <w:rPr>
            <w:noProof/>
            <w:webHidden/>
          </w:rPr>
          <w:instrText xml:space="preserve"> PAGEREF _Toc484783960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84783961"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RELATIONS WITH PARLIAMENT AND WITH THE EUROPEAN COURT OF AUDITORS</w:t>
        </w:r>
        <w:r>
          <w:rPr>
            <w:noProof/>
            <w:webHidden/>
          </w:rPr>
          <w:tab/>
        </w:r>
        <w:r>
          <w:rPr>
            <w:noProof/>
            <w:webHidden/>
          </w:rPr>
          <w:fldChar w:fldCharType="begin"/>
        </w:r>
        <w:r>
          <w:rPr>
            <w:noProof/>
            <w:webHidden/>
          </w:rPr>
          <w:instrText xml:space="preserve"> PAGEREF _Toc484783961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62"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Relations with Parliament</w:t>
        </w:r>
        <w:r>
          <w:rPr>
            <w:noProof/>
            <w:webHidden/>
          </w:rPr>
          <w:tab/>
        </w:r>
        <w:r>
          <w:rPr>
            <w:noProof/>
            <w:webHidden/>
          </w:rPr>
          <w:fldChar w:fldCharType="begin"/>
        </w:r>
        <w:r>
          <w:rPr>
            <w:noProof/>
            <w:webHidden/>
          </w:rPr>
          <w:instrText xml:space="preserve"> PAGEREF _Toc484783962 \h </w:instrText>
        </w:r>
        <w:r>
          <w:rPr>
            <w:noProof/>
            <w:webHidden/>
          </w:rPr>
        </w:r>
        <w:r>
          <w:rPr>
            <w:noProof/>
            <w:webHidden/>
          </w:rPr>
          <w:fldChar w:fldCharType="separate"/>
        </w:r>
        <w:r>
          <w:rPr>
            <w:noProof/>
            <w:webHidden/>
          </w:rPr>
          <w:t>28</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84783963"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Relations with the European Court of Auditors</w:t>
        </w:r>
        <w:r>
          <w:rPr>
            <w:noProof/>
            <w:webHidden/>
          </w:rPr>
          <w:tab/>
        </w:r>
        <w:r>
          <w:rPr>
            <w:noProof/>
            <w:webHidden/>
          </w:rPr>
          <w:fldChar w:fldCharType="begin"/>
        </w:r>
        <w:r>
          <w:rPr>
            <w:noProof/>
            <w:webHidden/>
          </w:rPr>
          <w:instrText xml:space="preserve"> PAGEREF _Toc484783963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64" w:history="1">
        <w:r>
          <w:rPr>
            <w:rStyle w:val="Hyperlink"/>
            <w:noProof/>
            <w:lang w:eastAsia="zh-CN"/>
          </w:rPr>
          <w:t>7.2.1.</w:t>
        </w:r>
        <w:r>
          <w:rPr>
            <w:rFonts w:asciiTheme="minorHAnsi" w:eastAsiaTheme="minorEastAsia" w:hAnsiTheme="minorHAnsi" w:cstheme="minorBidi"/>
            <w:noProof/>
            <w:sz w:val="22"/>
            <w:szCs w:val="22"/>
            <w:lang w:eastAsia="en-GB"/>
          </w:rPr>
          <w:tab/>
        </w:r>
        <w:r>
          <w:rPr>
            <w:rStyle w:val="Hyperlink"/>
            <w:noProof/>
            <w:lang w:eastAsia="zh-CN"/>
          </w:rPr>
          <w:t>Mission of the European Court of Auditors</w:t>
        </w:r>
        <w:r>
          <w:rPr>
            <w:noProof/>
            <w:webHidden/>
          </w:rPr>
          <w:tab/>
        </w:r>
        <w:r>
          <w:rPr>
            <w:noProof/>
            <w:webHidden/>
          </w:rPr>
          <w:fldChar w:fldCharType="begin"/>
        </w:r>
        <w:r>
          <w:rPr>
            <w:noProof/>
            <w:webHidden/>
          </w:rPr>
          <w:instrText xml:space="preserve"> PAGEREF _Toc484783964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65" w:history="1">
        <w:r>
          <w:rPr>
            <w:rStyle w:val="Hyperlink"/>
            <w:iCs/>
            <w:noProof/>
          </w:rPr>
          <w:t>7.2.2.</w:t>
        </w:r>
        <w:r>
          <w:rPr>
            <w:rFonts w:asciiTheme="minorHAnsi" w:eastAsiaTheme="minorEastAsia" w:hAnsiTheme="minorHAnsi" w:cstheme="minorBidi"/>
            <w:noProof/>
            <w:sz w:val="22"/>
            <w:szCs w:val="22"/>
            <w:lang w:eastAsia="en-GB"/>
          </w:rPr>
          <w:tab/>
        </w:r>
        <w:r>
          <w:rPr>
            <w:rStyle w:val="Hyperlink"/>
            <w:iCs/>
            <w:noProof/>
          </w:rPr>
          <w:t>Annual Report for financial year 2015</w:t>
        </w:r>
        <w:r>
          <w:rPr>
            <w:noProof/>
            <w:webHidden/>
          </w:rPr>
          <w:tab/>
        </w:r>
        <w:r>
          <w:rPr>
            <w:noProof/>
            <w:webHidden/>
          </w:rPr>
          <w:fldChar w:fldCharType="begin"/>
        </w:r>
        <w:r>
          <w:rPr>
            <w:noProof/>
            <w:webHidden/>
          </w:rPr>
          <w:instrText xml:space="preserve"> PAGEREF _Toc484783965 \h </w:instrText>
        </w:r>
        <w:r>
          <w:rPr>
            <w:noProof/>
            <w:webHidden/>
          </w:rPr>
        </w:r>
        <w:r>
          <w:rPr>
            <w:noProof/>
            <w:webHidden/>
          </w:rPr>
          <w:fldChar w:fldCharType="separate"/>
        </w:r>
        <w:r>
          <w:rPr>
            <w:noProof/>
            <w:webHidden/>
          </w:rPr>
          <w:t>29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84783966" w:history="1">
        <w:r>
          <w:rPr>
            <w:rStyle w:val="Hyperlink"/>
            <w:iCs/>
            <w:noProof/>
            <w:lang w:eastAsia="zh-CN"/>
          </w:rPr>
          <w:t>7.2.3.</w:t>
        </w:r>
        <w:r>
          <w:rPr>
            <w:rFonts w:asciiTheme="minorHAnsi" w:eastAsiaTheme="minorEastAsia" w:hAnsiTheme="minorHAnsi" w:cstheme="minorBidi"/>
            <w:noProof/>
            <w:sz w:val="22"/>
            <w:szCs w:val="22"/>
            <w:lang w:eastAsia="en-GB"/>
          </w:rPr>
          <w:tab/>
        </w:r>
        <w:r>
          <w:rPr>
            <w:rStyle w:val="Hyperlink"/>
            <w:iCs/>
            <w:noProof/>
            <w:lang w:eastAsia="zh-CN"/>
          </w:rPr>
          <w:t>Special Reports by the Court of Auditors</w:t>
        </w:r>
        <w:r>
          <w:rPr>
            <w:noProof/>
            <w:webHidden/>
          </w:rPr>
          <w:tab/>
        </w:r>
        <w:r>
          <w:rPr>
            <w:noProof/>
            <w:webHidden/>
          </w:rPr>
          <w:fldChar w:fldCharType="begin"/>
        </w:r>
        <w:r>
          <w:rPr>
            <w:noProof/>
            <w:webHidden/>
          </w:rPr>
          <w:instrText xml:space="preserve"> PAGEREF _Toc484783966 \h </w:instrText>
        </w:r>
        <w:r>
          <w:rPr>
            <w:noProof/>
            <w:webHidden/>
          </w:rPr>
        </w:r>
        <w:r>
          <w:rPr>
            <w:noProof/>
            <w:webHidden/>
          </w:rPr>
          <w:fldChar w:fldCharType="separate"/>
        </w:r>
        <w:r>
          <w:rPr>
            <w:noProof/>
            <w:webHidden/>
          </w:rPr>
          <w:t>30</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84783967" w:history="1">
        <w:r>
          <w:rPr>
            <w:rStyle w:val="Hyperlink"/>
            <w:noProof/>
          </w:rPr>
          <w:t>8.</w:t>
        </w:r>
        <w:r>
          <w:rPr>
            <w:rFonts w:asciiTheme="minorHAnsi" w:eastAsiaTheme="minorEastAsia" w:hAnsiTheme="minorHAnsi" w:cstheme="minorBidi"/>
            <w:noProof/>
            <w:sz w:val="22"/>
            <w:szCs w:val="22"/>
            <w:lang w:eastAsia="en-GB"/>
          </w:rPr>
          <w:tab/>
        </w:r>
        <w:r>
          <w:rPr>
            <w:rStyle w:val="Hyperlink"/>
            <w:noProof/>
          </w:rPr>
          <w:t>ANNEXES</w:t>
        </w:r>
        <w:r>
          <w:rPr>
            <w:noProof/>
            <w:webHidden/>
          </w:rPr>
          <w:tab/>
        </w:r>
        <w:r>
          <w:rPr>
            <w:noProof/>
            <w:webHidden/>
          </w:rPr>
          <w:fldChar w:fldCharType="begin"/>
        </w:r>
        <w:r>
          <w:rPr>
            <w:noProof/>
            <w:webHidden/>
          </w:rPr>
          <w:instrText xml:space="preserve"> PAGEREF _Toc484783967 \h </w:instrText>
        </w:r>
        <w:r>
          <w:rPr>
            <w:noProof/>
            <w:webHidden/>
          </w:rPr>
        </w:r>
        <w:r>
          <w:rPr>
            <w:noProof/>
            <w:webHidden/>
          </w:rPr>
          <w:fldChar w:fldCharType="separate"/>
        </w:r>
        <w:r>
          <w:rPr>
            <w:noProof/>
            <w:webHidden/>
          </w:rPr>
          <w:t>30</w:t>
        </w:r>
        <w:r>
          <w:rPr>
            <w:noProof/>
            <w:webHidden/>
          </w:rPr>
          <w:fldChar w:fldCharType="end"/>
        </w:r>
      </w:hyperlink>
    </w:p>
    <w:p>
      <w:pPr>
        <w:pStyle w:val="TOCHeading"/>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06" w:right="1389" w:bottom="1077" w:left="1389" w:header="680" w:footer="624" w:gutter="0"/>
          <w:pgNumType w:start="2"/>
          <w:cols w:space="720"/>
          <w:docGrid w:linePitch="326"/>
        </w:sectPr>
      </w:pPr>
      <w:r>
        <w:rPr>
          <w:noProof/>
        </w:rPr>
        <w:fldChar w:fldCharType="end"/>
      </w:r>
    </w:p>
    <w:p>
      <w:pPr>
        <w:pStyle w:val="ManualHeading1"/>
        <w:rPr>
          <w:noProof/>
          <w:vertAlign w:val="superscript"/>
        </w:rPr>
      </w:pPr>
      <w:bookmarkStart w:id="5" w:name="_Toc322938550"/>
      <w:bookmarkStart w:id="6" w:name="_Toc484783888"/>
      <w:r>
        <w:t>1.</w:t>
      </w:r>
      <w:r>
        <w:tab/>
      </w:r>
      <w:r>
        <w:rPr>
          <w:noProof/>
        </w:rPr>
        <w:t>BUDGET PROCEDURE</w:t>
      </w:r>
      <w:bookmarkEnd w:id="5"/>
      <w:r>
        <w:rPr>
          <w:rStyle w:val="FootnoteReference"/>
          <w:noProof/>
        </w:rPr>
        <w:footnoteReference w:id="1"/>
      </w:r>
      <w:bookmarkEnd w:id="6"/>
      <w:r>
        <w:rPr>
          <w:noProof/>
          <w:color w:val="FF0000"/>
        </w:rPr>
        <w:t xml:space="preserve"> </w:t>
      </w:r>
    </w:p>
    <w:p>
      <w:pPr>
        <w:pStyle w:val="ManualHeading2"/>
        <w:rPr>
          <w:noProof/>
        </w:rPr>
      </w:pPr>
      <w:bookmarkStart w:id="7" w:name="_Toc322938551"/>
      <w:bookmarkStart w:id="8" w:name="_Toc484783889"/>
      <w:r>
        <w:t>1.1.</w:t>
      </w:r>
      <w:r>
        <w:tab/>
      </w:r>
      <w:r>
        <w:rPr>
          <w:noProof/>
        </w:rPr>
        <w:t>Financial Framework 2014-2020.</w:t>
      </w:r>
      <w:bookmarkEnd w:id="7"/>
      <w:bookmarkEnd w:id="8"/>
      <w:r>
        <w:rPr>
          <w:noProof/>
        </w:rPr>
        <w:t xml:space="preserve"> </w:t>
      </w:r>
    </w:p>
    <w:p>
      <w:pPr>
        <w:spacing w:before="120" w:after="120"/>
        <w:ind w:left="850"/>
        <w:jc w:val="both"/>
        <w:rPr>
          <w:rFonts w:eastAsia="MS PGothic"/>
          <w:noProof/>
        </w:rPr>
      </w:pPr>
      <w:r>
        <w:rPr>
          <w:rFonts w:eastAsia="MS PGothic"/>
          <w:noProof/>
        </w:rPr>
        <w:t xml:space="preserve">CAP expenditure is funded within the financial framework for 2014-2020 as provided for in Council Regulation (EU) No 1311/2013. Specifically, CAP expenditure is part of the ceiling fixed for Heading 2 - Sustainable growth: natural resources. Within that overall ceiling, a specific sub-ceiling has been fixed for market related expenditure and direct payments financed by the </w:t>
      </w:r>
      <w:r>
        <w:rPr>
          <w:noProof/>
        </w:rPr>
        <w:t>European Agricultural Guarantee Fund (EAGF)</w:t>
      </w:r>
      <w:r>
        <w:rPr>
          <w:rFonts w:eastAsia="MS PGothic"/>
          <w:noProof/>
        </w:rPr>
        <w:t>.</w:t>
      </w:r>
    </w:p>
    <w:p>
      <w:pPr>
        <w:spacing w:before="120" w:after="120"/>
        <w:ind w:left="850"/>
        <w:jc w:val="both"/>
        <w:rPr>
          <w:noProof/>
        </w:rPr>
      </w:pPr>
      <w:r>
        <w:rPr>
          <w:rFonts w:eastAsia="MS PGothic"/>
          <w:noProof/>
        </w:rPr>
        <w:t>The expenditure ceiling for market measures and direct payments had to be adjusted following the transfer of certain amounts of direct payments to rural development (financed by the European Agricultural Fund for Rural Development - EAFRD) for the years 2015-2020 (flexibility between CAP pillars and reduction of direct payments), the transfer of the aids for cotton in Greece, the unspent amounts by Germany and Sweden and the voluntary adjustment of the United Kingdom as well as the transfer from rural development (EAFRD) for the years 2015-2020 to direct payments (flexibility). Therefore, on the basis of Commission Implementing Regulation (EU) No 367/2014</w:t>
      </w:r>
      <w:r>
        <w:rPr>
          <w:noProof/>
          <w:vertAlign w:val="superscript"/>
        </w:rPr>
        <w:footnoteReference w:id="2"/>
      </w:r>
      <w:r>
        <w:rPr>
          <w:rFonts w:eastAsia="MS PGothic"/>
          <w:noProof/>
        </w:rPr>
        <w:t xml:space="preserve"> setting the net balance available for expenditure of the </w:t>
      </w:r>
      <w:r>
        <w:rPr>
          <w:noProof/>
        </w:rPr>
        <w:t>EAGF</w:t>
      </w:r>
      <w:r>
        <w:rPr>
          <w:rFonts w:eastAsia="MS PGothic"/>
          <w:noProof/>
        </w:rPr>
        <w:t>, t</w:t>
      </w:r>
      <w:r>
        <w:rPr>
          <w:noProof/>
        </w:rPr>
        <w:t>he CAP amounts included in heading 2 of the financial framework (2014-2020) are:</w:t>
      </w:r>
    </w:p>
    <w:p>
      <w:pPr>
        <w:pStyle w:val="Text1"/>
        <w:jc w:val="right"/>
        <w:rPr>
          <w:i/>
        </w:rPr>
      </w:pPr>
      <w:r>
        <w:rPr>
          <w:i/>
        </w:rPr>
        <w:t>(in EUR million current prices)</w:t>
      </w:r>
    </w:p>
    <w:tbl>
      <w:tblPr>
        <w:tblW w:w="793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
        <w:gridCol w:w="1973"/>
        <w:gridCol w:w="891"/>
        <w:gridCol w:w="891"/>
        <w:gridCol w:w="963"/>
        <w:gridCol w:w="850"/>
        <w:gridCol w:w="851"/>
        <w:gridCol w:w="850"/>
        <w:gridCol w:w="851"/>
      </w:tblGrid>
      <w:tr>
        <w:tc>
          <w:tcPr>
            <w:tcW w:w="2064" w:type="dxa"/>
            <w:gridSpan w:val="2"/>
            <w:shd w:val="clear" w:color="auto" w:fill="99CC00"/>
          </w:tcPr>
          <w:p>
            <w:pPr>
              <w:rPr>
                <w:b/>
                <w:bCs/>
                <w:noProof/>
                <w:sz w:val="20"/>
                <w:szCs w:val="20"/>
                <w:lang w:val="en-US"/>
              </w:rPr>
            </w:pPr>
            <w:r>
              <w:rPr>
                <w:b/>
                <w:bCs/>
                <w:noProof/>
                <w:sz w:val="20"/>
                <w:szCs w:val="20"/>
                <w:lang w:val="en-US"/>
              </w:rPr>
              <w:t xml:space="preserve">Heading 2* </w:t>
            </w:r>
          </w:p>
        </w:tc>
        <w:tc>
          <w:tcPr>
            <w:tcW w:w="891" w:type="dxa"/>
            <w:shd w:val="clear" w:color="auto" w:fill="99CC00"/>
          </w:tcPr>
          <w:p>
            <w:pPr>
              <w:rPr>
                <w:noProof/>
                <w:sz w:val="20"/>
                <w:szCs w:val="20"/>
              </w:rPr>
            </w:pPr>
            <w:r>
              <w:rPr>
                <w:noProof/>
                <w:sz w:val="20"/>
                <w:szCs w:val="20"/>
              </w:rPr>
              <w:t>2014</w:t>
            </w:r>
          </w:p>
        </w:tc>
        <w:tc>
          <w:tcPr>
            <w:tcW w:w="891" w:type="dxa"/>
            <w:shd w:val="clear" w:color="auto" w:fill="99CC00"/>
          </w:tcPr>
          <w:p>
            <w:pPr>
              <w:rPr>
                <w:noProof/>
                <w:sz w:val="20"/>
                <w:szCs w:val="20"/>
              </w:rPr>
            </w:pPr>
            <w:r>
              <w:rPr>
                <w:noProof/>
                <w:sz w:val="20"/>
                <w:szCs w:val="20"/>
              </w:rPr>
              <w:t>2015</w:t>
            </w:r>
          </w:p>
        </w:tc>
        <w:tc>
          <w:tcPr>
            <w:tcW w:w="963" w:type="dxa"/>
            <w:shd w:val="clear" w:color="auto" w:fill="99CC00"/>
          </w:tcPr>
          <w:p>
            <w:pPr>
              <w:rPr>
                <w:noProof/>
                <w:sz w:val="20"/>
                <w:szCs w:val="20"/>
              </w:rPr>
            </w:pPr>
            <w:r>
              <w:rPr>
                <w:noProof/>
                <w:sz w:val="20"/>
                <w:szCs w:val="20"/>
              </w:rPr>
              <w:t>2016</w:t>
            </w:r>
          </w:p>
        </w:tc>
        <w:tc>
          <w:tcPr>
            <w:tcW w:w="850" w:type="dxa"/>
            <w:shd w:val="clear" w:color="auto" w:fill="99CC00"/>
          </w:tcPr>
          <w:p>
            <w:pPr>
              <w:rPr>
                <w:noProof/>
                <w:sz w:val="20"/>
                <w:szCs w:val="20"/>
              </w:rPr>
            </w:pPr>
            <w:r>
              <w:rPr>
                <w:noProof/>
                <w:sz w:val="20"/>
                <w:szCs w:val="20"/>
              </w:rPr>
              <w:t>2017</w:t>
            </w:r>
          </w:p>
        </w:tc>
        <w:tc>
          <w:tcPr>
            <w:tcW w:w="851" w:type="dxa"/>
            <w:shd w:val="clear" w:color="auto" w:fill="99CC00"/>
          </w:tcPr>
          <w:p>
            <w:pPr>
              <w:rPr>
                <w:noProof/>
                <w:sz w:val="20"/>
                <w:szCs w:val="20"/>
              </w:rPr>
            </w:pPr>
            <w:r>
              <w:rPr>
                <w:noProof/>
                <w:sz w:val="20"/>
                <w:szCs w:val="20"/>
              </w:rPr>
              <w:t>2018</w:t>
            </w:r>
          </w:p>
        </w:tc>
        <w:tc>
          <w:tcPr>
            <w:tcW w:w="850" w:type="dxa"/>
            <w:shd w:val="clear" w:color="auto" w:fill="99CC00"/>
          </w:tcPr>
          <w:p>
            <w:pPr>
              <w:rPr>
                <w:noProof/>
                <w:sz w:val="20"/>
                <w:szCs w:val="20"/>
              </w:rPr>
            </w:pPr>
            <w:r>
              <w:rPr>
                <w:noProof/>
                <w:sz w:val="20"/>
                <w:szCs w:val="20"/>
              </w:rPr>
              <w:t>2019</w:t>
            </w:r>
          </w:p>
        </w:tc>
        <w:tc>
          <w:tcPr>
            <w:tcW w:w="851" w:type="dxa"/>
            <w:shd w:val="clear" w:color="auto" w:fill="99CC00"/>
          </w:tcPr>
          <w:p>
            <w:pPr>
              <w:rPr>
                <w:noProof/>
                <w:sz w:val="20"/>
                <w:szCs w:val="20"/>
              </w:rPr>
            </w:pPr>
            <w:r>
              <w:rPr>
                <w:noProof/>
                <w:sz w:val="20"/>
                <w:szCs w:val="20"/>
              </w:rPr>
              <w:t>2020</w:t>
            </w:r>
          </w:p>
        </w:tc>
      </w:tr>
      <w:tr>
        <w:tc>
          <w:tcPr>
            <w:tcW w:w="2064" w:type="dxa"/>
            <w:gridSpan w:val="2"/>
            <w:tcBorders>
              <w:bottom w:val="nil"/>
            </w:tcBorders>
            <w:shd w:val="clear" w:color="auto" w:fill="auto"/>
          </w:tcPr>
          <w:p>
            <w:pPr>
              <w:rPr>
                <w:b/>
                <w:noProof/>
                <w:sz w:val="20"/>
                <w:szCs w:val="20"/>
              </w:rPr>
            </w:pPr>
            <w:r>
              <w:rPr>
                <w:b/>
                <w:noProof/>
                <w:sz w:val="20"/>
                <w:szCs w:val="20"/>
              </w:rPr>
              <w:t xml:space="preserve">Total </w:t>
            </w:r>
          </w:p>
          <w:p>
            <w:pPr>
              <w:rPr>
                <w:noProof/>
                <w:sz w:val="20"/>
                <w:szCs w:val="20"/>
              </w:rPr>
            </w:pPr>
            <w:r>
              <w:rPr>
                <w:noProof/>
                <w:sz w:val="20"/>
                <w:szCs w:val="20"/>
              </w:rPr>
              <w:t>of which:</w:t>
            </w:r>
          </w:p>
          <w:p>
            <w:pPr>
              <w:rPr>
                <w:noProof/>
                <w:sz w:val="20"/>
                <w:szCs w:val="20"/>
              </w:rPr>
            </w:pPr>
            <w:r>
              <w:rPr>
                <w:noProof/>
                <w:sz w:val="20"/>
                <w:szCs w:val="20"/>
              </w:rPr>
              <w:t>- Market related expenditure and direct payments, a), b), c), d)</w:t>
            </w:r>
          </w:p>
        </w:tc>
        <w:tc>
          <w:tcPr>
            <w:tcW w:w="891" w:type="dxa"/>
            <w:tcBorders>
              <w:bottom w:val="nil"/>
            </w:tcBorders>
            <w:shd w:val="clear" w:color="auto" w:fill="auto"/>
          </w:tcPr>
          <w:p>
            <w:pPr>
              <w:rPr>
                <w:b/>
                <w:noProof/>
                <w:sz w:val="18"/>
                <w:szCs w:val="18"/>
              </w:rPr>
            </w:pPr>
            <w:r>
              <w:rPr>
                <w:b/>
                <w:noProof/>
                <w:sz w:val="18"/>
                <w:szCs w:val="18"/>
              </w:rPr>
              <w:t>49 857</w:t>
            </w:r>
          </w:p>
          <w:p>
            <w:pPr>
              <w:rPr>
                <w:b/>
                <w:noProof/>
                <w:sz w:val="18"/>
                <w:szCs w:val="18"/>
              </w:rPr>
            </w:pPr>
          </w:p>
          <w:p>
            <w:pPr>
              <w:rPr>
                <w:b/>
                <w:noProof/>
                <w:sz w:val="18"/>
                <w:szCs w:val="18"/>
              </w:rPr>
            </w:pPr>
            <w:r>
              <w:rPr>
                <w:b/>
                <w:noProof/>
                <w:sz w:val="18"/>
                <w:szCs w:val="18"/>
              </w:rPr>
              <w:t>43 778.1</w:t>
            </w:r>
          </w:p>
        </w:tc>
        <w:tc>
          <w:tcPr>
            <w:tcW w:w="891" w:type="dxa"/>
            <w:tcBorders>
              <w:bottom w:val="nil"/>
            </w:tcBorders>
            <w:shd w:val="clear" w:color="auto" w:fill="auto"/>
          </w:tcPr>
          <w:p>
            <w:pPr>
              <w:rPr>
                <w:b/>
                <w:noProof/>
                <w:sz w:val="18"/>
                <w:szCs w:val="18"/>
              </w:rPr>
            </w:pPr>
            <w:r>
              <w:rPr>
                <w:b/>
                <w:noProof/>
                <w:sz w:val="18"/>
                <w:szCs w:val="18"/>
              </w:rPr>
              <w:t>64 692</w:t>
            </w:r>
          </w:p>
          <w:p>
            <w:pPr>
              <w:rPr>
                <w:b/>
                <w:noProof/>
                <w:sz w:val="18"/>
                <w:szCs w:val="18"/>
              </w:rPr>
            </w:pPr>
          </w:p>
          <w:p>
            <w:pPr>
              <w:rPr>
                <w:b/>
                <w:noProof/>
                <w:sz w:val="18"/>
                <w:szCs w:val="18"/>
              </w:rPr>
            </w:pPr>
            <w:r>
              <w:rPr>
                <w:b/>
                <w:noProof/>
                <w:sz w:val="18"/>
                <w:szCs w:val="18"/>
              </w:rPr>
              <w:t>44 189.8</w:t>
            </w:r>
          </w:p>
        </w:tc>
        <w:tc>
          <w:tcPr>
            <w:tcW w:w="963" w:type="dxa"/>
            <w:tcBorders>
              <w:bottom w:val="nil"/>
            </w:tcBorders>
            <w:shd w:val="clear" w:color="auto" w:fill="auto"/>
          </w:tcPr>
          <w:p>
            <w:pPr>
              <w:rPr>
                <w:b/>
                <w:noProof/>
                <w:sz w:val="18"/>
                <w:szCs w:val="18"/>
              </w:rPr>
            </w:pPr>
            <w:r>
              <w:rPr>
                <w:b/>
                <w:noProof/>
                <w:sz w:val="18"/>
                <w:szCs w:val="18"/>
              </w:rPr>
              <w:t>64 262</w:t>
            </w:r>
          </w:p>
          <w:p>
            <w:pPr>
              <w:rPr>
                <w:b/>
                <w:noProof/>
                <w:sz w:val="18"/>
                <w:szCs w:val="18"/>
              </w:rPr>
            </w:pPr>
          </w:p>
          <w:p>
            <w:pPr>
              <w:rPr>
                <w:b/>
                <w:noProof/>
                <w:sz w:val="18"/>
                <w:szCs w:val="18"/>
              </w:rPr>
            </w:pPr>
            <w:r>
              <w:rPr>
                <w:b/>
                <w:noProof/>
                <w:sz w:val="18"/>
                <w:szCs w:val="18"/>
              </w:rPr>
              <w:t>43 950.2</w:t>
            </w:r>
          </w:p>
        </w:tc>
        <w:tc>
          <w:tcPr>
            <w:tcW w:w="850" w:type="dxa"/>
            <w:tcBorders>
              <w:bottom w:val="nil"/>
            </w:tcBorders>
            <w:shd w:val="clear" w:color="auto" w:fill="auto"/>
          </w:tcPr>
          <w:p>
            <w:pPr>
              <w:rPr>
                <w:b/>
                <w:noProof/>
                <w:sz w:val="18"/>
                <w:szCs w:val="18"/>
              </w:rPr>
            </w:pPr>
            <w:r>
              <w:rPr>
                <w:b/>
                <w:noProof/>
                <w:sz w:val="18"/>
                <w:szCs w:val="18"/>
              </w:rPr>
              <w:t>60 191</w:t>
            </w:r>
          </w:p>
          <w:p>
            <w:pPr>
              <w:rPr>
                <w:b/>
                <w:noProof/>
                <w:sz w:val="18"/>
                <w:szCs w:val="18"/>
              </w:rPr>
            </w:pPr>
          </w:p>
          <w:p>
            <w:pPr>
              <w:rPr>
                <w:b/>
                <w:noProof/>
                <w:sz w:val="18"/>
                <w:szCs w:val="18"/>
              </w:rPr>
            </w:pPr>
            <w:r>
              <w:rPr>
                <w:b/>
                <w:noProof/>
                <w:sz w:val="18"/>
                <w:szCs w:val="18"/>
              </w:rPr>
              <w:t>44 145.7</w:t>
            </w:r>
          </w:p>
        </w:tc>
        <w:tc>
          <w:tcPr>
            <w:tcW w:w="851" w:type="dxa"/>
            <w:tcBorders>
              <w:bottom w:val="nil"/>
            </w:tcBorders>
            <w:shd w:val="clear" w:color="auto" w:fill="auto"/>
          </w:tcPr>
          <w:p>
            <w:pPr>
              <w:rPr>
                <w:b/>
                <w:noProof/>
                <w:sz w:val="18"/>
                <w:szCs w:val="18"/>
              </w:rPr>
            </w:pPr>
            <w:r>
              <w:rPr>
                <w:b/>
                <w:noProof/>
                <w:sz w:val="18"/>
                <w:szCs w:val="18"/>
              </w:rPr>
              <w:t>60 267</w:t>
            </w:r>
          </w:p>
          <w:p>
            <w:pPr>
              <w:rPr>
                <w:b/>
                <w:noProof/>
                <w:sz w:val="18"/>
                <w:szCs w:val="18"/>
              </w:rPr>
            </w:pPr>
          </w:p>
          <w:p>
            <w:pPr>
              <w:rPr>
                <w:b/>
                <w:noProof/>
                <w:sz w:val="18"/>
                <w:szCs w:val="18"/>
              </w:rPr>
            </w:pPr>
            <w:r>
              <w:rPr>
                <w:b/>
                <w:noProof/>
                <w:sz w:val="18"/>
                <w:szCs w:val="18"/>
              </w:rPr>
              <w:t>44 162.4</w:t>
            </w:r>
          </w:p>
        </w:tc>
        <w:tc>
          <w:tcPr>
            <w:tcW w:w="850" w:type="dxa"/>
            <w:tcBorders>
              <w:bottom w:val="nil"/>
            </w:tcBorders>
            <w:shd w:val="clear" w:color="auto" w:fill="auto"/>
          </w:tcPr>
          <w:p>
            <w:pPr>
              <w:rPr>
                <w:b/>
                <w:noProof/>
                <w:sz w:val="18"/>
                <w:szCs w:val="18"/>
              </w:rPr>
            </w:pPr>
            <w:r>
              <w:rPr>
                <w:b/>
                <w:noProof/>
                <w:sz w:val="18"/>
                <w:szCs w:val="18"/>
              </w:rPr>
              <w:t>60 344</w:t>
            </w:r>
          </w:p>
          <w:p>
            <w:pPr>
              <w:rPr>
                <w:b/>
                <w:noProof/>
                <w:sz w:val="18"/>
                <w:szCs w:val="18"/>
              </w:rPr>
            </w:pPr>
          </w:p>
          <w:p>
            <w:pPr>
              <w:rPr>
                <w:b/>
                <w:noProof/>
                <w:sz w:val="18"/>
                <w:szCs w:val="18"/>
              </w:rPr>
            </w:pPr>
            <w:r>
              <w:rPr>
                <w:b/>
                <w:noProof/>
                <w:sz w:val="18"/>
                <w:szCs w:val="18"/>
              </w:rPr>
              <w:t>44 240.5</w:t>
            </w:r>
          </w:p>
        </w:tc>
        <w:tc>
          <w:tcPr>
            <w:tcW w:w="851" w:type="dxa"/>
            <w:tcBorders>
              <w:bottom w:val="nil"/>
            </w:tcBorders>
            <w:shd w:val="clear" w:color="auto" w:fill="auto"/>
          </w:tcPr>
          <w:p>
            <w:pPr>
              <w:rPr>
                <w:b/>
                <w:noProof/>
                <w:sz w:val="18"/>
                <w:szCs w:val="18"/>
              </w:rPr>
            </w:pPr>
            <w:r>
              <w:rPr>
                <w:b/>
                <w:noProof/>
                <w:sz w:val="18"/>
                <w:szCs w:val="18"/>
              </w:rPr>
              <w:t>60 421</w:t>
            </w:r>
          </w:p>
          <w:p>
            <w:pPr>
              <w:rPr>
                <w:b/>
                <w:noProof/>
                <w:sz w:val="18"/>
                <w:szCs w:val="18"/>
              </w:rPr>
            </w:pPr>
          </w:p>
          <w:p>
            <w:pPr>
              <w:rPr>
                <w:b/>
                <w:noProof/>
                <w:sz w:val="18"/>
                <w:szCs w:val="18"/>
              </w:rPr>
            </w:pPr>
            <w:r>
              <w:rPr>
                <w:b/>
                <w:noProof/>
                <w:sz w:val="18"/>
                <w:szCs w:val="18"/>
              </w:rPr>
              <w:t>44 263.2</w:t>
            </w:r>
          </w:p>
        </w:tc>
      </w:tr>
      <w:tr>
        <w:tc>
          <w:tcPr>
            <w:tcW w:w="2064" w:type="dxa"/>
            <w:gridSpan w:val="2"/>
            <w:tcBorders>
              <w:top w:val="nil"/>
            </w:tcBorders>
            <w:shd w:val="clear" w:color="auto" w:fill="auto"/>
          </w:tcPr>
          <w:p>
            <w:pPr>
              <w:rPr>
                <w:noProof/>
                <w:sz w:val="20"/>
                <w:szCs w:val="20"/>
              </w:rPr>
            </w:pPr>
            <w:r>
              <w:rPr>
                <w:noProof/>
                <w:sz w:val="20"/>
                <w:szCs w:val="20"/>
              </w:rPr>
              <w:t>- Rural development a), b), c), d), e)</w:t>
            </w:r>
          </w:p>
        </w:tc>
        <w:tc>
          <w:tcPr>
            <w:tcW w:w="891" w:type="dxa"/>
            <w:tcBorders>
              <w:top w:val="nil"/>
            </w:tcBorders>
            <w:shd w:val="clear" w:color="auto" w:fill="auto"/>
          </w:tcPr>
          <w:p>
            <w:pPr>
              <w:rPr>
                <w:b/>
                <w:noProof/>
                <w:sz w:val="18"/>
                <w:szCs w:val="18"/>
              </w:rPr>
            </w:pPr>
            <w:r>
              <w:rPr>
                <w:b/>
                <w:noProof/>
                <w:sz w:val="18"/>
                <w:szCs w:val="18"/>
              </w:rPr>
              <w:t>5 298.9</w:t>
            </w:r>
          </w:p>
        </w:tc>
        <w:tc>
          <w:tcPr>
            <w:tcW w:w="891" w:type="dxa"/>
            <w:tcBorders>
              <w:top w:val="nil"/>
            </w:tcBorders>
            <w:shd w:val="clear" w:color="auto" w:fill="auto"/>
          </w:tcPr>
          <w:p>
            <w:pPr>
              <w:rPr>
                <w:b/>
                <w:noProof/>
                <w:sz w:val="18"/>
                <w:szCs w:val="18"/>
              </w:rPr>
            </w:pPr>
            <w:r>
              <w:rPr>
                <w:b/>
                <w:noProof/>
                <w:sz w:val="18"/>
                <w:szCs w:val="18"/>
              </w:rPr>
              <w:t>18 183.7</w:t>
            </w:r>
          </w:p>
        </w:tc>
        <w:tc>
          <w:tcPr>
            <w:tcW w:w="963" w:type="dxa"/>
            <w:tcBorders>
              <w:top w:val="nil"/>
            </w:tcBorders>
            <w:shd w:val="clear" w:color="auto" w:fill="auto"/>
          </w:tcPr>
          <w:p>
            <w:pPr>
              <w:rPr>
                <w:b/>
                <w:noProof/>
                <w:sz w:val="18"/>
                <w:szCs w:val="18"/>
              </w:rPr>
            </w:pPr>
            <w:r>
              <w:rPr>
                <w:b/>
                <w:noProof/>
                <w:sz w:val="18"/>
                <w:szCs w:val="18"/>
              </w:rPr>
              <w:t>18 683.7</w:t>
            </w:r>
          </w:p>
        </w:tc>
        <w:tc>
          <w:tcPr>
            <w:tcW w:w="850" w:type="dxa"/>
            <w:tcBorders>
              <w:top w:val="nil"/>
            </w:tcBorders>
            <w:shd w:val="clear" w:color="auto" w:fill="auto"/>
          </w:tcPr>
          <w:p>
            <w:pPr>
              <w:rPr>
                <w:b/>
                <w:noProof/>
                <w:sz w:val="18"/>
                <w:szCs w:val="18"/>
              </w:rPr>
            </w:pPr>
            <w:r>
              <w:rPr>
                <w:b/>
                <w:noProof/>
                <w:sz w:val="18"/>
                <w:szCs w:val="18"/>
              </w:rPr>
              <w:t>14 371.2</w:t>
            </w:r>
          </w:p>
        </w:tc>
        <w:tc>
          <w:tcPr>
            <w:tcW w:w="851" w:type="dxa"/>
            <w:tcBorders>
              <w:top w:val="nil"/>
            </w:tcBorders>
            <w:shd w:val="clear" w:color="auto" w:fill="auto"/>
          </w:tcPr>
          <w:p>
            <w:pPr>
              <w:rPr>
                <w:b/>
                <w:noProof/>
                <w:sz w:val="18"/>
                <w:szCs w:val="18"/>
              </w:rPr>
            </w:pPr>
            <w:r>
              <w:rPr>
                <w:b/>
                <w:noProof/>
                <w:sz w:val="18"/>
                <w:szCs w:val="18"/>
              </w:rPr>
              <w:t>14 381.0</w:t>
            </w:r>
          </w:p>
        </w:tc>
        <w:tc>
          <w:tcPr>
            <w:tcW w:w="850" w:type="dxa"/>
            <w:tcBorders>
              <w:top w:val="nil"/>
            </w:tcBorders>
            <w:shd w:val="clear" w:color="auto" w:fill="auto"/>
          </w:tcPr>
          <w:p>
            <w:pPr>
              <w:rPr>
                <w:b/>
                <w:noProof/>
                <w:sz w:val="18"/>
                <w:szCs w:val="18"/>
              </w:rPr>
            </w:pPr>
            <w:r>
              <w:rPr>
                <w:b/>
                <w:noProof/>
                <w:sz w:val="18"/>
                <w:szCs w:val="18"/>
              </w:rPr>
              <w:t>14 330.4</w:t>
            </w:r>
          </w:p>
        </w:tc>
        <w:tc>
          <w:tcPr>
            <w:tcW w:w="851" w:type="dxa"/>
            <w:tcBorders>
              <w:top w:val="nil"/>
            </w:tcBorders>
            <w:shd w:val="clear" w:color="auto" w:fill="auto"/>
          </w:tcPr>
          <w:p>
            <w:pPr>
              <w:rPr>
                <w:b/>
                <w:noProof/>
                <w:sz w:val="18"/>
                <w:szCs w:val="18"/>
              </w:rPr>
            </w:pPr>
            <w:r>
              <w:rPr>
                <w:b/>
                <w:noProof/>
                <w:sz w:val="18"/>
                <w:szCs w:val="18"/>
              </w:rPr>
              <w:t>14 333.3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91" w:type="dxa"/>
          <w:trHeight w:val="282"/>
        </w:trPr>
        <w:tc>
          <w:tcPr>
            <w:tcW w:w="8120" w:type="dxa"/>
            <w:gridSpan w:val="8"/>
            <w:tcBorders>
              <w:top w:val="nil"/>
              <w:left w:val="nil"/>
              <w:bottom w:val="nil"/>
              <w:right w:val="nil"/>
            </w:tcBorders>
            <w:noWrap/>
            <w:vAlign w:val="bottom"/>
          </w:tcPr>
          <w:p>
            <w:pPr>
              <w:pStyle w:val="Text1"/>
              <w:spacing w:before="40" w:after="40"/>
              <w:ind w:left="0"/>
              <w:rPr>
                <w:sz w:val="18"/>
                <w:szCs w:val="18"/>
                <w:lang w:eastAsia="en-GB"/>
              </w:rPr>
            </w:pPr>
            <w:r>
              <w:rPr>
                <w:sz w:val="18"/>
                <w:szCs w:val="18"/>
                <w:lang w:eastAsia="en-GB"/>
              </w:rPr>
              <w:t>*) Sustainable growth: natural resources</w:t>
            </w:r>
          </w:p>
          <w:p>
            <w:pPr>
              <w:pStyle w:val="Text1"/>
              <w:spacing w:before="40" w:after="40"/>
              <w:ind w:left="0"/>
              <w:rPr>
                <w:sz w:val="18"/>
                <w:szCs w:val="18"/>
                <w:lang w:eastAsia="en-GB"/>
              </w:rPr>
            </w:pPr>
            <w:r>
              <w:rPr>
                <w:sz w:val="18"/>
                <w:szCs w:val="18"/>
                <w:lang w:eastAsia="en-GB"/>
              </w:rPr>
              <w:t>a) After transfer of EUR 622 million between EAGF and EAFRD for the financial year 2015 on the basis of Articles 136a(1) of Regulation (EC) No 73/2009 and article 14(1) of Regulation (EU) No 1307/2013;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91" w:type="dxa"/>
          <w:trHeight w:val="282"/>
        </w:trPr>
        <w:tc>
          <w:tcPr>
            <w:tcW w:w="8120" w:type="dxa"/>
            <w:gridSpan w:val="8"/>
            <w:tcBorders>
              <w:top w:val="nil"/>
              <w:left w:val="nil"/>
              <w:bottom w:val="nil"/>
              <w:right w:val="nil"/>
            </w:tcBorders>
            <w:noWrap/>
            <w:vAlign w:val="bottom"/>
          </w:tcPr>
          <w:p>
            <w:pPr>
              <w:pStyle w:val="Text1"/>
              <w:spacing w:before="40" w:after="40"/>
              <w:ind w:left="0"/>
              <w:rPr>
                <w:sz w:val="18"/>
                <w:szCs w:val="18"/>
                <w:lang w:eastAsia="en-GB"/>
              </w:rPr>
            </w:pPr>
            <w:r>
              <w:rPr>
                <w:sz w:val="18"/>
                <w:szCs w:val="18"/>
                <w:lang w:eastAsia="en-GB"/>
              </w:rPr>
              <w:t>b) After transfer of EUR 51.6 million between EAGF and EAFRD for the financial year 2015 for unspent amounts transferred each year for financial years 2014 and 2015 (SE and DE) on the basis of Articles 136 and 136b of Regulation (EC) No 73/2009;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91" w:type="dxa"/>
          <w:trHeight w:val="282"/>
        </w:trPr>
        <w:tc>
          <w:tcPr>
            <w:tcW w:w="8120" w:type="dxa"/>
            <w:gridSpan w:val="8"/>
            <w:tcBorders>
              <w:top w:val="nil"/>
              <w:left w:val="nil"/>
              <w:bottom w:val="nil"/>
              <w:right w:val="nil"/>
            </w:tcBorders>
            <w:noWrap/>
            <w:vAlign w:val="bottom"/>
          </w:tcPr>
          <w:p>
            <w:pPr>
              <w:pStyle w:val="Text1"/>
              <w:spacing w:before="40" w:after="40"/>
              <w:ind w:left="0"/>
              <w:rPr>
                <w:sz w:val="18"/>
                <w:szCs w:val="18"/>
                <w:lang w:eastAsia="en-GB"/>
              </w:rPr>
            </w:pPr>
            <w:r>
              <w:rPr>
                <w:sz w:val="18"/>
                <w:szCs w:val="18"/>
                <w:lang w:eastAsia="en-GB"/>
              </w:rPr>
              <w:t>c) After transfer of EUR 4 million between EAGF and EAFRD for the financial years 2014-2020 from the cotton sector (EL) on the basis of Article 66(1) of Regulation (EU) No 1307/2013;</w:t>
            </w:r>
          </w:p>
          <w:p>
            <w:pPr>
              <w:pStyle w:val="Text1"/>
              <w:spacing w:before="40" w:after="40"/>
              <w:ind w:left="0"/>
              <w:rPr>
                <w:sz w:val="18"/>
                <w:szCs w:val="18"/>
                <w:lang w:eastAsia="en-GB"/>
              </w:rPr>
            </w:pPr>
            <w:r>
              <w:rPr>
                <w:sz w:val="18"/>
                <w:szCs w:val="18"/>
                <w:lang w:eastAsia="en-GB"/>
              </w:rPr>
              <w:t>d) After transfer of EUR 499.4 million between EAFRD and EAGF for the financial year 2015 on the basis of Articles 136a(2) of Regulation (EC) No 73/2009 and article 14(2) of Regulation (EU) No 1307/2013;</w:t>
            </w:r>
          </w:p>
          <w:p>
            <w:pPr>
              <w:pStyle w:val="Text1"/>
              <w:spacing w:before="40" w:after="40"/>
              <w:ind w:left="0"/>
              <w:rPr>
                <w:sz w:val="18"/>
                <w:szCs w:val="18"/>
                <w:lang w:eastAsia="en-GB"/>
              </w:rPr>
            </w:pPr>
            <w:r>
              <w:rPr>
                <w:sz w:val="18"/>
                <w:szCs w:val="18"/>
                <w:lang w:eastAsia="en-GB"/>
              </w:rPr>
              <w:t>e) The EAFRD amounts reflect the re-programming carried out in 2015, transferring unused allocations for the year 2014 to 2015 and 2016 in accordance with article 19 of Regulation (EU) No 1311/2013.</w:t>
            </w:r>
          </w:p>
        </w:tc>
      </w:tr>
    </w:tbl>
    <w:p>
      <w:pPr>
        <w:pStyle w:val="ManualHeading2"/>
        <w:rPr>
          <w:noProof/>
        </w:rPr>
      </w:pPr>
      <w:bookmarkStart w:id="9" w:name="_Toc393364826"/>
      <w:bookmarkStart w:id="10" w:name="_Toc484783890"/>
      <w:bookmarkStart w:id="11" w:name="_Toc322938555"/>
      <w:r>
        <w:t>1.2.</w:t>
      </w:r>
      <w:r>
        <w:tab/>
      </w:r>
      <w:r>
        <w:rPr>
          <w:noProof/>
        </w:rPr>
        <w:t>Draft Budget 2016 and Amending Letter 2/</w:t>
      </w:r>
      <w:bookmarkEnd w:id="9"/>
      <w:r>
        <w:rPr>
          <w:noProof/>
        </w:rPr>
        <w:t>2016</w:t>
      </w:r>
      <w:bookmarkEnd w:id="10"/>
      <w:r>
        <w:rPr>
          <w:noProof/>
        </w:rPr>
        <w:t xml:space="preserve"> </w:t>
      </w:r>
    </w:p>
    <w:p>
      <w:pPr>
        <w:pStyle w:val="Text1"/>
      </w:pPr>
      <w:r>
        <w:t>The Draft Budget 2016 was adopted by the Commission and proposed to the Budgetary Authority on 24 June 2015</w:t>
      </w:r>
      <w:r>
        <w:rPr>
          <w:b/>
        </w:rPr>
        <w:t>.</w:t>
      </w:r>
      <w:r>
        <w:t xml:space="preserve"> The commitment appropriations proposed for the EAGF totalled EUR 42 867.6 million.</w:t>
      </w:r>
    </w:p>
    <w:p>
      <w:pPr>
        <w:pStyle w:val="Text1"/>
      </w:pPr>
      <w:r>
        <w:t xml:space="preserve">The Council adopted its position on the Draft Budget 2016 on 4 September 2015, reducing the commitment appropriations for the EAGF by EUR 198.9 million. The European Parliament adopted its position on 28 October 2015, increasing the commitment appropriations for the EAGF by EUR 499.8 million compared to the Draft Budget. </w:t>
      </w:r>
    </w:p>
    <w:p>
      <w:pPr>
        <w:pStyle w:val="Text1"/>
      </w:pPr>
      <w:r>
        <w:t>On 14 October 2015 the Commission adopted Amending Letter (AL) No 2 to the Draft Budget 2016, lowering the requested commitment appropriations for the EAGF by EUR 507.3 million compared to the Draft Budget.</w:t>
      </w:r>
    </w:p>
    <w:p>
      <w:pPr>
        <w:pStyle w:val="ManualHeading2"/>
        <w:rPr>
          <w:noProof/>
        </w:rPr>
      </w:pPr>
      <w:bookmarkStart w:id="12" w:name="_Toc393364829"/>
      <w:bookmarkStart w:id="13" w:name="_Toc484783891"/>
      <w:bookmarkEnd w:id="11"/>
      <w:r>
        <w:t>1.3.</w:t>
      </w:r>
      <w:r>
        <w:tab/>
      </w:r>
      <w:r>
        <w:rPr>
          <w:noProof/>
        </w:rPr>
        <w:t>Adoption of the 2016 budget</w:t>
      </w:r>
      <w:bookmarkEnd w:id="12"/>
      <w:bookmarkEnd w:id="13"/>
      <w:r>
        <w:rPr>
          <w:noProof/>
        </w:rPr>
        <w:t xml:space="preserve"> </w:t>
      </w:r>
    </w:p>
    <w:p>
      <w:pPr>
        <w:pStyle w:val="Text1"/>
      </w:pPr>
      <w:r>
        <w:t>The Conciliation Committee, composed of members of the European Parliament and of the Council, agreed on a Joint Text on 14 November 2015. Finally, the 2016 budget was declared as adopted by the European Parliament on 25 November 2015. The budget's total commitment appropriations for the EAGF amounted to EUR 42 220.3 million and its payment appropriations amounted to EUR 42 212.1 million.</w:t>
      </w:r>
    </w:p>
    <w:p>
      <w:pPr>
        <w:spacing w:before="120" w:after="120"/>
        <w:ind w:left="850"/>
        <w:jc w:val="both"/>
        <w:rPr>
          <w:rFonts w:eastAsia="MS PGothic"/>
          <w:noProof/>
          <w:lang w:eastAsia="en-US"/>
        </w:rPr>
      </w:pPr>
      <w:r>
        <w:rPr>
          <w:rFonts w:eastAsia="MS PGothic"/>
          <w:noProof/>
          <w:lang w:eastAsia="en-US"/>
        </w:rPr>
        <w:t>The difference between commitment and payment appropriations is due to the fact, that for certain measures, which are directly implemented by the Commission, differentiated appropriations are used. These measures relate mainly to the promotion of agricultural products, to policy strategy and coordination measures for agriculture.</w:t>
      </w:r>
    </w:p>
    <w:p>
      <w:pPr>
        <w:spacing w:before="120" w:after="120"/>
        <w:ind w:left="850"/>
        <w:jc w:val="both"/>
        <w:rPr>
          <w:rFonts w:eastAsia="MS PGothic"/>
          <w:noProof/>
          <w:lang w:eastAsia="en-US"/>
        </w:rPr>
      </w:pPr>
      <w:r>
        <w:rPr>
          <w:rFonts w:eastAsia="MS PGothic"/>
          <w:noProof/>
          <w:lang w:eastAsia="en-US"/>
        </w:rPr>
        <w:t xml:space="preserve">Specifically, of the voted EAGF commitment appropriations for policy area 05 amounting to EUR 42 220.3 million, EUR 2 673.0 million were foreseen for interventions in agricultural markets under chapter 05 02, EUR 39 445.7 million were foreseen for direct payments under chapter 05 03, EUR 58.6 million were foreseen for audit of agricultural expenditure under chapter 05 07 and EUR 33.4 million for policy strategy and coordination under chapter 05 08. </w:t>
      </w:r>
    </w:p>
    <w:p>
      <w:pPr>
        <w:pStyle w:val="Text1"/>
      </w:pPr>
      <w:r>
        <w:rPr>
          <w:rFonts w:eastAsia="Times New Roman"/>
          <w:lang w:eastAsia="en-GB"/>
        </w:rPr>
        <w:t>Further details are provided in annex 1</w:t>
      </w:r>
      <w:r>
        <w:t>.</w:t>
      </w:r>
    </w:p>
    <w:p>
      <w:pPr>
        <w:pStyle w:val="Text1"/>
      </w:pPr>
      <w:r>
        <w:t>Subsequently, in the course of the financial year 2017, the EAGF's appropriations for article 05 08 03 (restructuring of systems for agricultural surveys) were reduced by EUR 1.25 million through Amending Budget No 4.</w:t>
      </w:r>
    </w:p>
    <w:p>
      <w:pPr>
        <w:pStyle w:val="ManualHeading2"/>
        <w:rPr>
          <w:noProof/>
        </w:rPr>
      </w:pPr>
      <w:bookmarkStart w:id="14" w:name="_Toc322938556"/>
      <w:bookmarkStart w:id="15" w:name="_Toc484783892"/>
      <w:r>
        <w:t>1.4.</w:t>
      </w:r>
      <w:r>
        <w:tab/>
      </w:r>
      <w:r>
        <w:rPr>
          <w:noProof/>
        </w:rPr>
        <w:t>Revenue assigned to the EAGF</w:t>
      </w:r>
      <w:r>
        <w:rPr>
          <w:rStyle w:val="FootnoteReference"/>
          <w:noProof/>
        </w:rPr>
        <w:footnoteReference w:id="3"/>
      </w:r>
      <w:bookmarkEnd w:id="14"/>
      <w:bookmarkEnd w:id="15"/>
      <w:r>
        <w:rPr>
          <w:noProof/>
        </w:rPr>
        <w:t xml:space="preserve"> </w:t>
      </w:r>
    </w:p>
    <w:p>
      <w:pPr>
        <w:pStyle w:val="Text1"/>
      </w:pPr>
      <w:r>
        <w:t>In accordance with Article 43 of Regulation (EC) No 1306/2013 on the financing of the Common Agricultural Policy</w:t>
      </w:r>
      <w:r>
        <w:rPr>
          <w:vertAlign w:val="superscript"/>
        </w:rPr>
        <w:footnoteReference w:id="4"/>
      </w:r>
      <w:r>
        <w:t>, revenue originating from financial corrections under accounting or conformity clearance decisions, from irregularities and from the milk levy are designated as revenue assigned to the financing of EAGF expenditure. According to these rules, assigned revenue can be used to cover the financing of any EAGF expenditure. If a part of this revenue is not used, then this part will be automatically carried forward to the following budget year.</w:t>
      </w:r>
    </w:p>
    <w:p>
      <w:pPr>
        <w:pStyle w:val="Text1"/>
      </w:pPr>
      <w:r>
        <w:t>At the time of establishing the 2016 budget, an estimate of the revenue was made both for the amount expected to be collected in the course of the 2016 budget year as well as of the amount which was expected to be carried over from the budget year 2015 into 2016. This estimate amounted to EUR 2 980 million and it was taken into consideration when the Budgetary Authority adopted the 2016 budget. In particular:</w:t>
      </w:r>
    </w:p>
    <w:p>
      <w:pPr>
        <w:pStyle w:val="Tiret1"/>
        <w:rPr>
          <w:noProof/>
        </w:rPr>
      </w:pPr>
      <w:r>
        <w:rPr>
          <w:noProof/>
        </w:rPr>
        <w:t>revenue from the conformity clearance corrections and from irregularities was estimated at EUR 1 125 million and EUR 155 million respectively while the receipts from the milk levy were estimated at EUR 810 million. Thus, the total amount of assigned revenue expected to be collected in the course of the 2016 budget year was estimated at EUR 2 090 million;</w:t>
      </w:r>
    </w:p>
    <w:p>
      <w:pPr>
        <w:pStyle w:val="Tiret1"/>
        <w:rPr>
          <w:noProof/>
        </w:rPr>
      </w:pPr>
      <w:r>
        <w:rPr>
          <w:noProof/>
        </w:rPr>
        <w:t>The amount of assigned revenue expected to be carried over from the budget year 2015 into 2016 was estimated at EUR 890 million.</w:t>
      </w:r>
    </w:p>
    <w:p>
      <w:pPr>
        <w:pStyle w:val="Text1"/>
      </w:pPr>
      <w:r>
        <w:t xml:space="preserve">In the 2016 budget, this initially estimated revenue of EUR 2 980 million was assigned to two schemes, i.e.: </w:t>
      </w:r>
    </w:p>
    <w:p>
      <w:pPr>
        <w:pStyle w:val="Tiret1"/>
        <w:rPr>
          <w:noProof/>
        </w:rPr>
      </w:pPr>
      <w:r>
        <w:rPr>
          <w:noProof/>
        </w:rPr>
        <w:t xml:space="preserve">EUR 600 million for the operational funds for producer organisations in the fruits and vegetables sector; </w:t>
      </w:r>
    </w:p>
    <w:p>
      <w:pPr>
        <w:pStyle w:val="Tiret1"/>
        <w:rPr>
          <w:noProof/>
        </w:rPr>
      </w:pPr>
      <w:r>
        <w:rPr>
          <w:noProof/>
        </w:rPr>
        <w:t xml:space="preserve">EUR 2 380 million for the basic payment scheme (direct payments). </w:t>
      </w:r>
    </w:p>
    <w:p>
      <w:pPr>
        <w:pStyle w:val="Tiret1"/>
        <w:numPr>
          <w:ilvl w:val="0"/>
          <w:numId w:val="0"/>
        </w:numPr>
        <w:ind w:left="850"/>
        <w:rPr>
          <w:noProof/>
        </w:rPr>
      </w:pPr>
      <w:r>
        <w:rPr>
          <w:noProof/>
        </w:rPr>
        <w:t>For the aforementioned schemes, the sum of the voted appropriations by the Budgetary Authority and the assigned revenue corresponds to a total estimate of available appropriations of:</w:t>
      </w:r>
    </w:p>
    <w:p>
      <w:pPr>
        <w:pStyle w:val="Tiret1"/>
        <w:rPr>
          <w:noProof/>
        </w:rPr>
      </w:pPr>
      <w:r>
        <w:rPr>
          <w:noProof/>
        </w:rPr>
        <w:t xml:space="preserve">EUR 898 million for the operational funds for producer organisations in the fruits and vegetables sector; </w:t>
      </w:r>
    </w:p>
    <w:p>
      <w:pPr>
        <w:pStyle w:val="Tiret1"/>
        <w:rPr>
          <w:noProof/>
        </w:rPr>
      </w:pPr>
      <w:r>
        <w:rPr>
          <w:noProof/>
        </w:rPr>
        <w:t xml:space="preserve">EUR 18 307 million for the basic payment scheme (direct payments). </w:t>
      </w:r>
    </w:p>
    <w:p>
      <w:pPr>
        <w:pStyle w:val="ManualHeading1"/>
        <w:rPr>
          <w:noProof/>
        </w:rPr>
      </w:pPr>
      <w:bookmarkStart w:id="16" w:name="_Toc322938559"/>
      <w:r>
        <w:tab/>
      </w:r>
    </w:p>
    <w:p>
      <w:pPr>
        <w:pStyle w:val="ManualHeading1"/>
        <w:rPr>
          <w:noProof/>
        </w:rPr>
      </w:pPr>
      <w:r>
        <w:rPr>
          <w:noProof/>
        </w:rPr>
        <w:br w:type="page"/>
      </w:r>
      <w:bookmarkStart w:id="17" w:name="_Toc484783893"/>
      <w:r>
        <w:t>2.</w:t>
      </w:r>
      <w:r>
        <w:tab/>
      </w:r>
      <w:r>
        <w:rPr>
          <w:noProof/>
        </w:rPr>
        <w:t>CASH POSITION AND MANAGEMENT OF APPROPRIATIONS</w:t>
      </w:r>
      <w:bookmarkEnd w:id="17"/>
      <w:r>
        <w:rPr>
          <w:noProof/>
          <w:color w:val="FF0000"/>
        </w:rPr>
        <w:t xml:space="preserve"> </w:t>
      </w:r>
      <w:bookmarkEnd w:id="16"/>
    </w:p>
    <w:p>
      <w:pPr>
        <w:pStyle w:val="ManualHeading2"/>
        <w:rPr>
          <w:noProof/>
        </w:rPr>
      </w:pPr>
      <w:bookmarkStart w:id="18" w:name="_Toc322938560"/>
      <w:bookmarkStart w:id="19" w:name="_Toc484783894"/>
      <w:r>
        <w:t>2.1.</w:t>
      </w:r>
      <w:r>
        <w:tab/>
      </w:r>
      <w:r>
        <w:rPr>
          <w:noProof/>
        </w:rPr>
        <w:t>Management of appropriations</w:t>
      </w:r>
      <w:bookmarkEnd w:id="18"/>
      <w:bookmarkEnd w:id="19"/>
      <w:r>
        <w:rPr>
          <w:noProof/>
        </w:rPr>
        <w:t xml:space="preserve"> </w:t>
      </w:r>
    </w:p>
    <w:p>
      <w:pPr>
        <w:pStyle w:val="ManualHeading3"/>
        <w:rPr>
          <w:noProof/>
        </w:rPr>
      </w:pPr>
      <w:bookmarkStart w:id="20" w:name="_Toc484783895"/>
      <w:bookmarkStart w:id="21" w:name="_Toc322938562"/>
      <w:r>
        <w:t>2.1.1.</w:t>
      </w:r>
      <w:r>
        <w:tab/>
      </w:r>
      <w:r>
        <w:rPr>
          <w:noProof/>
        </w:rPr>
        <w:t>Appropriations available for the 2016 financial year</w:t>
      </w:r>
      <w:bookmarkEnd w:id="20"/>
      <w:r>
        <w:rPr>
          <w:noProof/>
        </w:rPr>
        <w:t xml:space="preserve"> </w:t>
      </w:r>
    </w:p>
    <w:tbl>
      <w:tblPr>
        <w:tblW w:w="8940" w:type="dxa"/>
        <w:tblInd w:w="648" w:type="dxa"/>
        <w:tblLayout w:type="fixed"/>
        <w:tblLook w:val="01E0" w:firstRow="1" w:lastRow="1" w:firstColumn="1" w:lastColumn="1" w:noHBand="0" w:noVBand="0"/>
      </w:tblPr>
      <w:tblGrid>
        <w:gridCol w:w="2220"/>
        <w:gridCol w:w="1800"/>
        <w:gridCol w:w="1676"/>
        <w:gridCol w:w="1804"/>
        <w:gridCol w:w="977"/>
        <w:gridCol w:w="463"/>
      </w:tblGrid>
      <w:tr>
        <w:trPr>
          <w:gridAfter w:val="1"/>
          <w:wAfter w:w="463" w:type="dxa"/>
        </w:trPr>
        <w:tc>
          <w:tcPr>
            <w:tcW w:w="8477" w:type="dxa"/>
            <w:gridSpan w:val="5"/>
            <w:shd w:val="clear" w:color="auto" w:fill="auto"/>
          </w:tcPr>
          <w:p>
            <w:pPr>
              <w:pStyle w:val="Text1"/>
              <w:keepNext/>
              <w:keepLines/>
              <w:spacing w:before="0" w:after="0"/>
              <w:ind w:left="0"/>
              <w:jc w:val="right"/>
              <w:rPr>
                <w:i/>
                <w:sz w:val="20"/>
              </w:rPr>
            </w:pPr>
            <w:r>
              <w:rPr>
                <w:i/>
                <w:sz w:val="20"/>
              </w:rPr>
              <w:t>In EUR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220" w:type="dxa"/>
            <w:tcBorders>
              <w:top w:val="double" w:sz="4" w:space="0" w:color="auto"/>
              <w:left w:val="double" w:sz="4" w:space="0" w:color="auto"/>
              <w:bottom w:val="single" w:sz="6" w:space="0" w:color="auto"/>
              <w:right w:val="dotted" w:sz="4" w:space="0" w:color="auto"/>
            </w:tcBorders>
            <w:shd w:val="clear" w:color="auto" w:fill="99CC00"/>
            <w:noWrap/>
            <w:vAlign w:val="center"/>
          </w:tcPr>
          <w:p>
            <w:pPr>
              <w:jc w:val="center"/>
              <w:rPr>
                <w:b/>
                <w:bCs/>
                <w:noProof/>
                <w:sz w:val="18"/>
                <w:szCs w:val="18"/>
              </w:rPr>
            </w:pPr>
            <w:r>
              <w:rPr>
                <w:b/>
                <w:bCs/>
                <w:noProof/>
                <w:sz w:val="18"/>
                <w:szCs w:val="18"/>
              </w:rPr>
              <w:t>Expenditure section of</w:t>
            </w:r>
          </w:p>
          <w:p>
            <w:pPr>
              <w:jc w:val="center"/>
              <w:rPr>
                <w:b/>
                <w:bCs/>
                <w:noProof/>
                <w:sz w:val="18"/>
                <w:szCs w:val="18"/>
              </w:rPr>
            </w:pPr>
            <w:r>
              <w:rPr>
                <w:b/>
                <w:bCs/>
                <w:noProof/>
                <w:sz w:val="18"/>
                <w:szCs w:val="18"/>
              </w:rPr>
              <w:t xml:space="preserve">budget </w:t>
            </w:r>
            <w:r>
              <w:rPr>
                <w:bCs/>
                <w:noProof/>
                <w:sz w:val="16"/>
                <w:szCs w:val="16"/>
              </w:rPr>
              <w:t>(1)</w:t>
            </w:r>
          </w:p>
        </w:tc>
        <w:tc>
          <w:tcPr>
            <w:tcW w:w="1800" w:type="dxa"/>
            <w:tcBorders>
              <w:top w:val="double" w:sz="4" w:space="0" w:color="auto"/>
              <w:left w:val="dotted" w:sz="4" w:space="0" w:color="auto"/>
              <w:bottom w:val="single" w:sz="6" w:space="0" w:color="auto"/>
              <w:right w:val="dotted" w:sz="4" w:space="0" w:color="auto"/>
            </w:tcBorders>
            <w:shd w:val="clear" w:color="auto" w:fill="99CC00"/>
            <w:vAlign w:val="center"/>
          </w:tcPr>
          <w:p>
            <w:pPr>
              <w:jc w:val="center"/>
              <w:rPr>
                <w:noProof/>
                <w:sz w:val="18"/>
                <w:szCs w:val="18"/>
              </w:rPr>
            </w:pPr>
            <w:r>
              <w:rPr>
                <w:noProof/>
                <w:sz w:val="18"/>
                <w:szCs w:val="18"/>
              </w:rPr>
              <w:t>Commitment appropriations</w:t>
            </w:r>
          </w:p>
        </w:tc>
        <w:tc>
          <w:tcPr>
            <w:tcW w:w="1676" w:type="dxa"/>
            <w:tcBorders>
              <w:top w:val="double" w:sz="4" w:space="0" w:color="auto"/>
              <w:left w:val="dotted" w:sz="4" w:space="0" w:color="auto"/>
              <w:bottom w:val="single" w:sz="6" w:space="0" w:color="auto"/>
            </w:tcBorders>
            <w:shd w:val="clear" w:color="auto" w:fill="99CC00"/>
            <w:vAlign w:val="center"/>
          </w:tcPr>
          <w:p>
            <w:pPr>
              <w:jc w:val="center"/>
              <w:rPr>
                <w:noProof/>
                <w:sz w:val="18"/>
                <w:szCs w:val="18"/>
              </w:rPr>
            </w:pPr>
            <w:r>
              <w:rPr>
                <w:noProof/>
                <w:sz w:val="18"/>
                <w:szCs w:val="18"/>
              </w:rPr>
              <w:t>Payment appropriations</w:t>
            </w:r>
          </w:p>
        </w:tc>
        <w:tc>
          <w:tcPr>
            <w:tcW w:w="1804" w:type="dxa"/>
            <w:tcBorders>
              <w:top w:val="double" w:sz="4" w:space="0" w:color="auto"/>
              <w:right w:val="dotted" w:sz="4" w:space="0" w:color="auto"/>
            </w:tcBorders>
            <w:shd w:val="clear" w:color="auto" w:fill="99CC00"/>
            <w:noWrap/>
            <w:vAlign w:val="center"/>
          </w:tcPr>
          <w:p>
            <w:pPr>
              <w:jc w:val="center"/>
              <w:rPr>
                <w:b/>
                <w:bCs/>
                <w:noProof/>
                <w:sz w:val="18"/>
                <w:szCs w:val="18"/>
              </w:rPr>
            </w:pPr>
            <w:r>
              <w:rPr>
                <w:b/>
                <w:bCs/>
                <w:noProof/>
                <w:sz w:val="18"/>
                <w:szCs w:val="18"/>
              </w:rPr>
              <w:t xml:space="preserve">Revenue section of budget (AR) </w:t>
            </w:r>
            <w:r>
              <w:rPr>
                <w:bCs/>
                <w:noProof/>
                <w:sz w:val="16"/>
                <w:szCs w:val="16"/>
              </w:rPr>
              <w:t>(2)</w:t>
            </w:r>
          </w:p>
        </w:tc>
        <w:tc>
          <w:tcPr>
            <w:tcW w:w="1440" w:type="dxa"/>
            <w:gridSpan w:val="2"/>
            <w:tcBorders>
              <w:top w:val="double" w:sz="4" w:space="0" w:color="auto"/>
              <w:left w:val="dotted" w:sz="4" w:space="0" w:color="auto"/>
              <w:right w:val="double" w:sz="4" w:space="0" w:color="auto"/>
            </w:tcBorders>
            <w:shd w:val="clear" w:color="auto" w:fill="99CC00"/>
            <w:noWrap/>
            <w:vAlign w:val="center"/>
          </w:tcPr>
          <w:p>
            <w:pPr>
              <w:spacing w:before="240"/>
              <w:jc w:val="center"/>
              <w:rPr>
                <w:noProof/>
                <w:sz w:val="18"/>
                <w:szCs w:val="18"/>
              </w:rPr>
            </w:pPr>
            <w:r>
              <w:rPr>
                <w:noProof/>
                <w:sz w:val="18"/>
                <w:szCs w:val="18"/>
              </w:rPr>
              <w:t>Forecasts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220"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rPr>
                <w:noProof/>
                <w:sz w:val="18"/>
                <w:szCs w:val="18"/>
              </w:rPr>
            </w:pPr>
            <w:r>
              <w:rPr>
                <w:noProof/>
                <w:sz w:val="18"/>
                <w:szCs w:val="18"/>
              </w:rPr>
              <w:t>1. Initial appropriations for EAGF of which</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jc w:val="right"/>
              <w:rPr>
                <w:noProof/>
                <w:sz w:val="18"/>
                <w:szCs w:val="18"/>
              </w:rPr>
            </w:pPr>
            <w:r>
              <w:rPr>
                <w:noProof/>
                <w:sz w:val="18"/>
                <w:szCs w:val="18"/>
              </w:rPr>
              <w:t>42 220 335 824.00</w:t>
            </w:r>
          </w:p>
        </w:tc>
        <w:tc>
          <w:tcPr>
            <w:tcW w:w="1676" w:type="dxa"/>
            <w:tcBorders>
              <w:top w:val="single" w:sz="6" w:space="0" w:color="auto"/>
              <w:left w:val="dotted" w:sz="4" w:space="0" w:color="auto"/>
              <w:bottom w:val="single" w:sz="6" w:space="0" w:color="auto"/>
            </w:tcBorders>
            <w:shd w:val="clear" w:color="auto" w:fill="auto"/>
            <w:noWrap/>
            <w:vAlign w:val="center"/>
          </w:tcPr>
          <w:p>
            <w:pPr>
              <w:jc w:val="right"/>
              <w:rPr>
                <w:noProof/>
                <w:sz w:val="18"/>
                <w:szCs w:val="18"/>
              </w:rPr>
            </w:pPr>
            <w:r>
              <w:rPr>
                <w:noProof/>
                <w:sz w:val="18"/>
                <w:szCs w:val="18"/>
              </w:rPr>
              <w:t>42 212 046 297.00</w:t>
            </w:r>
          </w:p>
        </w:tc>
        <w:tc>
          <w:tcPr>
            <w:tcW w:w="1804" w:type="dxa"/>
            <w:tcBorders>
              <w:right w:val="dotted" w:sz="4" w:space="0" w:color="auto"/>
            </w:tcBorders>
            <w:shd w:val="clear" w:color="auto" w:fill="auto"/>
            <w:noWrap/>
            <w:vAlign w:val="center"/>
          </w:tcPr>
          <w:p>
            <w:pPr>
              <w:spacing w:before="60" w:after="60"/>
              <w:rPr>
                <w:noProof/>
                <w:sz w:val="18"/>
                <w:szCs w:val="18"/>
              </w:rPr>
            </w:pPr>
            <w:r>
              <w:rPr>
                <w:noProof/>
                <w:sz w:val="18"/>
                <w:szCs w:val="18"/>
              </w:rPr>
              <w:t>1. Clearance decisions</w:t>
            </w:r>
          </w:p>
        </w:tc>
        <w:tc>
          <w:tcPr>
            <w:tcW w:w="1440" w:type="dxa"/>
            <w:gridSpan w:val="2"/>
            <w:tcBorders>
              <w:left w:val="dotted" w:sz="4" w:space="0" w:color="auto"/>
              <w:right w:val="double" w:sz="4" w:space="0" w:color="auto"/>
            </w:tcBorders>
            <w:shd w:val="clear" w:color="auto" w:fill="auto"/>
            <w:noWrap/>
            <w:vAlign w:val="center"/>
          </w:tcPr>
          <w:p>
            <w:pPr>
              <w:jc w:val="right"/>
              <w:rPr>
                <w:noProof/>
                <w:sz w:val="18"/>
                <w:szCs w:val="18"/>
              </w:rPr>
            </w:pPr>
            <w:r>
              <w:rPr>
                <w:noProof/>
                <w:sz w:val="18"/>
                <w:szCs w:val="18"/>
              </w:rPr>
              <w:t xml:space="preserve"> 1 125 000 000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220"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rPr>
                <w:noProof/>
                <w:sz w:val="18"/>
                <w:szCs w:val="18"/>
              </w:rPr>
            </w:pPr>
            <w:r>
              <w:rPr>
                <w:noProof/>
                <w:sz w:val="18"/>
                <w:szCs w:val="18"/>
              </w:rPr>
              <w:t xml:space="preserve">1a. Appropriations under shared management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jc w:val="right"/>
              <w:rPr>
                <w:noProof/>
                <w:sz w:val="18"/>
                <w:szCs w:val="18"/>
              </w:rPr>
            </w:pPr>
            <w:r>
              <w:rPr>
                <w:noProof/>
                <w:sz w:val="18"/>
                <w:szCs w:val="18"/>
              </w:rPr>
              <w:t>42 152 208 157.00</w:t>
            </w:r>
          </w:p>
        </w:tc>
        <w:tc>
          <w:tcPr>
            <w:tcW w:w="1676" w:type="dxa"/>
            <w:tcBorders>
              <w:top w:val="single" w:sz="6" w:space="0" w:color="auto"/>
              <w:left w:val="dotted" w:sz="4" w:space="0" w:color="auto"/>
              <w:bottom w:val="single" w:sz="6" w:space="0" w:color="auto"/>
            </w:tcBorders>
            <w:shd w:val="clear" w:color="auto" w:fill="auto"/>
            <w:noWrap/>
            <w:vAlign w:val="center"/>
          </w:tcPr>
          <w:p>
            <w:pPr>
              <w:jc w:val="right"/>
              <w:rPr>
                <w:noProof/>
                <w:sz w:val="18"/>
                <w:szCs w:val="18"/>
              </w:rPr>
            </w:pPr>
            <w:r>
              <w:rPr>
                <w:noProof/>
                <w:sz w:val="18"/>
                <w:szCs w:val="18"/>
              </w:rPr>
              <w:t>42 152 208 157.00</w:t>
            </w:r>
          </w:p>
        </w:tc>
        <w:tc>
          <w:tcPr>
            <w:tcW w:w="1804" w:type="dxa"/>
            <w:tcBorders>
              <w:right w:val="dotted" w:sz="4" w:space="0" w:color="auto"/>
            </w:tcBorders>
            <w:shd w:val="clear" w:color="auto" w:fill="auto"/>
            <w:noWrap/>
            <w:vAlign w:val="center"/>
          </w:tcPr>
          <w:p>
            <w:pPr>
              <w:spacing w:before="60" w:after="60"/>
              <w:rPr>
                <w:noProof/>
                <w:sz w:val="18"/>
                <w:szCs w:val="18"/>
              </w:rPr>
            </w:pPr>
            <w:r>
              <w:rPr>
                <w:noProof/>
                <w:sz w:val="18"/>
                <w:szCs w:val="18"/>
              </w:rPr>
              <w:t>2. Irregularities</w:t>
            </w:r>
          </w:p>
        </w:tc>
        <w:tc>
          <w:tcPr>
            <w:tcW w:w="1440" w:type="dxa"/>
            <w:gridSpan w:val="2"/>
            <w:tcBorders>
              <w:left w:val="dotted" w:sz="4" w:space="0" w:color="auto"/>
              <w:right w:val="double" w:sz="4" w:space="0" w:color="auto"/>
            </w:tcBorders>
            <w:shd w:val="clear" w:color="auto" w:fill="auto"/>
            <w:noWrap/>
            <w:vAlign w:val="center"/>
          </w:tcPr>
          <w:p>
            <w:pPr>
              <w:jc w:val="right"/>
              <w:rPr>
                <w:noProof/>
                <w:sz w:val="18"/>
                <w:szCs w:val="18"/>
              </w:rPr>
            </w:pPr>
            <w:r>
              <w:rPr>
                <w:noProof/>
                <w:sz w:val="18"/>
                <w:szCs w:val="18"/>
              </w:rPr>
              <w:t xml:space="preserve"> 155 000 000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rPr>
                <w:noProof/>
                <w:sz w:val="18"/>
                <w:szCs w:val="18"/>
              </w:rPr>
            </w:pPr>
            <w:r>
              <w:rPr>
                <w:noProof/>
                <w:sz w:val="18"/>
                <w:szCs w:val="18"/>
              </w:rPr>
              <w:t xml:space="preserve">1b. Appropriations under direct management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jc w:val="right"/>
              <w:rPr>
                <w:noProof/>
                <w:sz w:val="18"/>
                <w:szCs w:val="18"/>
              </w:rPr>
            </w:pPr>
            <w:r>
              <w:rPr>
                <w:noProof/>
                <w:sz w:val="18"/>
                <w:szCs w:val="18"/>
              </w:rPr>
              <w:t>68 127 667.00</w:t>
            </w:r>
          </w:p>
        </w:tc>
        <w:tc>
          <w:tcPr>
            <w:tcW w:w="1676" w:type="dxa"/>
            <w:tcBorders>
              <w:top w:val="single" w:sz="6" w:space="0" w:color="auto"/>
              <w:left w:val="dotted" w:sz="4" w:space="0" w:color="auto"/>
              <w:bottom w:val="single" w:sz="6" w:space="0" w:color="auto"/>
            </w:tcBorders>
            <w:shd w:val="clear" w:color="auto" w:fill="auto"/>
            <w:noWrap/>
            <w:vAlign w:val="center"/>
          </w:tcPr>
          <w:p>
            <w:pPr>
              <w:jc w:val="right"/>
              <w:rPr>
                <w:noProof/>
                <w:sz w:val="18"/>
                <w:szCs w:val="18"/>
              </w:rPr>
            </w:pPr>
            <w:r>
              <w:rPr>
                <w:noProof/>
                <w:sz w:val="18"/>
                <w:szCs w:val="18"/>
              </w:rPr>
              <w:t>59 838 140.00</w:t>
            </w:r>
          </w:p>
        </w:tc>
        <w:tc>
          <w:tcPr>
            <w:tcW w:w="1804" w:type="dxa"/>
            <w:tcBorders>
              <w:right w:val="dotted" w:sz="4" w:space="0" w:color="auto"/>
            </w:tcBorders>
            <w:shd w:val="clear" w:color="auto" w:fill="auto"/>
            <w:noWrap/>
            <w:vAlign w:val="center"/>
          </w:tcPr>
          <w:p>
            <w:pPr>
              <w:spacing w:before="60" w:after="60"/>
              <w:rPr>
                <w:noProof/>
                <w:sz w:val="18"/>
                <w:szCs w:val="18"/>
              </w:rPr>
            </w:pPr>
            <w:r>
              <w:rPr>
                <w:noProof/>
                <w:sz w:val="18"/>
                <w:szCs w:val="18"/>
              </w:rPr>
              <w:t>3. Super levy from milk producers</w:t>
            </w:r>
          </w:p>
        </w:tc>
        <w:tc>
          <w:tcPr>
            <w:tcW w:w="1440" w:type="dxa"/>
            <w:gridSpan w:val="2"/>
            <w:tcBorders>
              <w:left w:val="dotted" w:sz="4" w:space="0" w:color="auto"/>
              <w:right w:val="double" w:sz="4" w:space="0" w:color="auto"/>
            </w:tcBorders>
            <w:shd w:val="clear" w:color="auto" w:fill="auto"/>
            <w:noWrap/>
            <w:vAlign w:val="center"/>
          </w:tcPr>
          <w:p>
            <w:pPr>
              <w:jc w:val="right"/>
              <w:rPr>
                <w:noProof/>
                <w:sz w:val="18"/>
                <w:szCs w:val="18"/>
              </w:rPr>
            </w:pPr>
            <w:r>
              <w:rPr>
                <w:noProof/>
                <w:sz w:val="18"/>
                <w:szCs w:val="18"/>
              </w:rPr>
              <w:t xml:space="preserve"> 810 000 000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vAlign w:val="center"/>
          </w:tcPr>
          <w:p>
            <w:pPr>
              <w:spacing w:before="60" w:after="60"/>
              <w:rPr>
                <w:noProof/>
                <w:sz w:val="18"/>
                <w:szCs w:val="18"/>
              </w:rPr>
            </w:pPr>
            <w:r>
              <w:rPr>
                <w:noProof/>
                <w:sz w:val="18"/>
                <w:szCs w:val="18"/>
              </w:rPr>
              <w:t xml:space="preserve">2. Amending Budget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jc w:val="right"/>
              <w:rPr>
                <w:noProof/>
                <w:sz w:val="18"/>
                <w:szCs w:val="18"/>
              </w:rPr>
            </w:pPr>
            <w:r>
              <w:rPr>
                <w:noProof/>
                <w:sz w:val="18"/>
                <w:szCs w:val="18"/>
              </w:rPr>
              <w:t>-1 250 000.00</w:t>
            </w:r>
          </w:p>
        </w:tc>
        <w:tc>
          <w:tcPr>
            <w:tcW w:w="1676" w:type="dxa"/>
            <w:tcBorders>
              <w:top w:val="single" w:sz="6" w:space="0" w:color="auto"/>
              <w:left w:val="dotted" w:sz="4" w:space="0" w:color="auto"/>
              <w:bottom w:val="single" w:sz="6" w:space="0" w:color="auto"/>
            </w:tcBorders>
            <w:shd w:val="clear" w:color="auto" w:fill="auto"/>
            <w:noWrap/>
            <w:vAlign w:val="center"/>
          </w:tcPr>
          <w:p>
            <w:pPr>
              <w:jc w:val="right"/>
              <w:rPr>
                <w:noProof/>
                <w:sz w:val="18"/>
                <w:szCs w:val="18"/>
              </w:rPr>
            </w:pPr>
          </w:p>
        </w:tc>
        <w:tc>
          <w:tcPr>
            <w:tcW w:w="1804" w:type="dxa"/>
            <w:tcBorders>
              <w:right w:val="dotted" w:sz="4" w:space="0" w:color="auto"/>
            </w:tcBorders>
            <w:shd w:val="clear" w:color="auto" w:fill="auto"/>
            <w:noWrap/>
            <w:vAlign w:val="center"/>
          </w:tcPr>
          <w:p>
            <w:pPr>
              <w:spacing w:before="60" w:after="60"/>
              <w:rPr>
                <w:noProof/>
                <w:sz w:val="18"/>
                <w:szCs w:val="18"/>
              </w:rPr>
            </w:pPr>
            <w:r>
              <w:rPr>
                <w:b/>
                <w:noProof/>
                <w:sz w:val="18"/>
                <w:szCs w:val="18"/>
              </w:rPr>
              <w:t>Total forecast of AR</w:t>
            </w:r>
          </w:p>
        </w:tc>
        <w:tc>
          <w:tcPr>
            <w:tcW w:w="1440" w:type="dxa"/>
            <w:gridSpan w:val="2"/>
            <w:tcBorders>
              <w:left w:val="dotted" w:sz="4" w:space="0" w:color="auto"/>
              <w:right w:val="double" w:sz="4" w:space="0" w:color="auto"/>
            </w:tcBorders>
            <w:shd w:val="clear" w:color="auto" w:fill="auto"/>
            <w:noWrap/>
            <w:vAlign w:val="center"/>
          </w:tcPr>
          <w:p>
            <w:pPr>
              <w:spacing w:before="60" w:after="60"/>
              <w:jc w:val="right"/>
              <w:rPr>
                <w:noProof/>
                <w:sz w:val="18"/>
                <w:szCs w:val="18"/>
              </w:rPr>
            </w:pPr>
            <w:r>
              <w:rPr>
                <w:b/>
                <w:bCs/>
                <w:noProof/>
                <w:sz w:val="18"/>
                <w:szCs w:val="18"/>
              </w:rPr>
              <w:t>2 090 000 000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rPr>
                <w:noProof/>
                <w:sz w:val="18"/>
                <w:szCs w:val="18"/>
              </w:rPr>
            </w:pPr>
            <w:r>
              <w:rPr>
                <w:noProof/>
                <w:sz w:val="18"/>
                <w:szCs w:val="18"/>
              </w:rPr>
              <w:t>3. Transfer to / out of EAGF in the year</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jc w:val="right"/>
              <w:rPr>
                <w:noProof/>
                <w:sz w:val="18"/>
                <w:szCs w:val="18"/>
              </w:rPr>
            </w:pPr>
            <w:r>
              <w:rPr>
                <w:noProof/>
                <w:sz w:val="18"/>
                <w:szCs w:val="18"/>
              </w:rPr>
              <w:t>-1 006 523.53</w:t>
            </w:r>
          </w:p>
        </w:tc>
        <w:tc>
          <w:tcPr>
            <w:tcW w:w="1676" w:type="dxa"/>
            <w:tcBorders>
              <w:top w:val="single" w:sz="6" w:space="0" w:color="auto"/>
              <w:left w:val="dotted" w:sz="4" w:space="0" w:color="auto"/>
              <w:bottom w:val="single" w:sz="6" w:space="0" w:color="auto"/>
            </w:tcBorders>
            <w:shd w:val="clear" w:color="auto" w:fill="auto"/>
            <w:noWrap/>
            <w:vAlign w:val="center"/>
          </w:tcPr>
          <w:p>
            <w:pPr>
              <w:jc w:val="right"/>
              <w:rPr>
                <w:noProof/>
                <w:sz w:val="18"/>
                <w:szCs w:val="18"/>
              </w:rPr>
            </w:pPr>
            <w:r>
              <w:rPr>
                <w:noProof/>
                <w:sz w:val="18"/>
                <w:szCs w:val="18"/>
              </w:rPr>
              <w:t>-2 500 523.53</w:t>
            </w:r>
          </w:p>
        </w:tc>
        <w:tc>
          <w:tcPr>
            <w:tcW w:w="1804" w:type="dxa"/>
            <w:tcBorders>
              <w:right w:val="dotted" w:sz="4" w:space="0" w:color="auto"/>
            </w:tcBorders>
            <w:shd w:val="clear" w:color="auto" w:fill="auto"/>
            <w:vAlign w:val="center"/>
          </w:tcPr>
          <w:p>
            <w:pPr>
              <w:spacing w:before="60" w:after="60"/>
              <w:rPr>
                <w:noProof/>
                <w:sz w:val="18"/>
                <w:szCs w:val="18"/>
              </w:rPr>
            </w:pPr>
          </w:p>
        </w:tc>
        <w:tc>
          <w:tcPr>
            <w:tcW w:w="1440" w:type="dxa"/>
            <w:gridSpan w:val="2"/>
            <w:tcBorders>
              <w:left w:val="dotted" w:sz="4" w:space="0" w:color="auto"/>
              <w:right w:val="double" w:sz="4" w:space="0" w:color="auto"/>
            </w:tcBorders>
            <w:shd w:val="clear" w:color="auto" w:fill="auto"/>
            <w:noWrap/>
            <w:vAlign w:val="center"/>
          </w:tcPr>
          <w:p>
            <w:pPr>
              <w:spacing w:before="60" w:after="60"/>
              <w:jc w:val="right"/>
              <w:rPr>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rPr>
                <w:noProof/>
                <w:sz w:val="18"/>
                <w:szCs w:val="18"/>
              </w:rPr>
            </w:pPr>
            <w:r>
              <w:rPr>
                <w:noProof/>
                <w:sz w:val="18"/>
                <w:szCs w:val="18"/>
              </w:rPr>
              <w:t>4. Final appropriations for EAGF of which</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jc w:val="right"/>
              <w:rPr>
                <w:b/>
                <w:noProof/>
                <w:sz w:val="18"/>
                <w:szCs w:val="18"/>
              </w:rPr>
            </w:pPr>
            <w:r>
              <w:rPr>
                <w:b/>
                <w:noProof/>
                <w:sz w:val="18"/>
                <w:szCs w:val="18"/>
              </w:rPr>
              <w:t>42 218 079 300.47</w:t>
            </w:r>
          </w:p>
        </w:tc>
        <w:tc>
          <w:tcPr>
            <w:tcW w:w="1676" w:type="dxa"/>
            <w:tcBorders>
              <w:top w:val="single" w:sz="6" w:space="0" w:color="auto"/>
              <w:left w:val="dotted" w:sz="4" w:space="0" w:color="auto"/>
              <w:bottom w:val="single" w:sz="6" w:space="0" w:color="auto"/>
            </w:tcBorders>
            <w:shd w:val="clear" w:color="auto" w:fill="auto"/>
            <w:noWrap/>
            <w:vAlign w:val="center"/>
          </w:tcPr>
          <w:p>
            <w:pPr>
              <w:jc w:val="right"/>
              <w:rPr>
                <w:b/>
                <w:noProof/>
                <w:sz w:val="18"/>
                <w:szCs w:val="18"/>
              </w:rPr>
            </w:pPr>
            <w:r>
              <w:rPr>
                <w:b/>
                <w:noProof/>
                <w:sz w:val="18"/>
                <w:szCs w:val="18"/>
              </w:rPr>
              <w:t>42 209 545 773.47</w:t>
            </w:r>
          </w:p>
        </w:tc>
        <w:tc>
          <w:tcPr>
            <w:tcW w:w="1804" w:type="dxa"/>
            <w:tcBorders>
              <w:right w:val="dotted" w:sz="4" w:space="0" w:color="auto"/>
            </w:tcBorders>
            <w:shd w:val="clear" w:color="auto" w:fill="auto"/>
            <w:noWrap/>
            <w:vAlign w:val="center"/>
          </w:tcPr>
          <w:p>
            <w:pPr>
              <w:spacing w:before="60" w:after="60"/>
              <w:jc w:val="center"/>
              <w:rPr>
                <w:b/>
                <w:noProof/>
                <w:sz w:val="18"/>
                <w:szCs w:val="18"/>
              </w:rPr>
            </w:pPr>
          </w:p>
        </w:tc>
        <w:tc>
          <w:tcPr>
            <w:tcW w:w="1440" w:type="dxa"/>
            <w:gridSpan w:val="2"/>
            <w:tcBorders>
              <w:left w:val="dotted" w:sz="4" w:space="0" w:color="auto"/>
              <w:right w:val="double" w:sz="4" w:space="0" w:color="auto"/>
            </w:tcBorders>
            <w:shd w:val="clear" w:color="auto" w:fill="auto"/>
            <w:noWrap/>
            <w:vAlign w:val="center"/>
          </w:tcPr>
          <w:p>
            <w:pPr>
              <w:spacing w:before="60" w:after="60"/>
              <w:jc w:val="right"/>
              <w:rPr>
                <w:b/>
                <w:bCs/>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20" w:type="dxa"/>
            <w:tcBorders>
              <w:left w:val="double" w:sz="4" w:space="0" w:color="auto"/>
              <w:bottom w:val="single" w:sz="4" w:space="0" w:color="auto"/>
              <w:right w:val="dotted" w:sz="4" w:space="0" w:color="auto"/>
            </w:tcBorders>
            <w:shd w:val="clear" w:color="auto" w:fill="auto"/>
            <w:noWrap/>
          </w:tcPr>
          <w:p>
            <w:pPr>
              <w:spacing w:before="60" w:after="60"/>
              <w:rPr>
                <w:noProof/>
                <w:sz w:val="18"/>
                <w:szCs w:val="18"/>
              </w:rPr>
            </w:pPr>
            <w:r>
              <w:rPr>
                <w:noProof/>
                <w:sz w:val="18"/>
                <w:szCs w:val="18"/>
              </w:rPr>
              <w:t xml:space="preserve">4a. Appropriations under shared management </w:t>
            </w:r>
          </w:p>
        </w:tc>
        <w:tc>
          <w:tcPr>
            <w:tcW w:w="1800" w:type="dxa"/>
            <w:tcBorders>
              <w:left w:val="dotted" w:sz="4" w:space="0" w:color="auto"/>
              <w:bottom w:val="single" w:sz="4" w:space="0" w:color="auto"/>
              <w:right w:val="dotted" w:sz="4" w:space="0" w:color="auto"/>
            </w:tcBorders>
            <w:shd w:val="clear" w:color="auto" w:fill="auto"/>
            <w:noWrap/>
            <w:vAlign w:val="center"/>
          </w:tcPr>
          <w:p>
            <w:pPr>
              <w:jc w:val="right"/>
              <w:rPr>
                <w:noProof/>
                <w:sz w:val="18"/>
                <w:szCs w:val="18"/>
              </w:rPr>
            </w:pPr>
            <w:r>
              <w:rPr>
                <w:noProof/>
                <w:sz w:val="18"/>
                <w:szCs w:val="18"/>
              </w:rPr>
              <w:t>42 148 674 416.47</w:t>
            </w:r>
          </w:p>
        </w:tc>
        <w:tc>
          <w:tcPr>
            <w:tcW w:w="1676" w:type="dxa"/>
            <w:tcBorders>
              <w:left w:val="dotted" w:sz="4" w:space="0" w:color="auto"/>
              <w:bottom w:val="single" w:sz="4" w:space="0" w:color="auto"/>
            </w:tcBorders>
            <w:shd w:val="clear" w:color="auto" w:fill="auto"/>
            <w:noWrap/>
            <w:vAlign w:val="center"/>
          </w:tcPr>
          <w:p>
            <w:pPr>
              <w:jc w:val="right"/>
              <w:rPr>
                <w:noProof/>
                <w:sz w:val="18"/>
                <w:szCs w:val="18"/>
              </w:rPr>
            </w:pPr>
            <w:r>
              <w:rPr>
                <w:noProof/>
                <w:sz w:val="18"/>
                <w:szCs w:val="18"/>
              </w:rPr>
              <w:t>42 148 674 416.47</w:t>
            </w:r>
          </w:p>
        </w:tc>
        <w:tc>
          <w:tcPr>
            <w:tcW w:w="1804" w:type="dxa"/>
            <w:tcBorders>
              <w:bottom w:val="single" w:sz="4" w:space="0" w:color="auto"/>
              <w:right w:val="dotted" w:sz="4" w:space="0" w:color="auto"/>
            </w:tcBorders>
            <w:shd w:val="clear" w:color="auto" w:fill="auto"/>
            <w:noWrap/>
          </w:tcPr>
          <w:p>
            <w:pPr>
              <w:spacing w:before="60" w:after="60"/>
              <w:rPr>
                <w:noProof/>
                <w:sz w:val="18"/>
                <w:szCs w:val="18"/>
              </w:rPr>
            </w:pPr>
          </w:p>
        </w:tc>
        <w:tc>
          <w:tcPr>
            <w:tcW w:w="1440" w:type="dxa"/>
            <w:gridSpan w:val="2"/>
            <w:tcBorders>
              <w:left w:val="dotted" w:sz="4" w:space="0" w:color="auto"/>
              <w:bottom w:val="single" w:sz="4" w:space="0" w:color="auto"/>
              <w:right w:val="double" w:sz="4" w:space="0" w:color="auto"/>
            </w:tcBorders>
            <w:shd w:val="clear" w:color="auto" w:fill="auto"/>
            <w:noWrap/>
          </w:tcPr>
          <w:p>
            <w:pPr>
              <w:spacing w:before="60" w:after="60"/>
              <w:jc w:val="right"/>
              <w:rPr>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20" w:type="dxa"/>
            <w:tcBorders>
              <w:left w:val="double" w:sz="4" w:space="0" w:color="auto"/>
              <w:bottom w:val="double" w:sz="4" w:space="0" w:color="auto"/>
              <w:right w:val="dotted" w:sz="4" w:space="0" w:color="auto"/>
            </w:tcBorders>
            <w:shd w:val="clear" w:color="auto" w:fill="auto"/>
            <w:noWrap/>
          </w:tcPr>
          <w:p>
            <w:pPr>
              <w:spacing w:before="60" w:after="60"/>
              <w:rPr>
                <w:noProof/>
                <w:sz w:val="18"/>
                <w:szCs w:val="18"/>
              </w:rPr>
            </w:pPr>
            <w:r>
              <w:rPr>
                <w:noProof/>
                <w:sz w:val="18"/>
                <w:szCs w:val="18"/>
              </w:rPr>
              <w:t>4b. Appropriations under direct management</w:t>
            </w:r>
          </w:p>
        </w:tc>
        <w:tc>
          <w:tcPr>
            <w:tcW w:w="1800" w:type="dxa"/>
            <w:tcBorders>
              <w:left w:val="dotted" w:sz="4" w:space="0" w:color="auto"/>
              <w:bottom w:val="double" w:sz="4" w:space="0" w:color="auto"/>
              <w:right w:val="dotted" w:sz="4" w:space="0" w:color="auto"/>
            </w:tcBorders>
            <w:shd w:val="clear" w:color="auto" w:fill="auto"/>
            <w:noWrap/>
            <w:vAlign w:val="center"/>
          </w:tcPr>
          <w:p>
            <w:pPr>
              <w:jc w:val="right"/>
              <w:rPr>
                <w:noProof/>
                <w:sz w:val="18"/>
                <w:szCs w:val="18"/>
              </w:rPr>
            </w:pPr>
            <w:r>
              <w:rPr>
                <w:noProof/>
                <w:sz w:val="18"/>
                <w:szCs w:val="18"/>
              </w:rPr>
              <w:t>69 404 884.00</w:t>
            </w:r>
          </w:p>
        </w:tc>
        <w:tc>
          <w:tcPr>
            <w:tcW w:w="1676" w:type="dxa"/>
            <w:tcBorders>
              <w:left w:val="dotted" w:sz="4" w:space="0" w:color="auto"/>
              <w:bottom w:val="double" w:sz="4" w:space="0" w:color="auto"/>
            </w:tcBorders>
            <w:shd w:val="clear" w:color="auto" w:fill="auto"/>
            <w:noWrap/>
            <w:vAlign w:val="center"/>
          </w:tcPr>
          <w:p>
            <w:pPr>
              <w:jc w:val="right"/>
              <w:rPr>
                <w:noProof/>
                <w:sz w:val="18"/>
                <w:szCs w:val="18"/>
              </w:rPr>
            </w:pPr>
            <w:r>
              <w:rPr>
                <w:noProof/>
                <w:sz w:val="18"/>
                <w:szCs w:val="18"/>
              </w:rPr>
              <w:t>60 871 357.00</w:t>
            </w:r>
          </w:p>
        </w:tc>
        <w:tc>
          <w:tcPr>
            <w:tcW w:w="1804" w:type="dxa"/>
            <w:tcBorders>
              <w:bottom w:val="double" w:sz="4" w:space="0" w:color="auto"/>
              <w:right w:val="dotted" w:sz="4" w:space="0" w:color="auto"/>
            </w:tcBorders>
            <w:shd w:val="clear" w:color="auto" w:fill="auto"/>
            <w:noWrap/>
          </w:tcPr>
          <w:p>
            <w:pPr>
              <w:spacing w:before="60" w:after="60"/>
              <w:rPr>
                <w:noProof/>
                <w:sz w:val="18"/>
                <w:szCs w:val="18"/>
              </w:rPr>
            </w:pPr>
          </w:p>
        </w:tc>
        <w:tc>
          <w:tcPr>
            <w:tcW w:w="1440" w:type="dxa"/>
            <w:gridSpan w:val="2"/>
            <w:tcBorders>
              <w:left w:val="dotted" w:sz="4" w:space="0" w:color="auto"/>
              <w:bottom w:val="double" w:sz="4" w:space="0" w:color="auto"/>
              <w:right w:val="double" w:sz="4" w:space="0" w:color="auto"/>
            </w:tcBorders>
            <w:shd w:val="clear" w:color="auto" w:fill="auto"/>
            <w:noWrap/>
          </w:tcPr>
          <w:p>
            <w:pPr>
              <w:spacing w:before="60" w:after="60"/>
              <w:jc w:val="right"/>
              <w:rPr>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8940" w:type="dxa"/>
            <w:gridSpan w:val="6"/>
            <w:tcBorders>
              <w:top w:val="double" w:sz="4" w:space="0" w:color="auto"/>
              <w:left w:val="nil"/>
              <w:bottom w:val="nil"/>
              <w:right w:val="nil"/>
            </w:tcBorders>
            <w:shd w:val="clear" w:color="auto" w:fill="auto"/>
          </w:tcPr>
          <w:p>
            <w:pPr>
              <w:tabs>
                <w:tab w:val="left" w:pos="372"/>
              </w:tabs>
              <w:ind w:left="372" w:hanging="372"/>
              <w:jc w:val="both"/>
              <w:rPr>
                <w:noProof/>
                <w:sz w:val="18"/>
                <w:szCs w:val="18"/>
              </w:rPr>
            </w:pPr>
            <w:r>
              <w:rPr>
                <w:noProof/>
                <w:sz w:val="18"/>
                <w:szCs w:val="18"/>
              </w:rPr>
              <w:t>(1)</w:t>
            </w:r>
            <w:r>
              <w:rPr>
                <w:noProof/>
                <w:sz w:val="18"/>
                <w:szCs w:val="18"/>
              </w:rPr>
              <w:tab/>
              <w:t>Appropriations entered in the 2016 budget after deducting the expected assigned revenue to be collected in 2016 and the one carried over from 2015 to 2016 in accordance with Article 14 of Regulation (EU, EURATOM) No 966/2012.</w:t>
            </w:r>
          </w:p>
          <w:p>
            <w:pPr>
              <w:tabs>
                <w:tab w:val="left" w:pos="372"/>
              </w:tabs>
              <w:ind w:left="372" w:hanging="372"/>
              <w:jc w:val="both"/>
              <w:rPr>
                <w:noProof/>
                <w:sz w:val="18"/>
                <w:szCs w:val="18"/>
              </w:rPr>
            </w:pPr>
            <w:r>
              <w:rPr>
                <w:noProof/>
                <w:sz w:val="18"/>
                <w:szCs w:val="18"/>
              </w:rPr>
              <w:t>(2)</w:t>
            </w:r>
            <w:r>
              <w:rPr>
                <w:noProof/>
                <w:sz w:val="18"/>
                <w:szCs w:val="18"/>
              </w:rPr>
              <w:tab/>
              <w:t>AR: Assigned revenue to be collected. There are no amounts of revenue entered on the revenue line (p.m.), but the forecast amount is indicated in the budget remarks.</w:t>
            </w:r>
          </w:p>
        </w:tc>
      </w:tr>
    </w:tbl>
    <w:p>
      <w:pPr>
        <w:pStyle w:val="ManualHeading3"/>
        <w:rPr>
          <w:bCs/>
          <w:noProof/>
        </w:rPr>
      </w:pPr>
      <w:bookmarkStart w:id="22" w:name="_Toc484783896"/>
      <w:r>
        <w:t>2.1.2.</w:t>
      </w:r>
      <w:r>
        <w:tab/>
      </w:r>
      <w:r>
        <w:rPr>
          <w:noProof/>
        </w:rPr>
        <w:t>Expenditure section of the EU budget in relation to EAGF</w:t>
      </w:r>
      <w:bookmarkEnd w:id="21"/>
      <w:bookmarkEnd w:id="22"/>
    </w:p>
    <w:p>
      <w:pPr>
        <w:pStyle w:val="Text1"/>
      </w:pPr>
      <w:r>
        <w:t xml:space="preserve">The initial commitment appropriations for 2016 totalled EUR 42 220 335 824. This was a net amount after deducting the expected assigned revenue to be collected in 2016 and the one carried over from 2015 to 2016. The initial payment appropriations amounted to EUR 42 212 046 297. </w:t>
      </w:r>
    </w:p>
    <w:p>
      <w:pPr>
        <w:pStyle w:val="Text1"/>
      </w:pPr>
      <w:r>
        <w:t xml:space="preserve">In financial year 2016, there were an Amending Budget for commitment appropriations and transfers of commitment and payment appropriations out of EAGF. The commitment and payment appropriations finally available to the EAGF, after the Amending Budget and the transfers, amounted to EUR 42 218 079 300.47 and EUR 42 209 545 773.47 respectively. </w:t>
      </w:r>
    </w:p>
    <w:p>
      <w:pPr>
        <w:pStyle w:val="Text1"/>
      </w:pPr>
      <w:r>
        <w:t>Part of the appropriations coming from assigned revenue received in 2015 was not used in that financial year and it was automatically carried over to 2016. The amount of these appropriations totalled EUR 896 398 939. Also appropriations for an amount of EUR 409 803 571 were made available for the reimbursement of direct payments in relation to financial discipline following Commission Decision C(2016)857 relating to the non-automatic carryover of appropriations from the 2015 budget to the 2016 budget.</w:t>
      </w:r>
    </w:p>
    <w:p>
      <w:pPr>
        <w:pStyle w:val="ManualHeading3"/>
        <w:rPr>
          <w:bCs/>
          <w:noProof/>
        </w:rPr>
      </w:pPr>
      <w:bookmarkStart w:id="23" w:name="_Toc322938563"/>
      <w:bookmarkStart w:id="24" w:name="_Toc484783897"/>
      <w:r>
        <w:t>2.1.3.</w:t>
      </w:r>
      <w:r>
        <w:tab/>
      </w:r>
      <w:r>
        <w:rPr>
          <w:noProof/>
        </w:rPr>
        <w:t>Assigned revenue section of the EU budget in relation to EAGF</w:t>
      </w:r>
      <w:bookmarkEnd w:id="23"/>
      <w:bookmarkEnd w:id="24"/>
    </w:p>
    <w:p>
      <w:pPr>
        <w:pStyle w:val="Text1"/>
        <w:ind w:left="130" w:firstLine="720"/>
        <w:rPr>
          <w:lang w:eastAsia="en-GB"/>
        </w:rPr>
      </w:pPr>
      <w:bookmarkStart w:id="25" w:name="_Toc322938564"/>
      <w:r>
        <w:rPr>
          <w:lang w:eastAsia="en-GB"/>
        </w:rPr>
        <w:t>For more details, please see point 1.4</w:t>
      </w:r>
      <w:r>
        <w:t>.</w:t>
      </w:r>
    </w:p>
    <w:p>
      <w:pPr>
        <w:pStyle w:val="ManualHeading3"/>
        <w:rPr>
          <w:bCs/>
          <w:noProof/>
        </w:rPr>
      </w:pPr>
      <w:bookmarkStart w:id="26" w:name="_Toc484783898"/>
      <w:r>
        <w:t>2.1.4.</w:t>
      </w:r>
      <w:r>
        <w:tab/>
      </w:r>
      <w:r>
        <w:rPr>
          <w:noProof/>
        </w:rPr>
        <w:t>Budget execution of appropriations available for the 2016 financial year</w:t>
      </w:r>
      <w:bookmarkEnd w:id="25"/>
      <w:bookmarkEnd w:id="26"/>
    </w:p>
    <w:tbl>
      <w:tblPr>
        <w:tblW w:w="7920" w:type="dxa"/>
        <w:tblInd w:w="948" w:type="dxa"/>
        <w:tblLayout w:type="fixed"/>
        <w:tblLook w:val="01E0" w:firstRow="1" w:lastRow="1" w:firstColumn="1" w:lastColumn="1" w:noHBand="0" w:noVBand="0"/>
      </w:tblPr>
      <w:tblGrid>
        <w:gridCol w:w="1680"/>
        <w:gridCol w:w="840"/>
        <w:gridCol w:w="2310"/>
        <w:gridCol w:w="426"/>
        <w:gridCol w:w="1824"/>
        <w:gridCol w:w="302"/>
        <w:gridCol w:w="538"/>
      </w:tblGrid>
      <w:tr>
        <w:tc>
          <w:tcPr>
            <w:tcW w:w="1680" w:type="dxa"/>
          </w:tcPr>
          <w:p>
            <w:pPr>
              <w:keepNext/>
              <w:keepLines/>
              <w:jc w:val="right"/>
              <w:rPr>
                <w:i/>
                <w:noProof/>
                <w:sz w:val="20"/>
              </w:rPr>
            </w:pPr>
          </w:p>
        </w:tc>
        <w:tc>
          <w:tcPr>
            <w:tcW w:w="5400" w:type="dxa"/>
            <w:gridSpan w:val="4"/>
            <w:shd w:val="clear" w:color="auto" w:fill="auto"/>
          </w:tcPr>
          <w:p>
            <w:pPr>
              <w:keepNext/>
              <w:keepLines/>
              <w:jc w:val="right"/>
              <w:rPr>
                <w:i/>
                <w:noProof/>
                <w:sz w:val="20"/>
              </w:rPr>
            </w:pPr>
          </w:p>
        </w:tc>
        <w:tc>
          <w:tcPr>
            <w:tcW w:w="840" w:type="dxa"/>
            <w:gridSpan w:val="2"/>
          </w:tcPr>
          <w:p>
            <w:pPr>
              <w:keepNext/>
              <w:keepLines/>
              <w:jc w:val="right"/>
              <w:rPr>
                <w:i/>
                <w:noProof/>
                <w:sz w:val="20"/>
              </w:rPr>
            </w:pPr>
            <w:r>
              <w:rPr>
                <w:i/>
                <w:noProof/>
                <w:sz w:val="20"/>
              </w:rPr>
              <w:t>In EUR</w:t>
            </w:r>
          </w:p>
        </w:tc>
      </w:tr>
      <w:tr>
        <w:tblPrEx>
          <w:tblLook w:val="0000" w:firstRow="0" w:lastRow="0" w:firstColumn="0" w:lastColumn="0" w:noHBand="0" w:noVBand="0"/>
        </w:tblPrEx>
        <w:trPr>
          <w:trHeight w:val="525"/>
        </w:trPr>
        <w:tc>
          <w:tcPr>
            <w:tcW w:w="2520" w:type="dxa"/>
            <w:gridSpan w:val="2"/>
            <w:tcBorders>
              <w:top w:val="double" w:sz="4" w:space="0" w:color="auto"/>
              <w:left w:val="double" w:sz="4" w:space="0" w:color="auto"/>
              <w:bottom w:val="single" w:sz="4" w:space="0" w:color="auto"/>
              <w:right w:val="single" w:sz="4" w:space="0" w:color="auto"/>
            </w:tcBorders>
            <w:shd w:val="clear" w:color="auto" w:fill="99CC00"/>
            <w:noWrap/>
          </w:tcPr>
          <w:p>
            <w:pPr>
              <w:spacing w:before="240" w:after="60"/>
              <w:jc w:val="center"/>
              <w:rPr>
                <w:b/>
                <w:bCs/>
                <w:noProof/>
              </w:rPr>
            </w:pPr>
          </w:p>
        </w:tc>
        <w:tc>
          <w:tcPr>
            <w:tcW w:w="2736" w:type="dxa"/>
            <w:gridSpan w:val="2"/>
            <w:tcBorders>
              <w:top w:val="double" w:sz="4" w:space="0" w:color="auto"/>
              <w:left w:val="single" w:sz="4" w:space="0" w:color="auto"/>
              <w:bottom w:val="single" w:sz="4" w:space="0" w:color="auto"/>
              <w:right w:val="single" w:sz="4" w:space="0" w:color="auto"/>
            </w:tcBorders>
            <w:shd w:val="clear" w:color="auto" w:fill="99CC00"/>
            <w:vAlign w:val="center"/>
          </w:tcPr>
          <w:p>
            <w:pPr>
              <w:jc w:val="center"/>
              <w:rPr>
                <w:b/>
                <w:noProof/>
                <w:sz w:val="18"/>
                <w:szCs w:val="18"/>
              </w:rPr>
            </w:pPr>
            <w:r>
              <w:rPr>
                <w:b/>
                <w:noProof/>
                <w:sz w:val="18"/>
                <w:szCs w:val="18"/>
              </w:rPr>
              <w:t>Execution of commitment appropriations</w:t>
            </w:r>
          </w:p>
        </w:tc>
        <w:tc>
          <w:tcPr>
            <w:tcW w:w="2664" w:type="dxa"/>
            <w:gridSpan w:val="3"/>
            <w:tcBorders>
              <w:top w:val="double" w:sz="4" w:space="0" w:color="auto"/>
              <w:left w:val="single" w:sz="4" w:space="0" w:color="auto"/>
              <w:bottom w:val="single" w:sz="4" w:space="0" w:color="auto"/>
              <w:right w:val="double" w:sz="4" w:space="0" w:color="auto"/>
            </w:tcBorders>
            <w:shd w:val="clear" w:color="auto" w:fill="99CC00"/>
            <w:vAlign w:val="center"/>
          </w:tcPr>
          <w:p>
            <w:pPr>
              <w:jc w:val="center"/>
              <w:rPr>
                <w:b/>
                <w:noProof/>
                <w:sz w:val="18"/>
                <w:szCs w:val="18"/>
              </w:rPr>
            </w:pPr>
            <w:r>
              <w:rPr>
                <w:b/>
                <w:noProof/>
                <w:sz w:val="18"/>
                <w:szCs w:val="18"/>
              </w:rPr>
              <w:t>Execution of payment appropriations</w:t>
            </w:r>
          </w:p>
        </w:tc>
      </w:tr>
      <w:tr>
        <w:tblPrEx>
          <w:tblLook w:val="0000" w:firstRow="0" w:lastRow="0" w:firstColumn="0" w:lastColumn="0" w:noHBand="0" w:noVBand="0"/>
        </w:tblPrEx>
        <w:trPr>
          <w:trHeight w:val="540"/>
        </w:trPr>
        <w:tc>
          <w:tcPr>
            <w:tcW w:w="2520" w:type="dxa"/>
            <w:gridSpan w:val="2"/>
            <w:tcBorders>
              <w:top w:val="single" w:sz="4" w:space="0" w:color="auto"/>
              <w:left w:val="double" w:sz="6" w:space="0" w:color="auto"/>
              <w:bottom w:val="nil"/>
              <w:right w:val="nil"/>
            </w:tcBorders>
            <w:shd w:val="clear" w:color="auto" w:fill="auto"/>
          </w:tcPr>
          <w:p>
            <w:pPr>
              <w:spacing w:before="300" w:after="60"/>
              <w:rPr>
                <w:noProof/>
                <w:sz w:val="20"/>
                <w:szCs w:val="20"/>
              </w:rPr>
            </w:pPr>
            <w:r>
              <w:rPr>
                <w:noProof/>
                <w:sz w:val="20"/>
                <w:szCs w:val="20"/>
              </w:rPr>
              <w:t>Shared management (1)</w:t>
            </w:r>
          </w:p>
        </w:tc>
        <w:tc>
          <w:tcPr>
            <w:tcW w:w="2310" w:type="dxa"/>
            <w:tcBorders>
              <w:top w:val="single" w:sz="4" w:space="0" w:color="auto"/>
              <w:left w:val="single" w:sz="4" w:space="0" w:color="auto"/>
            </w:tcBorders>
            <w:shd w:val="clear" w:color="auto" w:fill="auto"/>
            <w:noWrap/>
          </w:tcPr>
          <w:p>
            <w:pPr>
              <w:tabs>
                <w:tab w:val="left" w:pos="502"/>
              </w:tabs>
              <w:spacing w:before="300" w:after="60"/>
              <w:jc w:val="right"/>
              <w:rPr>
                <w:noProof/>
                <w:sz w:val="18"/>
                <w:szCs w:val="18"/>
              </w:rPr>
            </w:pPr>
            <w:r>
              <w:rPr>
                <w:noProof/>
                <w:sz w:val="18"/>
                <w:szCs w:val="18"/>
              </w:rPr>
              <w:t>44 221 202 321.60</w:t>
            </w:r>
          </w:p>
        </w:tc>
        <w:tc>
          <w:tcPr>
            <w:tcW w:w="426" w:type="dxa"/>
            <w:tcBorders>
              <w:top w:val="single" w:sz="4" w:space="0" w:color="auto"/>
              <w:right w:val="single" w:sz="4" w:space="0" w:color="auto"/>
            </w:tcBorders>
          </w:tcPr>
          <w:p>
            <w:pPr>
              <w:spacing w:before="300" w:after="60"/>
              <w:jc w:val="right"/>
              <w:rPr>
                <w:noProof/>
                <w:color w:val="FF0000"/>
                <w:sz w:val="18"/>
                <w:szCs w:val="18"/>
              </w:rPr>
            </w:pPr>
          </w:p>
        </w:tc>
        <w:tc>
          <w:tcPr>
            <w:tcW w:w="2126" w:type="dxa"/>
            <w:gridSpan w:val="2"/>
            <w:tcBorders>
              <w:top w:val="single" w:sz="4" w:space="0" w:color="auto"/>
              <w:left w:val="single" w:sz="4" w:space="0" w:color="auto"/>
            </w:tcBorders>
            <w:shd w:val="clear" w:color="auto" w:fill="auto"/>
            <w:noWrap/>
          </w:tcPr>
          <w:p>
            <w:pPr>
              <w:spacing w:before="300" w:after="60"/>
              <w:jc w:val="right"/>
              <w:rPr>
                <w:noProof/>
                <w:sz w:val="18"/>
                <w:szCs w:val="18"/>
              </w:rPr>
            </w:pPr>
            <w:r>
              <w:rPr>
                <w:noProof/>
                <w:sz w:val="18"/>
                <w:szCs w:val="18"/>
              </w:rPr>
              <w:t>44 221 202 321.60</w:t>
            </w:r>
          </w:p>
        </w:tc>
        <w:tc>
          <w:tcPr>
            <w:tcW w:w="538" w:type="dxa"/>
            <w:tcBorders>
              <w:top w:val="single" w:sz="4" w:space="0" w:color="auto"/>
              <w:right w:val="double" w:sz="6" w:space="0" w:color="auto"/>
            </w:tcBorders>
          </w:tcPr>
          <w:p>
            <w:pPr>
              <w:spacing w:before="300" w:after="60"/>
              <w:jc w:val="right"/>
              <w:rPr>
                <w:noProof/>
                <w:color w:val="FF0000"/>
                <w:sz w:val="18"/>
                <w:szCs w:val="18"/>
              </w:rPr>
            </w:pPr>
          </w:p>
        </w:tc>
      </w:tr>
      <w:tr>
        <w:tblPrEx>
          <w:tblLook w:val="0000" w:firstRow="0" w:lastRow="0" w:firstColumn="0" w:lastColumn="0" w:noHBand="0" w:noVBand="0"/>
        </w:tblPrEx>
        <w:trPr>
          <w:trHeight w:val="495"/>
        </w:trPr>
        <w:tc>
          <w:tcPr>
            <w:tcW w:w="2520" w:type="dxa"/>
            <w:gridSpan w:val="2"/>
            <w:tcBorders>
              <w:top w:val="nil"/>
              <w:left w:val="double" w:sz="6" w:space="0" w:color="auto"/>
              <w:bottom w:val="nil"/>
              <w:right w:val="nil"/>
            </w:tcBorders>
            <w:shd w:val="clear" w:color="auto" w:fill="auto"/>
          </w:tcPr>
          <w:p>
            <w:pPr>
              <w:rPr>
                <w:noProof/>
                <w:sz w:val="20"/>
                <w:szCs w:val="20"/>
              </w:rPr>
            </w:pPr>
            <w:r>
              <w:rPr>
                <w:noProof/>
                <w:sz w:val="20"/>
                <w:szCs w:val="20"/>
              </w:rPr>
              <w:t>Expenditure under direct management</w:t>
            </w:r>
          </w:p>
        </w:tc>
        <w:tc>
          <w:tcPr>
            <w:tcW w:w="2310" w:type="dxa"/>
            <w:tcBorders>
              <w:left w:val="single" w:sz="4" w:space="0" w:color="auto"/>
            </w:tcBorders>
            <w:shd w:val="clear" w:color="auto" w:fill="auto"/>
            <w:noWrap/>
          </w:tcPr>
          <w:p>
            <w:pPr>
              <w:jc w:val="right"/>
              <w:rPr>
                <w:noProof/>
                <w:sz w:val="18"/>
                <w:szCs w:val="18"/>
              </w:rPr>
            </w:pPr>
            <w:r>
              <w:rPr>
                <w:noProof/>
                <w:sz w:val="18"/>
                <w:szCs w:val="18"/>
              </w:rPr>
              <w:t>63 907 387.76</w:t>
            </w:r>
          </w:p>
        </w:tc>
        <w:tc>
          <w:tcPr>
            <w:tcW w:w="426" w:type="dxa"/>
            <w:tcBorders>
              <w:right w:val="single" w:sz="4" w:space="0" w:color="auto"/>
            </w:tcBorders>
          </w:tcPr>
          <w:p>
            <w:pPr>
              <w:jc w:val="right"/>
              <w:rPr>
                <w:noProof/>
                <w:color w:val="FF0000"/>
                <w:sz w:val="18"/>
                <w:szCs w:val="18"/>
              </w:rPr>
            </w:pPr>
          </w:p>
        </w:tc>
        <w:tc>
          <w:tcPr>
            <w:tcW w:w="2126" w:type="dxa"/>
            <w:gridSpan w:val="2"/>
            <w:tcBorders>
              <w:left w:val="single" w:sz="4" w:space="0" w:color="auto"/>
            </w:tcBorders>
            <w:shd w:val="clear" w:color="auto" w:fill="auto"/>
            <w:noWrap/>
          </w:tcPr>
          <w:p>
            <w:pPr>
              <w:jc w:val="right"/>
              <w:rPr>
                <w:noProof/>
                <w:sz w:val="18"/>
                <w:szCs w:val="18"/>
              </w:rPr>
            </w:pPr>
            <w:r>
              <w:rPr>
                <w:noProof/>
                <w:sz w:val="18"/>
                <w:szCs w:val="18"/>
              </w:rPr>
              <w:t xml:space="preserve">48 052 725.41 </w:t>
            </w:r>
          </w:p>
        </w:tc>
        <w:tc>
          <w:tcPr>
            <w:tcW w:w="538" w:type="dxa"/>
            <w:tcBorders>
              <w:right w:val="double" w:sz="6" w:space="0" w:color="auto"/>
            </w:tcBorders>
          </w:tcPr>
          <w:p>
            <w:pPr>
              <w:jc w:val="right"/>
              <w:rPr>
                <w:noProof/>
                <w:color w:val="FF0000"/>
                <w:sz w:val="18"/>
                <w:szCs w:val="18"/>
              </w:rPr>
            </w:pPr>
          </w:p>
        </w:tc>
      </w:tr>
      <w:tr>
        <w:tblPrEx>
          <w:tblLook w:val="0000" w:firstRow="0" w:lastRow="0" w:firstColumn="0" w:lastColumn="0" w:noHBand="0" w:noVBand="0"/>
        </w:tblPrEx>
        <w:trPr>
          <w:trHeight w:val="360"/>
        </w:trPr>
        <w:tc>
          <w:tcPr>
            <w:tcW w:w="2520" w:type="dxa"/>
            <w:gridSpan w:val="2"/>
            <w:tcBorders>
              <w:top w:val="nil"/>
              <w:left w:val="double" w:sz="6" w:space="0" w:color="auto"/>
              <w:bottom w:val="double" w:sz="6" w:space="0" w:color="auto"/>
              <w:right w:val="nil"/>
            </w:tcBorders>
            <w:shd w:val="clear" w:color="auto" w:fill="auto"/>
            <w:noWrap/>
          </w:tcPr>
          <w:p>
            <w:pPr>
              <w:rPr>
                <w:i/>
                <w:noProof/>
                <w:sz w:val="20"/>
                <w:szCs w:val="20"/>
              </w:rPr>
            </w:pPr>
            <w:r>
              <w:rPr>
                <w:b/>
                <w:noProof/>
                <w:sz w:val="20"/>
                <w:szCs w:val="20"/>
              </w:rPr>
              <w:t>Total</w:t>
            </w:r>
          </w:p>
          <w:p>
            <w:pPr>
              <w:rPr>
                <w:rFonts w:ascii="Arial Narrow" w:hAnsi="Arial Narrow"/>
                <w:b/>
                <w:noProof/>
                <w:sz w:val="20"/>
                <w:szCs w:val="20"/>
              </w:rPr>
            </w:pPr>
          </w:p>
        </w:tc>
        <w:tc>
          <w:tcPr>
            <w:tcW w:w="2310" w:type="dxa"/>
            <w:tcBorders>
              <w:left w:val="single" w:sz="4" w:space="0" w:color="auto"/>
              <w:bottom w:val="double" w:sz="6" w:space="0" w:color="auto"/>
            </w:tcBorders>
            <w:shd w:val="clear" w:color="auto" w:fill="auto"/>
            <w:noWrap/>
          </w:tcPr>
          <w:p>
            <w:pPr>
              <w:tabs>
                <w:tab w:val="center" w:pos="1712"/>
              </w:tabs>
              <w:ind w:left="54" w:right="48" w:firstLine="337"/>
              <w:jc w:val="right"/>
              <w:rPr>
                <w:b/>
                <w:noProof/>
                <w:sz w:val="18"/>
                <w:szCs w:val="18"/>
              </w:rPr>
            </w:pPr>
            <w:r>
              <w:rPr>
                <w:b/>
                <w:noProof/>
                <w:sz w:val="18"/>
                <w:szCs w:val="18"/>
              </w:rPr>
              <w:t>44 285 109 709.36</w:t>
            </w:r>
          </w:p>
        </w:tc>
        <w:tc>
          <w:tcPr>
            <w:tcW w:w="426" w:type="dxa"/>
            <w:tcBorders>
              <w:bottom w:val="double" w:sz="6" w:space="0" w:color="auto"/>
              <w:right w:val="single" w:sz="4" w:space="0" w:color="auto"/>
            </w:tcBorders>
          </w:tcPr>
          <w:p>
            <w:pPr>
              <w:jc w:val="right"/>
              <w:rPr>
                <w:b/>
                <w:noProof/>
                <w:sz w:val="18"/>
                <w:szCs w:val="18"/>
              </w:rPr>
            </w:pPr>
          </w:p>
        </w:tc>
        <w:tc>
          <w:tcPr>
            <w:tcW w:w="2126" w:type="dxa"/>
            <w:gridSpan w:val="2"/>
            <w:tcBorders>
              <w:left w:val="single" w:sz="4" w:space="0" w:color="auto"/>
              <w:bottom w:val="double" w:sz="6" w:space="0" w:color="auto"/>
            </w:tcBorders>
            <w:shd w:val="clear" w:color="auto" w:fill="auto"/>
            <w:noWrap/>
          </w:tcPr>
          <w:p>
            <w:pPr>
              <w:jc w:val="right"/>
              <w:rPr>
                <w:b/>
                <w:noProof/>
                <w:sz w:val="18"/>
                <w:szCs w:val="18"/>
              </w:rPr>
            </w:pPr>
            <w:r>
              <w:rPr>
                <w:b/>
                <w:noProof/>
                <w:sz w:val="18"/>
                <w:szCs w:val="18"/>
              </w:rPr>
              <w:t xml:space="preserve">44 269 255 047.01 </w:t>
            </w:r>
          </w:p>
        </w:tc>
        <w:tc>
          <w:tcPr>
            <w:tcW w:w="538" w:type="dxa"/>
            <w:tcBorders>
              <w:bottom w:val="double" w:sz="6" w:space="0" w:color="auto"/>
              <w:right w:val="double" w:sz="6" w:space="0" w:color="auto"/>
            </w:tcBorders>
          </w:tcPr>
          <w:p>
            <w:pPr>
              <w:jc w:val="right"/>
              <w:rPr>
                <w:b/>
                <w:noProof/>
                <w:color w:val="FF0000"/>
                <w:sz w:val="18"/>
                <w:szCs w:val="18"/>
              </w:rPr>
            </w:pPr>
          </w:p>
        </w:tc>
      </w:tr>
    </w:tbl>
    <w:p>
      <w:pPr>
        <w:ind w:left="720" w:hanging="11"/>
        <w:jc w:val="both"/>
        <w:rPr>
          <w:noProof/>
          <w:sz w:val="18"/>
          <w:szCs w:val="18"/>
        </w:rPr>
      </w:pPr>
      <w:r>
        <w:rPr>
          <w:noProof/>
          <w:sz w:val="18"/>
          <w:szCs w:val="18"/>
        </w:rPr>
        <w:t xml:space="preserve"> (1) Committed amounts. Commitments and payments less assigned revenue of EUR 2 527 141 771.95 (see point 4 and annex 6) received for shared management: EUR 41 694 060 549.65.</w:t>
      </w:r>
    </w:p>
    <w:p>
      <w:pPr>
        <w:pStyle w:val="Text1"/>
      </w:pPr>
      <w:r>
        <w:t xml:space="preserve">For the financial year 2016, the actual amount of commitment appropriations used amounted to EUR 44 285 109 709.36 while that for payment appropriations amounted to EUR 44 269 255 047.01. </w:t>
      </w:r>
    </w:p>
    <w:p>
      <w:pPr>
        <w:pStyle w:val="Text1"/>
      </w:pPr>
      <w:r>
        <w:t>The amount paid out (EUR 44 084 495 379.84) was less due to suspended amounts for France and Poland (see 2.2.1.3).</w:t>
      </w:r>
    </w:p>
    <w:p>
      <w:pPr>
        <w:pStyle w:val="ManualHeading3"/>
        <w:rPr>
          <w:bCs/>
          <w:noProof/>
        </w:rPr>
      </w:pPr>
      <w:bookmarkStart w:id="27" w:name="_Toc322938565"/>
      <w:bookmarkStart w:id="28" w:name="_Toc484783899"/>
      <w:r>
        <w:t>2.1.5.</w:t>
      </w:r>
      <w:r>
        <w:tab/>
      </w:r>
      <w:r>
        <w:rPr>
          <w:noProof/>
        </w:rPr>
        <w:t>Assigned revenue received under shared management</w:t>
      </w:r>
      <w:bookmarkEnd w:id="27"/>
      <w:bookmarkEnd w:id="28"/>
    </w:p>
    <w:tbl>
      <w:tblPr>
        <w:tblW w:w="7680" w:type="dxa"/>
        <w:tblInd w:w="948" w:type="dxa"/>
        <w:tblLayout w:type="fixed"/>
        <w:tblLook w:val="01E0" w:firstRow="1" w:lastRow="1" w:firstColumn="1" w:lastColumn="1" w:noHBand="0" w:noVBand="0"/>
      </w:tblPr>
      <w:tblGrid>
        <w:gridCol w:w="480"/>
        <w:gridCol w:w="2880"/>
        <w:gridCol w:w="4259"/>
        <w:gridCol w:w="61"/>
      </w:tblGrid>
      <w:tr>
        <w:trPr>
          <w:gridAfter w:val="1"/>
          <w:wAfter w:w="61" w:type="dxa"/>
          <w:trHeight w:val="288"/>
        </w:trPr>
        <w:tc>
          <w:tcPr>
            <w:tcW w:w="7619" w:type="dxa"/>
            <w:gridSpan w:val="3"/>
            <w:shd w:val="clear" w:color="auto" w:fill="auto"/>
          </w:tcPr>
          <w:p>
            <w:pPr>
              <w:keepNext/>
              <w:keepLines/>
              <w:jc w:val="right"/>
              <w:rPr>
                <w:i/>
                <w:noProof/>
                <w:sz w:val="20"/>
                <w:szCs w:val="20"/>
              </w:rPr>
            </w:pPr>
            <w:r>
              <w:rPr>
                <w:i/>
                <w:noProof/>
                <w:sz w:val="20"/>
                <w:szCs w:val="20"/>
              </w:rPr>
              <w:t>In EUR</w:t>
            </w:r>
          </w:p>
        </w:tc>
      </w:tr>
      <w:tr>
        <w:tblPrEx>
          <w:tblLook w:val="0000" w:firstRow="0" w:lastRow="0" w:firstColumn="0" w:lastColumn="0" w:noHBand="0" w:noVBand="0"/>
        </w:tblPrEx>
        <w:trPr>
          <w:gridBefore w:val="1"/>
          <w:wBefore w:w="480" w:type="dxa"/>
          <w:trHeight w:val="450"/>
        </w:trPr>
        <w:tc>
          <w:tcPr>
            <w:tcW w:w="7200" w:type="dxa"/>
            <w:gridSpan w:val="3"/>
            <w:tcBorders>
              <w:top w:val="double" w:sz="4" w:space="0" w:color="auto"/>
              <w:left w:val="double" w:sz="4" w:space="0" w:color="auto"/>
              <w:bottom w:val="single" w:sz="4" w:space="0" w:color="auto"/>
              <w:right w:val="double" w:sz="4" w:space="0" w:color="auto"/>
            </w:tcBorders>
            <w:shd w:val="clear" w:color="auto" w:fill="99CC00"/>
            <w:noWrap/>
            <w:vAlign w:val="center"/>
          </w:tcPr>
          <w:p>
            <w:pPr>
              <w:jc w:val="center"/>
              <w:rPr>
                <w:noProof/>
              </w:rPr>
            </w:pPr>
            <w:r>
              <w:rPr>
                <w:b/>
                <w:bCs/>
                <w:noProof/>
              </w:rPr>
              <w:t xml:space="preserve">Assigned revenue </w:t>
            </w:r>
          </w:p>
        </w:tc>
      </w:tr>
      <w:tr>
        <w:tblPrEx>
          <w:tblLook w:val="0000" w:firstRow="0" w:lastRow="0" w:firstColumn="0" w:lastColumn="0" w:noHBand="0" w:noVBand="0"/>
        </w:tblPrEx>
        <w:trPr>
          <w:gridBefore w:val="1"/>
          <w:wBefore w:w="480" w:type="dxa"/>
          <w:trHeight w:val="448"/>
        </w:trPr>
        <w:tc>
          <w:tcPr>
            <w:tcW w:w="2880" w:type="dxa"/>
            <w:tcBorders>
              <w:top w:val="single" w:sz="4" w:space="0" w:color="auto"/>
              <w:left w:val="double" w:sz="6" w:space="0" w:color="auto"/>
              <w:bottom w:val="nil"/>
              <w:right w:val="single" w:sz="4" w:space="0" w:color="auto"/>
            </w:tcBorders>
            <w:shd w:val="clear" w:color="auto" w:fill="auto"/>
            <w:vAlign w:val="bottom"/>
          </w:tcPr>
          <w:p>
            <w:pPr>
              <w:spacing w:before="240"/>
              <w:rPr>
                <w:noProof/>
                <w:sz w:val="20"/>
                <w:szCs w:val="20"/>
              </w:rPr>
            </w:pPr>
            <w:r>
              <w:rPr>
                <w:noProof/>
                <w:sz w:val="20"/>
                <w:szCs w:val="20"/>
              </w:rPr>
              <w:t>Forecasted revenue</w:t>
            </w:r>
          </w:p>
        </w:tc>
        <w:tc>
          <w:tcPr>
            <w:tcW w:w="4320" w:type="dxa"/>
            <w:gridSpan w:val="2"/>
            <w:tcBorders>
              <w:top w:val="single" w:sz="4" w:space="0" w:color="auto"/>
              <w:left w:val="single" w:sz="4" w:space="0" w:color="auto"/>
              <w:bottom w:val="nil"/>
              <w:right w:val="double" w:sz="6" w:space="0" w:color="auto"/>
            </w:tcBorders>
            <w:shd w:val="clear" w:color="auto" w:fill="auto"/>
            <w:noWrap/>
            <w:vAlign w:val="bottom"/>
          </w:tcPr>
          <w:p>
            <w:pPr>
              <w:spacing w:before="240"/>
              <w:jc w:val="right"/>
              <w:rPr>
                <w:noProof/>
                <w:sz w:val="20"/>
                <w:szCs w:val="20"/>
              </w:rPr>
            </w:pPr>
            <w:r>
              <w:rPr>
                <w:noProof/>
                <w:sz w:val="20"/>
                <w:szCs w:val="20"/>
              </w:rPr>
              <w:t>2 090 000 000.00</w:t>
            </w:r>
          </w:p>
        </w:tc>
      </w:tr>
      <w:tr>
        <w:tblPrEx>
          <w:tblLook w:val="0000" w:firstRow="0" w:lastRow="0" w:firstColumn="0" w:lastColumn="0" w:noHBand="0" w:noVBand="0"/>
        </w:tblPrEx>
        <w:trPr>
          <w:gridBefore w:val="1"/>
          <w:wBefore w:w="480" w:type="dxa"/>
          <w:trHeight w:val="255"/>
        </w:trPr>
        <w:tc>
          <w:tcPr>
            <w:tcW w:w="2880" w:type="dxa"/>
            <w:tcBorders>
              <w:top w:val="nil"/>
              <w:left w:val="double" w:sz="6" w:space="0" w:color="auto"/>
              <w:bottom w:val="nil"/>
              <w:right w:val="single" w:sz="4" w:space="0" w:color="auto"/>
            </w:tcBorders>
            <w:shd w:val="clear" w:color="auto" w:fill="auto"/>
            <w:noWrap/>
            <w:vAlign w:val="bottom"/>
          </w:tcPr>
          <w:p>
            <w:pPr>
              <w:spacing w:before="60" w:afterLines="60" w:after="144"/>
              <w:rPr>
                <w:noProof/>
                <w:sz w:val="20"/>
                <w:szCs w:val="20"/>
              </w:rPr>
            </w:pPr>
            <w:r>
              <w:rPr>
                <w:noProof/>
                <w:sz w:val="20"/>
                <w:szCs w:val="20"/>
              </w:rPr>
              <w:t>Revenue received</w:t>
            </w:r>
          </w:p>
        </w:tc>
        <w:tc>
          <w:tcPr>
            <w:tcW w:w="4320" w:type="dxa"/>
            <w:gridSpan w:val="2"/>
            <w:tcBorders>
              <w:top w:val="nil"/>
              <w:left w:val="single" w:sz="4" w:space="0" w:color="auto"/>
              <w:bottom w:val="nil"/>
              <w:right w:val="double" w:sz="6" w:space="0" w:color="auto"/>
            </w:tcBorders>
            <w:shd w:val="clear" w:color="auto" w:fill="auto"/>
            <w:noWrap/>
            <w:vAlign w:val="bottom"/>
          </w:tcPr>
          <w:p>
            <w:pPr>
              <w:spacing w:before="60" w:afterLines="60" w:after="144"/>
              <w:jc w:val="right"/>
              <w:rPr>
                <w:noProof/>
                <w:sz w:val="20"/>
                <w:szCs w:val="20"/>
              </w:rPr>
            </w:pPr>
            <w:r>
              <w:rPr>
                <w:noProof/>
                <w:sz w:val="20"/>
                <w:szCs w:val="20"/>
              </w:rPr>
              <w:t>2 527 141 771.95</w:t>
            </w:r>
          </w:p>
        </w:tc>
      </w:tr>
      <w:tr>
        <w:tblPrEx>
          <w:tblLook w:val="0000" w:firstRow="0" w:lastRow="0" w:firstColumn="0" w:lastColumn="0" w:noHBand="0" w:noVBand="0"/>
        </w:tblPrEx>
        <w:trPr>
          <w:gridBefore w:val="1"/>
          <w:wBefore w:w="480" w:type="dxa"/>
          <w:trHeight w:val="255"/>
        </w:trPr>
        <w:tc>
          <w:tcPr>
            <w:tcW w:w="2880" w:type="dxa"/>
            <w:tcBorders>
              <w:top w:val="nil"/>
              <w:left w:val="double" w:sz="6" w:space="0" w:color="auto"/>
              <w:bottom w:val="double" w:sz="6" w:space="0" w:color="auto"/>
              <w:right w:val="single" w:sz="4" w:space="0" w:color="auto"/>
            </w:tcBorders>
            <w:shd w:val="clear" w:color="auto" w:fill="auto"/>
            <w:noWrap/>
            <w:vAlign w:val="bottom"/>
          </w:tcPr>
          <w:p>
            <w:pPr>
              <w:spacing w:before="60" w:afterLines="60" w:after="144"/>
              <w:rPr>
                <w:b/>
                <w:bCs/>
                <w:noProof/>
                <w:sz w:val="20"/>
                <w:szCs w:val="20"/>
              </w:rPr>
            </w:pPr>
            <w:r>
              <w:rPr>
                <w:b/>
                <w:bCs/>
                <w:noProof/>
                <w:sz w:val="20"/>
                <w:szCs w:val="20"/>
              </w:rPr>
              <w:t>Difference</w:t>
            </w:r>
          </w:p>
        </w:tc>
        <w:tc>
          <w:tcPr>
            <w:tcW w:w="4320" w:type="dxa"/>
            <w:gridSpan w:val="2"/>
            <w:tcBorders>
              <w:top w:val="nil"/>
              <w:left w:val="single" w:sz="4" w:space="0" w:color="auto"/>
              <w:bottom w:val="double" w:sz="6" w:space="0" w:color="auto"/>
              <w:right w:val="double" w:sz="6" w:space="0" w:color="auto"/>
            </w:tcBorders>
            <w:shd w:val="clear" w:color="auto" w:fill="auto"/>
            <w:noWrap/>
            <w:vAlign w:val="bottom"/>
          </w:tcPr>
          <w:p>
            <w:pPr>
              <w:spacing w:before="60" w:afterLines="60" w:after="144"/>
              <w:jc w:val="right"/>
              <w:rPr>
                <w:noProof/>
                <w:sz w:val="20"/>
                <w:szCs w:val="20"/>
              </w:rPr>
            </w:pPr>
            <w:r>
              <w:rPr>
                <w:noProof/>
                <w:sz w:val="20"/>
                <w:szCs w:val="20"/>
              </w:rPr>
              <w:t>437 141 771.95</w:t>
            </w:r>
          </w:p>
        </w:tc>
      </w:tr>
    </w:tbl>
    <w:p>
      <w:pPr>
        <w:pStyle w:val="Text1"/>
      </w:pPr>
      <w:r>
        <w:rPr>
          <w:bCs/>
          <w:iCs/>
          <w:lang w:eastAsia="en-GB"/>
        </w:rPr>
        <w:t>For details, please see points 1.4 and 4.</w:t>
      </w:r>
      <w:r>
        <w:t xml:space="preserve"> </w:t>
      </w:r>
    </w:p>
    <w:p>
      <w:pPr>
        <w:pStyle w:val="ManualHeading3"/>
        <w:rPr>
          <w:noProof/>
        </w:rPr>
      </w:pPr>
      <w:bookmarkStart w:id="29" w:name="_Toc484783900"/>
      <w:r>
        <w:t>2.1.6.</w:t>
      </w:r>
      <w:r>
        <w:tab/>
      </w:r>
      <w:r>
        <w:rPr>
          <w:noProof/>
        </w:rPr>
        <w:t>Budget execution</w:t>
      </w:r>
      <w:bookmarkEnd w:id="29"/>
      <w:r>
        <w:rPr>
          <w:noProof/>
        </w:rPr>
        <w:t xml:space="preserve"> </w:t>
      </w:r>
    </w:p>
    <w:tbl>
      <w:tblPr>
        <w:tblW w:w="8280" w:type="dxa"/>
        <w:tblInd w:w="948" w:type="dxa"/>
        <w:tblLayout w:type="fixed"/>
        <w:tblLook w:val="01E0" w:firstRow="1" w:lastRow="1" w:firstColumn="1" w:lastColumn="1" w:noHBand="0" w:noVBand="0"/>
      </w:tblPr>
      <w:tblGrid>
        <w:gridCol w:w="1440"/>
        <w:gridCol w:w="240"/>
        <w:gridCol w:w="1800"/>
        <w:gridCol w:w="1560"/>
        <w:gridCol w:w="1680"/>
        <w:gridCol w:w="1560"/>
      </w:tblGrid>
      <w:tr>
        <w:tc>
          <w:tcPr>
            <w:tcW w:w="1440" w:type="dxa"/>
          </w:tcPr>
          <w:p>
            <w:pPr>
              <w:keepNext/>
              <w:keepLines/>
              <w:jc w:val="right"/>
              <w:rPr>
                <w:i/>
                <w:noProof/>
                <w:sz w:val="20"/>
              </w:rPr>
            </w:pPr>
            <w:bookmarkStart w:id="30" w:name="_Toc322938567"/>
          </w:p>
        </w:tc>
        <w:tc>
          <w:tcPr>
            <w:tcW w:w="6840" w:type="dxa"/>
            <w:gridSpan w:val="5"/>
            <w:shd w:val="clear" w:color="auto" w:fill="auto"/>
          </w:tcPr>
          <w:p>
            <w:pPr>
              <w:keepNext/>
              <w:keepLines/>
              <w:jc w:val="right"/>
              <w:rPr>
                <w:i/>
                <w:noProof/>
                <w:sz w:val="20"/>
              </w:rPr>
            </w:pPr>
            <w:r>
              <w:rPr>
                <w:i/>
                <w:noProof/>
                <w:sz w:val="20"/>
              </w:rPr>
              <w:t>In EUR</w:t>
            </w:r>
          </w:p>
        </w:tc>
      </w:tr>
      <w:tr>
        <w:tblPrEx>
          <w:tblLook w:val="0000" w:firstRow="0" w:lastRow="0" w:firstColumn="0" w:lastColumn="0" w:noHBand="0" w:noVBand="0"/>
        </w:tblPrEx>
        <w:trPr>
          <w:trHeight w:val="270"/>
        </w:trPr>
        <w:tc>
          <w:tcPr>
            <w:tcW w:w="8280" w:type="dxa"/>
            <w:gridSpan w:val="6"/>
            <w:tcBorders>
              <w:top w:val="double" w:sz="6" w:space="0" w:color="auto"/>
              <w:left w:val="double" w:sz="6" w:space="0" w:color="auto"/>
              <w:bottom w:val="single" w:sz="4" w:space="0" w:color="auto"/>
              <w:right w:val="double" w:sz="6" w:space="0" w:color="auto"/>
            </w:tcBorders>
            <w:shd w:val="clear" w:color="auto" w:fill="99CC00"/>
          </w:tcPr>
          <w:p>
            <w:pPr>
              <w:jc w:val="center"/>
              <w:rPr>
                <w:noProof/>
              </w:rPr>
            </w:pPr>
            <w:r>
              <w:rPr>
                <w:bCs/>
                <w:i/>
                <w:iCs/>
                <w:noProof/>
              </w:rPr>
              <w:br w:type="page"/>
            </w:r>
            <w:r>
              <w:rPr>
                <w:b/>
                <w:noProof/>
              </w:rPr>
              <w:t xml:space="preserve">Expenditure under shared management </w:t>
            </w:r>
            <w:r>
              <w:rPr>
                <w:noProof/>
              </w:rPr>
              <w:t>(1)</w:t>
            </w:r>
          </w:p>
        </w:tc>
      </w:tr>
      <w:tr>
        <w:tblPrEx>
          <w:tblLook w:val="0000" w:firstRow="0" w:lastRow="0" w:firstColumn="0" w:lastColumn="0" w:noHBand="0" w:noVBand="0"/>
        </w:tblPrEx>
        <w:trPr>
          <w:trHeight w:val="675"/>
        </w:trPr>
        <w:tc>
          <w:tcPr>
            <w:tcW w:w="1680" w:type="dxa"/>
            <w:gridSpan w:val="2"/>
            <w:tcBorders>
              <w:top w:val="single" w:sz="4" w:space="0" w:color="auto"/>
              <w:left w:val="double" w:sz="6" w:space="0" w:color="auto"/>
              <w:bottom w:val="single" w:sz="4" w:space="0" w:color="auto"/>
              <w:right w:val="dotted" w:sz="4" w:space="0" w:color="auto"/>
            </w:tcBorders>
            <w:shd w:val="clear" w:color="auto" w:fill="auto"/>
            <w:noWrap/>
          </w:tcPr>
          <w:p>
            <w:pPr>
              <w:spacing w:before="360"/>
              <w:rPr>
                <w:b/>
                <w:noProof/>
                <w:sz w:val="20"/>
                <w:szCs w:val="20"/>
              </w:rPr>
            </w:pPr>
          </w:p>
        </w:tc>
        <w:tc>
          <w:tcPr>
            <w:tcW w:w="1800" w:type="dxa"/>
            <w:tcBorders>
              <w:top w:val="single" w:sz="4" w:space="0" w:color="auto"/>
              <w:left w:val="dotted" w:sz="4" w:space="0" w:color="auto"/>
              <w:bottom w:val="single" w:sz="4" w:space="0" w:color="auto"/>
              <w:right w:val="dotted" w:sz="4" w:space="0" w:color="auto"/>
            </w:tcBorders>
            <w:shd w:val="clear" w:color="auto" w:fill="auto"/>
          </w:tcPr>
          <w:p>
            <w:pPr>
              <w:spacing w:before="240"/>
              <w:jc w:val="center"/>
              <w:rPr>
                <w:b/>
                <w:bCs/>
                <w:noProof/>
                <w:sz w:val="20"/>
                <w:szCs w:val="20"/>
              </w:rPr>
            </w:pPr>
            <w:r>
              <w:rPr>
                <w:b/>
                <w:bCs/>
                <w:noProof/>
                <w:sz w:val="20"/>
                <w:szCs w:val="20"/>
              </w:rPr>
              <w:t>Final appropriations (C1)</w:t>
            </w:r>
          </w:p>
        </w:tc>
        <w:tc>
          <w:tcPr>
            <w:tcW w:w="1560" w:type="dxa"/>
            <w:tcBorders>
              <w:top w:val="single" w:sz="4" w:space="0" w:color="auto"/>
              <w:left w:val="dotted" w:sz="4" w:space="0" w:color="auto"/>
              <w:bottom w:val="single" w:sz="4" w:space="0" w:color="auto"/>
              <w:right w:val="dotted" w:sz="4" w:space="0" w:color="auto"/>
            </w:tcBorders>
          </w:tcPr>
          <w:p>
            <w:pPr>
              <w:spacing w:before="240"/>
              <w:jc w:val="center"/>
              <w:rPr>
                <w:b/>
                <w:bCs/>
                <w:noProof/>
                <w:sz w:val="20"/>
                <w:szCs w:val="20"/>
              </w:rPr>
            </w:pPr>
            <w:r>
              <w:rPr>
                <w:b/>
                <w:bCs/>
                <w:noProof/>
                <w:sz w:val="20"/>
                <w:szCs w:val="20"/>
              </w:rPr>
              <w:t>Non automatic carry over of 2015 C1 appropriations (C2)</w:t>
            </w:r>
          </w:p>
        </w:tc>
        <w:tc>
          <w:tcPr>
            <w:tcW w:w="1680" w:type="dxa"/>
            <w:tcBorders>
              <w:top w:val="single" w:sz="4" w:space="0" w:color="auto"/>
              <w:left w:val="dotted" w:sz="4" w:space="0" w:color="auto"/>
              <w:bottom w:val="single" w:sz="4" w:space="0" w:color="auto"/>
              <w:right w:val="dotted" w:sz="4" w:space="0" w:color="auto"/>
            </w:tcBorders>
            <w:shd w:val="clear" w:color="auto" w:fill="auto"/>
          </w:tcPr>
          <w:p>
            <w:pPr>
              <w:spacing w:before="240"/>
              <w:jc w:val="center"/>
              <w:rPr>
                <w:b/>
                <w:bCs/>
                <w:noProof/>
                <w:sz w:val="20"/>
                <w:szCs w:val="20"/>
              </w:rPr>
            </w:pPr>
            <w:r>
              <w:rPr>
                <w:b/>
                <w:bCs/>
                <w:noProof/>
                <w:sz w:val="20"/>
                <w:szCs w:val="20"/>
              </w:rPr>
              <w:t xml:space="preserve">Assigned revenue appropriations (C4) </w:t>
            </w:r>
          </w:p>
        </w:tc>
        <w:tc>
          <w:tcPr>
            <w:tcW w:w="1560" w:type="dxa"/>
            <w:tcBorders>
              <w:top w:val="single" w:sz="4" w:space="0" w:color="auto"/>
              <w:left w:val="dotted" w:sz="4" w:space="0" w:color="auto"/>
              <w:bottom w:val="single" w:sz="4" w:space="0" w:color="auto"/>
              <w:right w:val="double" w:sz="6" w:space="0" w:color="auto"/>
            </w:tcBorders>
            <w:shd w:val="clear" w:color="auto" w:fill="auto"/>
          </w:tcPr>
          <w:p>
            <w:pPr>
              <w:spacing w:before="240"/>
              <w:jc w:val="center"/>
              <w:rPr>
                <w:b/>
                <w:bCs/>
                <w:noProof/>
                <w:sz w:val="20"/>
                <w:szCs w:val="20"/>
              </w:rPr>
            </w:pPr>
            <w:r>
              <w:rPr>
                <w:b/>
                <w:bCs/>
                <w:noProof/>
                <w:sz w:val="20"/>
                <w:szCs w:val="20"/>
              </w:rPr>
              <w:t xml:space="preserve">Carry over of assigned revenue appropriations (C5) from 2015 </w:t>
            </w:r>
          </w:p>
        </w:tc>
      </w:tr>
      <w:tr>
        <w:tblPrEx>
          <w:tblLook w:val="0000" w:firstRow="0" w:lastRow="0" w:firstColumn="0" w:lastColumn="0" w:noHBand="0" w:noVBand="0"/>
        </w:tblPrEx>
        <w:trPr>
          <w:trHeight w:val="255"/>
        </w:trPr>
        <w:tc>
          <w:tcPr>
            <w:tcW w:w="1680" w:type="dxa"/>
            <w:gridSpan w:val="2"/>
            <w:tcBorders>
              <w:top w:val="single" w:sz="4" w:space="0" w:color="auto"/>
              <w:left w:val="double" w:sz="6" w:space="0" w:color="auto"/>
              <w:bottom w:val="nil"/>
              <w:right w:val="dotted" w:sz="4" w:space="0" w:color="auto"/>
            </w:tcBorders>
            <w:shd w:val="clear" w:color="auto" w:fill="auto"/>
            <w:noWrap/>
            <w:vAlign w:val="center"/>
          </w:tcPr>
          <w:p>
            <w:pPr>
              <w:rPr>
                <w:noProof/>
              </w:rPr>
            </w:pPr>
            <w:r>
              <w:rPr>
                <w:noProof/>
              </w:rPr>
              <w:t>Appropriations</w:t>
            </w:r>
          </w:p>
        </w:tc>
        <w:tc>
          <w:tcPr>
            <w:tcW w:w="1800" w:type="dxa"/>
            <w:tcBorders>
              <w:top w:val="single" w:sz="4" w:space="0" w:color="auto"/>
              <w:left w:val="dotted" w:sz="4" w:space="0" w:color="auto"/>
              <w:bottom w:val="nil"/>
              <w:right w:val="dotted" w:sz="4" w:space="0" w:color="auto"/>
            </w:tcBorders>
            <w:shd w:val="clear" w:color="auto" w:fill="auto"/>
            <w:noWrap/>
            <w:vAlign w:val="center"/>
          </w:tcPr>
          <w:p>
            <w:pPr>
              <w:jc w:val="right"/>
              <w:rPr>
                <w:noProof/>
                <w:sz w:val="20"/>
                <w:szCs w:val="20"/>
              </w:rPr>
            </w:pPr>
            <w:r>
              <w:rPr>
                <w:noProof/>
                <w:sz w:val="20"/>
                <w:szCs w:val="20"/>
              </w:rPr>
              <w:t>42 148 674 416.47</w:t>
            </w:r>
          </w:p>
        </w:tc>
        <w:tc>
          <w:tcPr>
            <w:tcW w:w="1560" w:type="dxa"/>
            <w:tcBorders>
              <w:top w:val="single" w:sz="4" w:space="0" w:color="auto"/>
              <w:left w:val="dotted" w:sz="4" w:space="0" w:color="auto"/>
              <w:bottom w:val="nil"/>
              <w:right w:val="dotted" w:sz="4" w:space="0" w:color="auto"/>
            </w:tcBorders>
            <w:vAlign w:val="center"/>
          </w:tcPr>
          <w:p>
            <w:pPr>
              <w:jc w:val="right"/>
              <w:rPr>
                <w:noProof/>
                <w:sz w:val="20"/>
                <w:szCs w:val="20"/>
              </w:rPr>
            </w:pPr>
            <w:r>
              <w:rPr>
                <w:noProof/>
                <w:sz w:val="20"/>
                <w:szCs w:val="20"/>
              </w:rPr>
              <w:t>409 803 571.00</w:t>
            </w:r>
          </w:p>
        </w:tc>
        <w:tc>
          <w:tcPr>
            <w:tcW w:w="1680" w:type="dxa"/>
            <w:tcBorders>
              <w:top w:val="single" w:sz="4" w:space="0" w:color="auto"/>
              <w:left w:val="dotted" w:sz="4" w:space="0" w:color="auto"/>
              <w:bottom w:val="nil"/>
              <w:right w:val="dotted" w:sz="4" w:space="0" w:color="auto"/>
            </w:tcBorders>
            <w:shd w:val="clear" w:color="auto" w:fill="auto"/>
            <w:noWrap/>
            <w:vAlign w:val="center"/>
          </w:tcPr>
          <w:p>
            <w:pPr>
              <w:jc w:val="right"/>
              <w:rPr>
                <w:noProof/>
                <w:sz w:val="20"/>
                <w:szCs w:val="20"/>
              </w:rPr>
            </w:pPr>
            <w:r>
              <w:rPr>
                <w:noProof/>
                <w:sz w:val="20"/>
                <w:szCs w:val="20"/>
              </w:rPr>
              <w:t>2 527 141 771.95</w:t>
            </w:r>
          </w:p>
        </w:tc>
        <w:tc>
          <w:tcPr>
            <w:tcW w:w="1560" w:type="dxa"/>
            <w:tcBorders>
              <w:top w:val="single" w:sz="4" w:space="0" w:color="auto"/>
              <w:left w:val="dotted" w:sz="4" w:space="0" w:color="auto"/>
              <w:bottom w:val="nil"/>
              <w:right w:val="double" w:sz="6" w:space="0" w:color="auto"/>
            </w:tcBorders>
            <w:shd w:val="clear" w:color="auto" w:fill="auto"/>
            <w:noWrap/>
            <w:vAlign w:val="center"/>
          </w:tcPr>
          <w:p>
            <w:pPr>
              <w:jc w:val="right"/>
              <w:rPr>
                <w:noProof/>
                <w:sz w:val="20"/>
                <w:szCs w:val="20"/>
              </w:rPr>
            </w:pPr>
            <w:r>
              <w:rPr>
                <w:noProof/>
                <w:sz w:val="20"/>
                <w:szCs w:val="20"/>
              </w:rPr>
              <w:t>896 398 938.64</w:t>
            </w:r>
          </w:p>
        </w:tc>
      </w:tr>
      <w:tr>
        <w:tblPrEx>
          <w:tblLook w:val="0000" w:firstRow="0" w:lastRow="0" w:firstColumn="0" w:lastColumn="0" w:noHBand="0" w:noVBand="0"/>
        </w:tblPrEx>
        <w:trPr>
          <w:trHeight w:val="255"/>
        </w:trPr>
        <w:tc>
          <w:tcPr>
            <w:tcW w:w="1680" w:type="dxa"/>
            <w:gridSpan w:val="2"/>
            <w:tcBorders>
              <w:top w:val="nil"/>
              <w:left w:val="double" w:sz="6" w:space="0" w:color="auto"/>
              <w:bottom w:val="nil"/>
              <w:right w:val="dotted" w:sz="4" w:space="0" w:color="auto"/>
            </w:tcBorders>
            <w:shd w:val="clear" w:color="auto" w:fill="auto"/>
            <w:noWrap/>
            <w:vAlign w:val="center"/>
          </w:tcPr>
          <w:p>
            <w:pPr>
              <w:spacing w:before="60"/>
              <w:rPr>
                <w:noProof/>
              </w:rPr>
            </w:pPr>
            <w:r>
              <w:rPr>
                <w:noProof/>
              </w:rPr>
              <w:t>Execution (2)</w:t>
            </w:r>
          </w:p>
        </w:tc>
        <w:tc>
          <w:tcPr>
            <w:tcW w:w="1800" w:type="dxa"/>
            <w:tcBorders>
              <w:top w:val="nil"/>
              <w:left w:val="dotted" w:sz="4" w:space="0" w:color="auto"/>
              <w:bottom w:val="nil"/>
              <w:right w:val="dotted" w:sz="4" w:space="0" w:color="auto"/>
            </w:tcBorders>
            <w:shd w:val="clear" w:color="auto" w:fill="auto"/>
            <w:noWrap/>
            <w:vAlign w:val="center"/>
          </w:tcPr>
          <w:p>
            <w:pPr>
              <w:jc w:val="right"/>
              <w:rPr>
                <w:noProof/>
                <w:sz w:val="20"/>
                <w:szCs w:val="20"/>
              </w:rPr>
            </w:pPr>
            <w:r>
              <w:rPr>
                <w:noProof/>
                <w:sz w:val="20"/>
                <w:szCs w:val="20"/>
              </w:rPr>
              <w:t xml:space="preserve"> 41 706 317 977.27 </w:t>
            </w:r>
          </w:p>
        </w:tc>
        <w:tc>
          <w:tcPr>
            <w:tcW w:w="1560" w:type="dxa"/>
            <w:tcBorders>
              <w:top w:val="nil"/>
              <w:left w:val="dotted" w:sz="4" w:space="0" w:color="auto"/>
              <w:bottom w:val="nil"/>
              <w:right w:val="dotted" w:sz="4" w:space="0" w:color="auto"/>
            </w:tcBorders>
            <w:vAlign w:val="center"/>
          </w:tcPr>
          <w:p>
            <w:pPr>
              <w:jc w:val="right"/>
              <w:rPr>
                <w:noProof/>
                <w:sz w:val="20"/>
                <w:szCs w:val="20"/>
              </w:rPr>
            </w:pPr>
            <w:r>
              <w:rPr>
                <w:noProof/>
                <w:sz w:val="20"/>
                <w:szCs w:val="20"/>
              </w:rPr>
              <w:t xml:space="preserve"> 395 356 762.64 </w:t>
            </w:r>
          </w:p>
        </w:tc>
        <w:tc>
          <w:tcPr>
            <w:tcW w:w="1680" w:type="dxa"/>
            <w:tcBorders>
              <w:top w:val="nil"/>
              <w:left w:val="dotted" w:sz="4" w:space="0" w:color="auto"/>
              <w:bottom w:val="nil"/>
              <w:right w:val="dotted" w:sz="4" w:space="0" w:color="auto"/>
            </w:tcBorders>
            <w:shd w:val="clear" w:color="auto" w:fill="auto"/>
            <w:noWrap/>
            <w:vAlign w:val="center"/>
          </w:tcPr>
          <w:p>
            <w:pPr>
              <w:jc w:val="right"/>
              <w:rPr>
                <w:noProof/>
                <w:sz w:val="20"/>
                <w:szCs w:val="20"/>
              </w:rPr>
            </w:pPr>
            <w:r>
              <w:rPr>
                <w:noProof/>
                <w:sz w:val="20"/>
                <w:szCs w:val="20"/>
              </w:rPr>
              <w:t xml:space="preserve"> 1 223 128 643.05 </w:t>
            </w:r>
          </w:p>
        </w:tc>
        <w:tc>
          <w:tcPr>
            <w:tcW w:w="1560" w:type="dxa"/>
            <w:tcBorders>
              <w:top w:val="nil"/>
              <w:left w:val="dotted" w:sz="4" w:space="0" w:color="auto"/>
              <w:bottom w:val="nil"/>
              <w:right w:val="double" w:sz="6" w:space="0" w:color="auto"/>
            </w:tcBorders>
            <w:shd w:val="clear" w:color="auto" w:fill="auto"/>
            <w:noWrap/>
            <w:vAlign w:val="center"/>
          </w:tcPr>
          <w:p>
            <w:pPr>
              <w:jc w:val="right"/>
              <w:rPr>
                <w:noProof/>
                <w:sz w:val="20"/>
                <w:szCs w:val="20"/>
              </w:rPr>
            </w:pPr>
            <w:r>
              <w:rPr>
                <w:noProof/>
                <w:sz w:val="20"/>
                <w:szCs w:val="20"/>
              </w:rPr>
              <w:t xml:space="preserve"> 896 398 938.64 </w:t>
            </w:r>
          </w:p>
        </w:tc>
      </w:tr>
      <w:tr>
        <w:tblPrEx>
          <w:tblLook w:val="0000" w:firstRow="0" w:lastRow="0" w:firstColumn="0" w:lastColumn="0" w:noHBand="0" w:noVBand="0"/>
        </w:tblPrEx>
        <w:trPr>
          <w:trHeight w:val="256"/>
        </w:trPr>
        <w:tc>
          <w:tcPr>
            <w:tcW w:w="1680" w:type="dxa"/>
            <w:gridSpan w:val="2"/>
            <w:tcBorders>
              <w:top w:val="nil"/>
              <w:left w:val="double" w:sz="6" w:space="0" w:color="auto"/>
              <w:bottom w:val="nil"/>
              <w:right w:val="dotted" w:sz="4" w:space="0" w:color="auto"/>
            </w:tcBorders>
            <w:shd w:val="clear" w:color="auto" w:fill="auto"/>
            <w:noWrap/>
            <w:vAlign w:val="center"/>
          </w:tcPr>
          <w:p>
            <w:pPr>
              <w:spacing w:before="60"/>
              <w:rPr>
                <w:noProof/>
              </w:rPr>
            </w:pPr>
            <w:r>
              <w:rPr>
                <w:noProof/>
              </w:rPr>
              <w:t>Appropriations cancelled</w:t>
            </w:r>
          </w:p>
        </w:tc>
        <w:tc>
          <w:tcPr>
            <w:tcW w:w="1800" w:type="dxa"/>
            <w:tcBorders>
              <w:top w:val="nil"/>
              <w:left w:val="dotted" w:sz="4" w:space="0" w:color="auto"/>
              <w:bottom w:val="nil"/>
              <w:right w:val="dotted" w:sz="4" w:space="0" w:color="auto"/>
            </w:tcBorders>
            <w:shd w:val="clear" w:color="auto" w:fill="auto"/>
            <w:noWrap/>
            <w:vAlign w:val="center"/>
          </w:tcPr>
          <w:p>
            <w:pPr>
              <w:jc w:val="right"/>
              <w:rPr>
                <w:noProof/>
                <w:sz w:val="20"/>
                <w:szCs w:val="20"/>
              </w:rPr>
            </w:pPr>
            <w:r>
              <w:rPr>
                <w:noProof/>
                <w:sz w:val="20"/>
                <w:szCs w:val="20"/>
              </w:rPr>
              <w:t xml:space="preserve"> 9 275 450.20 </w:t>
            </w:r>
          </w:p>
        </w:tc>
        <w:tc>
          <w:tcPr>
            <w:tcW w:w="1560" w:type="dxa"/>
            <w:tcBorders>
              <w:top w:val="nil"/>
              <w:left w:val="dotted" w:sz="4" w:space="0" w:color="auto"/>
              <w:bottom w:val="nil"/>
              <w:right w:val="dotted" w:sz="4" w:space="0" w:color="auto"/>
            </w:tcBorders>
            <w:vAlign w:val="center"/>
          </w:tcPr>
          <w:p>
            <w:pPr>
              <w:jc w:val="right"/>
              <w:rPr>
                <w:noProof/>
                <w:sz w:val="20"/>
                <w:szCs w:val="20"/>
              </w:rPr>
            </w:pPr>
            <w:r>
              <w:rPr>
                <w:noProof/>
                <w:sz w:val="20"/>
                <w:szCs w:val="20"/>
              </w:rPr>
              <w:t xml:space="preserve"> 14 446 808.36 </w:t>
            </w:r>
          </w:p>
        </w:tc>
        <w:tc>
          <w:tcPr>
            <w:tcW w:w="1680" w:type="dxa"/>
            <w:tcBorders>
              <w:top w:val="nil"/>
              <w:left w:val="dotted" w:sz="4" w:space="0" w:color="auto"/>
              <w:bottom w:val="nil"/>
              <w:right w:val="dotted" w:sz="4" w:space="0" w:color="auto"/>
            </w:tcBorders>
            <w:shd w:val="clear" w:color="auto" w:fill="auto"/>
            <w:noWrap/>
            <w:vAlign w:val="center"/>
          </w:tcPr>
          <w:p>
            <w:pPr>
              <w:jc w:val="right"/>
              <w:rPr>
                <w:noProof/>
                <w:sz w:val="20"/>
                <w:szCs w:val="20"/>
              </w:rPr>
            </w:pPr>
            <w:r>
              <w:rPr>
                <w:noProof/>
                <w:sz w:val="20"/>
                <w:szCs w:val="20"/>
              </w:rPr>
              <w:t xml:space="preserve"> - </w:t>
            </w:r>
          </w:p>
        </w:tc>
        <w:tc>
          <w:tcPr>
            <w:tcW w:w="1560" w:type="dxa"/>
            <w:tcBorders>
              <w:top w:val="nil"/>
              <w:left w:val="dotted" w:sz="4" w:space="0" w:color="auto"/>
              <w:bottom w:val="nil"/>
              <w:right w:val="double" w:sz="6" w:space="0" w:color="auto"/>
            </w:tcBorders>
            <w:shd w:val="clear" w:color="auto" w:fill="auto"/>
            <w:noWrap/>
            <w:vAlign w:val="center"/>
          </w:tcPr>
          <w:p>
            <w:pPr>
              <w:spacing w:before="60"/>
              <w:jc w:val="right"/>
              <w:rPr>
                <w:noProof/>
                <w:sz w:val="20"/>
                <w:szCs w:val="20"/>
              </w:rPr>
            </w:pPr>
            <w:r>
              <w:rPr>
                <w:noProof/>
                <w:sz w:val="20"/>
                <w:szCs w:val="20"/>
              </w:rPr>
              <w:t>0.00</w:t>
            </w:r>
          </w:p>
        </w:tc>
      </w:tr>
      <w:tr>
        <w:tblPrEx>
          <w:tblLook w:val="0000" w:firstRow="0" w:lastRow="0" w:firstColumn="0" w:lastColumn="0" w:noHBand="0" w:noVBand="0"/>
        </w:tblPrEx>
        <w:trPr>
          <w:trHeight w:val="256"/>
        </w:trPr>
        <w:tc>
          <w:tcPr>
            <w:tcW w:w="1680" w:type="dxa"/>
            <w:gridSpan w:val="2"/>
            <w:tcBorders>
              <w:top w:val="nil"/>
              <w:left w:val="double" w:sz="6" w:space="0" w:color="auto"/>
              <w:bottom w:val="double" w:sz="6" w:space="0" w:color="auto"/>
              <w:right w:val="dotted" w:sz="4" w:space="0" w:color="auto"/>
            </w:tcBorders>
            <w:shd w:val="clear" w:color="auto" w:fill="auto"/>
            <w:noWrap/>
            <w:vAlign w:val="center"/>
          </w:tcPr>
          <w:p>
            <w:pPr>
              <w:spacing w:before="60"/>
              <w:rPr>
                <w:noProof/>
              </w:rPr>
            </w:pPr>
            <w:r>
              <w:rPr>
                <w:noProof/>
              </w:rPr>
              <w:t>Carry over to 2017</w:t>
            </w:r>
          </w:p>
        </w:tc>
        <w:tc>
          <w:tcPr>
            <w:tcW w:w="1800" w:type="dxa"/>
            <w:tcBorders>
              <w:top w:val="nil"/>
              <w:left w:val="dotted" w:sz="4" w:space="0" w:color="auto"/>
              <w:bottom w:val="double" w:sz="6" w:space="0" w:color="auto"/>
              <w:right w:val="dotted" w:sz="4" w:space="0" w:color="auto"/>
            </w:tcBorders>
            <w:shd w:val="clear" w:color="auto" w:fill="auto"/>
            <w:noWrap/>
            <w:vAlign w:val="center"/>
          </w:tcPr>
          <w:p>
            <w:pPr>
              <w:jc w:val="right"/>
              <w:rPr>
                <w:noProof/>
                <w:sz w:val="20"/>
                <w:szCs w:val="20"/>
              </w:rPr>
            </w:pPr>
            <w:r>
              <w:rPr>
                <w:noProof/>
                <w:sz w:val="20"/>
                <w:szCs w:val="20"/>
              </w:rPr>
              <w:t xml:space="preserve"> 433 080 989.00 </w:t>
            </w:r>
          </w:p>
        </w:tc>
        <w:tc>
          <w:tcPr>
            <w:tcW w:w="1560" w:type="dxa"/>
            <w:tcBorders>
              <w:top w:val="nil"/>
              <w:left w:val="dotted" w:sz="4" w:space="0" w:color="auto"/>
              <w:bottom w:val="double" w:sz="6" w:space="0" w:color="auto"/>
              <w:right w:val="dotted" w:sz="4" w:space="0" w:color="auto"/>
            </w:tcBorders>
            <w:vAlign w:val="center"/>
          </w:tcPr>
          <w:p>
            <w:pPr>
              <w:jc w:val="right"/>
              <w:rPr>
                <w:noProof/>
                <w:sz w:val="20"/>
                <w:szCs w:val="20"/>
              </w:rPr>
            </w:pPr>
            <w:r>
              <w:rPr>
                <w:noProof/>
                <w:sz w:val="20"/>
                <w:szCs w:val="20"/>
              </w:rPr>
              <w:t>0.00</w:t>
            </w:r>
          </w:p>
        </w:tc>
        <w:tc>
          <w:tcPr>
            <w:tcW w:w="1680" w:type="dxa"/>
            <w:tcBorders>
              <w:top w:val="nil"/>
              <w:left w:val="dotted" w:sz="4" w:space="0" w:color="auto"/>
              <w:bottom w:val="double" w:sz="6" w:space="0" w:color="auto"/>
              <w:right w:val="dotted" w:sz="4" w:space="0" w:color="auto"/>
            </w:tcBorders>
            <w:shd w:val="clear" w:color="auto" w:fill="auto"/>
            <w:noWrap/>
            <w:vAlign w:val="center"/>
          </w:tcPr>
          <w:p>
            <w:pPr>
              <w:jc w:val="right"/>
              <w:rPr>
                <w:noProof/>
                <w:sz w:val="20"/>
                <w:szCs w:val="20"/>
              </w:rPr>
            </w:pPr>
            <w:r>
              <w:rPr>
                <w:noProof/>
                <w:sz w:val="20"/>
                <w:szCs w:val="20"/>
              </w:rPr>
              <w:t xml:space="preserve"> 1 304 013 128.90 </w:t>
            </w:r>
          </w:p>
        </w:tc>
        <w:tc>
          <w:tcPr>
            <w:tcW w:w="1560" w:type="dxa"/>
            <w:tcBorders>
              <w:top w:val="nil"/>
              <w:left w:val="dotted" w:sz="4" w:space="0" w:color="auto"/>
              <w:bottom w:val="double" w:sz="6" w:space="0" w:color="auto"/>
              <w:right w:val="double" w:sz="6" w:space="0" w:color="auto"/>
            </w:tcBorders>
            <w:shd w:val="clear" w:color="auto" w:fill="auto"/>
            <w:noWrap/>
            <w:vAlign w:val="center"/>
          </w:tcPr>
          <w:p>
            <w:pPr>
              <w:jc w:val="right"/>
              <w:rPr>
                <w:noProof/>
                <w:sz w:val="20"/>
                <w:szCs w:val="20"/>
              </w:rPr>
            </w:pPr>
            <w:r>
              <w:rPr>
                <w:noProof/>
                <w:sz w:val="20"/>
                <w:szCs w:val="20"/>
              </w:rPr>
              <w:t xml:space="preserve"> - </w:t>
            </w:r>
          </w:p>
        </w:tc>
      </w:tr>
    </w:tbl>
    <w:p>
      <w:pPr>
        <w:ind w:left="850"/>
        <w:jc w:val="both"/>
        <w:rPr>
          <w:noProof/>
          <w:sz w:val="18"/>
          <w:szCs w:val="18"/>
        </w:rPr>
      </w:pPr>
      <w:r>
        <w:rPr>
          <w:noProof/>
          <w:sz w:val="18"/>
          <w:szCs w:val="18"/>
        </w:rPr>
        <w:t>(1) Commitment appropriations = Payment appropriations</w:t>
      </w:r>
      <w:r>
        <w:rPr>
          <w:noProof/>
          <w:sz w:val="18"/>
          <w:szCs w:val="18"/>
        </w:rPr>
        <w:tab/>
      </w:r>
      <w:r>
        <w:rPr>
          <w:noProof/>
          <w:sz w:val="18"/>
          <w:szCs w:val="18"/>
        </w:rPr>
        <w:br/>
        <w:t>(2) Including suspended amounts (see 2.2.1.3)</w:t>
      </w:r>
    </w:p>
    <w:p>
      <w:pPr>
        <w:pStyle w:val="Text1"/>
      </w:pPr>
      <w:r>
        <w:t>Appropriations available for the financing of the measures under shared management with Member States (excluding expenditure under direct management by the Commission) amounted to EUR 42 149 million compared to actual expenditure of EUR 41 706 million. In order to make it available for the reimbursement of direct payments in relation with financial discipline, an amount of EUR 433.1 million was carried over to budget year 2017 with Commission Decision C(2017)771 of 9 February 2017 on non-automatic carryover of appropriations from the 2016 budget to the 2017 budget.</w:t>
      </w:r>
    </w:p>
    <w:p>
      <w:pPr>
        <w:pStyle w:val="Text1"/>
      </w:pPr>
      <w:r>
        <w:t>The 2016 appropriations coming from assigned revenue amounted to EUR 2 527.1 million of which an amount of EUR 281.5 million was used in chapter 05 02 and an amount of EUR 941.6 million was used in chapter 05 03. The remaining amount of EUR 1 304 million was automatically carried over to budget year 2017.</w:t>
      </w:r>
    </w:p>
    <w:p>
      <w:pPr>
        <w:pStyle w:val="Text1"/>
        <w:rPr>
          <w:lang w:eastAsia="en-GB"/>
        </w:rPr>
      </w:pPr>
      <w:r>
        <w:rPr>
          <w:lang w:eastAsia="en-GB"/>
        </w:rPr>
        <w:t>Part of the appropriations coming from assigned revenue received in 2015 was not used in financial year 2015 and was automatically carried forward to 2016 (C5 fund source). These appropriations amounted to EUR 896.4 million and had to be used in accordance with Article 14 of the Financial Regulation within that year. All these appropriations carried over from the previous financial year were fully used in 2016 in accordance with the Financial Regulation.</w:t>
      </w:r>
    </w:p>
    <w:p>
      <w:pPr>
        <w:pStyle w:val="ManualHeading3"/>
        <w:rPr>
          <w:noProof/>
        </w:rPr>
      </w:pPr>
      <w:bookmarkStart w:id="31" w:name="_Toc484783901"/>
      <w:bookmarkEnd w:id="30"/>
      <w:r>
        <w:t>2.1.7.</w:t>
      </w:r>
      <w:r>
        <w:tab/>
      </w:r>
      <w:r>
        <w:rPr>
          <w:noProof/>
        </w:rPr>
        <w:t>Budget execution of voted appropriations - Expenditure under direct management made by the Commission</w:t>
      </w:r>
      <w:bookmarkEnd w:id="31"/>
      <w:r>
        <w:rPr>
          <w:noProof/>
        </w:rPr>
        <w:t xml:space="preserve"> </w:t>
      </w:r>
    </w:p>
    <w:tbl>
      <w:tblPr>
        <w:tblW w:w="8640" w:type="dxa"/>
        <w:tblInd w:w="948" w:type="dxa"/>
        <w:tblLayout w:type="fixed"/>
        <w:tblLook w:val="01E0" w:firstRow="1" w:lastRow="1" w:firstColumn="1" w:lastColumn="1" w:noHBand="0" w:noVBand="0"/>
      </w:tblPr>
      <w:tblGrid>
        <w:gridCol w:w="2280"/>
        <w:gridCol w:w="1560"/>
        <w:gridCol w:w="1440"/>
        <w:gridCol w:w="1560"/>
        <w:gridCol w:w="1440"/>
        <w:gridCol w:w="360"/>
      </w:tblGrid>
      <w:tr>
        <w:trPr>
          <w:gridAfter w:val="1"/>
          <w:wAfter w:w="360" w:type="dxa"/>
        </w:trPr>
        <w:tc>
          <w:tcPr>
            <w:tcW w:w="8280" w:type="dxa"/>
            <w:gridSpan w:val="5"/>
            <w:shd w:val="clear" w:color="auto" w:fill="auto"/>
          </w:tcPr>
          <w:p>
            <w:pPr>
              <w:keepNext/>
              <w:keepLines/>
              <w:jc w:val="right"/>
              <w:rPr>
                <w:i/>
                <w:noProof/>
                <w:sz w:val="20"/>
              </w:rPr>
            </w:pPr>
            <w:r>
              <w:rPr>
                <w:i/>
                <w:noProof/>
                <w:sz w:val="20"/>
              </w:rPr>
              <w:t>In EUR</w:t>
            </w:r>
          </w:p>
        </w:tc>
      </w:tr>
      <w:tr>
        <w:tblPrEx>
          <w:tblLook w:val="0000" w:firstRow="0" w:lastRow="0" w:firstColumn="0" w:lastColumn="0" w:noHBand="0" w:noVBand="0"/>
        </w:tblPrEx>
        <w:trPr>
          <w:trHeight w:val="450"/>
        </w:trPr>
        <w:tc>
          <w:tcPr>
            <w:tcW w:w="2280" w:type="dxa"/>
            <w:tcBorders>
              <w:top w:val="double" w:sz="4" w:space="0" w:color="auto"/>
              <w:left w:val="double" w:sz="4" w:space="0" w:color="auto"/>
              <w:bottom w:val="single" w:sz="4" w:space="0" w:color="auto"/>
            </w:tcBorders>
            <w:shd w:val="clear" w:color="auto" w:fill="99CC00"/>
            <w:noWrap/>
            <w:vAlign w:val="center"/>
          </w:tcPr>
          <w:p>
            <w:pPr>
              <w:jc w:val="center"/>
              <w:rPr>
                <w:noProof/>
                <w:sz w:val="20"/>
                <w:szCs w:val="20"/>
              </w:rPr>
            </w:pPr>
            <w:r>
              <w:rPr>
                <w:b/>
                <w:bCs/>
                <w:noProof/>
                <w:sz w:val="20"/>
                <w:szCs w:val="20"/>
              </w:rPr>
              <w:t>Expenditure under direct management</w:t>
            </w:r>
          </w:p>
        </w:tc>
        <w:tc>
          <w:tcPr>
            <w:tcW w:w="1560" w:type="dxa"/>
            <w:tcBorders>
              <w:top w:val="double" w:sz="4" w:space="0" w:color="auto"/>
              <w:bottom w:val="single" w:sz="4" w:space="0" w:color="auto"/>
            </w:tcBorders>
            <w:shd w:val="clear" w:color="auto" w:fill="99CC00"/>
            <w:noWrap/>
            <w:vAlign w:val="center"/>
          </w:tcPr>
          <w:p>
            <w:pPr>
              <w:spacing w:after="160"/>
              <w:jc w:val="center"/>
              <w:rPr>
                <w:bCs/>
                <w:noProof/>
                <w:sz w:val="18"/>
                <w:szCs w:val="18"/>
              </w:rPr>
            </w:pPr>
            <w:r>
              <w:rPr>
                <w:bCs/>
                <w:noProof/>
                <w:sz w:val="18"/>
                <w:szCs w:val="18"/>
              </w:rPr>
              <w:t>Commitment appropriations</w:t>
            </w:r>
          </w:p>
        </w:tc>
        <w:tc>
          <w:tcPr>
            <w:tcW w:w="1440" w:type="dxa"/>
            <w:tcBorders>
              <w:top w:val="double" w:sz="4" w:space="0" w:color="auto"/>
              <w:bottom w:val="single" w:sz="4" w:space="0" w:color="auto"/>
            </w:tcBorders>
            <w:shd w:val="clear" w:color="auto" w:fill="99CC00"/>
            <w:noWrap/>
            <w:vAlign w:val="center"/>
          </w:tcPr>
          <w:p>
            <w:pPr>
              <w:spacing w:after="160"/>
              <w:jc w:val="center"/>
              <w:rPr>
                <w:bCs/>
                <w:noProof/>
                <w:sz w:val="18"/>
                <w:szCs w:val="18"/>
              </w:rPr>
            </w:pPr>
            <w:r>
              <w:rPr>
                <w:bCs/>
                <w:noProof/>
                <w:sz w:val="18"/>
                <w:szCs w:val="18"/>
              </w:rPr>
              <w:t>De- commitments</w:t>
            </w:r>
          </w:p>
        </w:tc>
        <w:tc>
          <w:tcPr>
            <w:tcW w:w="1560" w:type="dxa"/>
            <w:tcBorders>
              <w:top w:val="double" w:sz="4" w:space="0" w:color="auto"/>
              <w:bottom w:val="single" w:sz="4" w:space="0" w:color="auto"/>
            </w:tcBorders>
            <w:shd w:val="clear" w:color="auto" w:fill="99CC00"/>
            <w:noWrap/>
            <w:vAlign w:val="center"/>
          </w:tcPr>
          <w:p>
            <w:pPr>
              <w:spacing w:after="160"/>
              <w:jc w:val="center"/>
              <w:rPr>
                <w:bCs/>
                <w:noProof/>
                <w:sz w:val="18"/>
                <w:szCs w:val="18"/>
              </w:rPr>
            </w:pPr>
            <w:r>
              <w:rPr>
                <w:bCs/>
                <w:noProof/>
                <w:sz w:val="18"/>
                <w:szCs w:val="18"/>
              </w:rPr>
              <w:t>Payment appropriations</w:t>
            </w:r>
          </w:p>
        </w:tc>
        <w:tc>
          <w:tcPr>
            <w:tcW w:w="1800" w:type="dxa"/>
            <w:gridSpan w:val="2"/>
            <w:tcBorders>
              <w:top w:val="double" w:sz="4" w:space="0" w:color="auto"/>
              <w:bottom w:val="single" w:sz="4" w:space="0" w:color="auto"/>
              <w:right w:val="double" w:sz="4" w:space="0" w:color="auto"/>
            </w:tcBorders>
            <w:shd w:val="clear" w:color="auto" w:fill="99CC00"/>
            <w:vAlign w:val="center"/>
          </w:tcPr>
          <w:p>
            <w:pPr>
              <w:spacing w:before="240"/>
              <w:jc w:val="center"/>
              <w:rPr>
                <w:bCs/>
                <w:noProof/>
                <w:sz w:val="18"/>
                <w:szCs w:val="18"/>
              </w:rPr>
            </w:pPr>
            <w:r>
              <w:rPr>
                <w:bCs/>
                <w:noProof/>
                <w:sz w:val="18"/>
                <w:szCs w:val="18"/>
              </w:rPr>
              <w:t xml:space="preserve">Carry over to 2017 </w:t>
            </w:r>
            <w:r>
              <w:rPr>
                <w:noProof/>
                <w:sz w:val="18"/>
                <w:szCs w:val="18"/>
              </w:rPr>
              <w:t>(2</w:t>
            </w:r>
            <w:r>
              <w:rPr>
                <w:bCs/>
                <w:noProof/>
                <w:sz w:val="18"/>
                <w:szCs w:val="18"/>
              </w:rPr>
              <w:t>)</w:t>
            </w:r>
          </w:p>
        </w:tc>
      </w:tr>
      <w:tr>
        <w:tblPrEx>
          <w:tblLook w:val="0000" w:firstRow="0" w:lastRow="0" w:firstColumn="0" w:lastColumn="0" w:noHBand="0" w:noVBand="0"/>
        </w:tblPrEx>
        <w:trPr>
          <w:trHeight w:val="255"/>
        </w:trPr>
        <w:tc>
          <w:tcPr>
            <w:tcW w:w="2280" w:type="dxa"/>
            <w:tcBorders>
              <w:top w:val="single" w:sz="4" w:space="0" w:color="auto"/>
              <w:left w:val="double" w:sz="4" w:space="0" w:color="auto"/>
            </w:tcBorders>
            <w:shd w:val="clear" w:color="auto" w:fill="auto"/>
            <w:noWrap/>
            <w:vAlign w:val="bottom"/>
          </w:tcPr>
          <w:p>
            <w:pPr>
              <w:spacing w:before="60" w:after="60"/>
              <w:rPr>
                <w:noProof/>
                <w:sz w:val="18"/>
                <w:szCs w:val="18"/>
              </w:rPr>
            </w:pPr>
            <w:r>
              <w:rPr>
                <w:noProof/>
                <w:sz w:val="18"/>
                <w:szCs w:val="18"/>
              </w:rPr>
              <w:t>Appropriations (C1) (1)</w:t>
            </w:r>
          </w:p>
        </w:tc>
        <w:tc>
          <w:tcPr>
            <w:tcW w:w="1560" w:type="dxa"/>
            <w:tcBorders>
              <w:top w:val="single" w:sz="4" w:space="0" w:color="auto"/>
            </w:tcBorders>
            <w:shd w:val="clear" w:color="auto" w:fill="auto"/>
            <w:noWrap/>
            <w:vAlign w:val="center"/>
          </w:tcPr>
          <w:p>
            <w:pPr>
              <w:jc w:val="right"/>
              <w:rPr>
                <w:noProof/>
                <w:sz w:val="18"/>
                <w:szCs w:val="18"/>
              </w:rPr>
            </w:pPr>
            <w:r>
              <w:rPr>
                <w:noProof/>
                <w:sz w:val="18"/>
                <w:szCs w:val="18"/>
              </w:rPr>
              <w:t xml:space="preserve"> 69 404 884.00 </w:t>
            </w:r>
          </w:p>
        </w:tc>
        <w:tc>
          <w:tcPr>
            <w:tcW w:w="1440" w:type="dxa"/>
            <w:tcBorders>
              <w:top w:val="single" w:sz="4" w:space="0" w:color="auto"/>
            </w:tcBorders>
            <w:shd w:val="clear" w:color="auto" w:fill="auto"/>
            <w:noWrap/>
            <w:vAlign w:val="bottom"/>
          </w:tcPr>
          <w:p>
            <w:pPr>
              <w:spacing w:before="60" w:after="60"/>
              <w:jc w:val="center"/>
              <w:rPr>
                <w:noProof/>
                <w:sz w:val="18"/>
                <w:szCs w:val="18"/>
              </w:rPr>
            </w:pPr>
            <w:r>
              <w:rPr>
                <w:noProof/>
                <w:sz w:val="18"/>
                <w:szCs w:val="18"/>
              </w:rPr>
              <w:t>-</w:t>
            </w:r>
          </w:p>
        </w:tc>
        <w:tc>
          <w:tcPr>
            <w:tcW w:w="1560" w:type="dxa"/>
            <w:tcBorders>
              <w:top w:val="single" w:sz="4" w:space="0" w:color="auto"/>
            </w:tcBorders>
            <w:shd w:val="clear" w:color="auto" w:fill="auto"/>
            <w:noWrap/>
            <w:vAlign w:val="center"/>
          </w:tcPr>
          <w:p>
            <w:pPr>
              <w:jc w:val="right"/>
              <w:rPr>
                <w:noProof/>
                <w:sz w:val="18"/>
                <w:szCs w:val="18"/>
              </w:rPr>
            </w:pPr>
            <w:r>
              <w:rPr>
                <w:noProof/>
                <w:sz w:val="18"/>
                <w:szCs w:val="18"/>
              </w:rPr>
              <w:t xml:space="preserve"> 60 871 357.00 </w:t>
            </w:r>
          </w:p>
        </w:tc>
        <w:tc>
          <w:tcPr>
            <w:tcW w:w="1800" w:type="dxa"/>
            <w:gridSpan w:val="2"/>
            <w:tcBorders>
              <w:top w:val="single" w:sz="4" w:space="0" w:color="auto"/>
              <w:right w:val="double" w:sz="4" w:space="0" w:color="auto"/>
            </w:tcBorders>
            <w:shd w:val="clear" w:color="auto" w:fill="auto"/>
            <w:noWrap/>
            <w:vAlign w:val="bottom"/>
          </w:tcPr>
          <w:p>
            <w:pPr>
              <w:spacing w:before="60" w:after="60"/>
              <w:jc w:val="center"/>
              <w:rPr>
                <w:noProof/>
                <w:sz w:val="18"/>
                <w:szCs w:val="18"/>
              </w:rPr>
            </w:pPr>
            <w:r>
              <w:rPr>
                <w:noProof/>
                <w:sz w:val="18"/>
                <w:szCs w:val="18"/>
              </w:rPr>
              <w:t>-</w:t>
            </w:r>
          </w:p>
        </w:tc>
      </w:tr>
      <w:tr>
        <w:tblPrEx>
          <w:tblLook w:val="0000" w:firstRow="0" w:lastRow="0" w:firstColumn="0" w:lastColumn="0" w:noHBand="0" w:noVBand="0"/>
        </w:tblPrEx>
        <w:trPr>
          <w:trHeight w:val="255"/>
        </w:trPr>
        <w:tc>
          <w:tcPr>
            <w:tcW w:w="2280" w:type="dxa"/>
            <w:tcBorders>
              <w:left w:val="double" w:sz="4" w:space="0" w:color="auto"/>
            </w:tcBorders>
            <w:shd w:val="clear" w:color="auto" w:fill="auto"/>
            <w:noWrap/>
            <w:vAlign w:val="bottom"/>
          </w:tcPr>
          <w:p>
            <w:pPr>
              <w:spacing w:before="60" w:after="60"/>
              <w:rPr>
                <w:noProof/>
                <w:sz w:val="18"/>
                <w:szCs w:val="18"/>
              </w:rPr>
            </w:pPr>
            <w:r>
              <w:rPr>
                <w:noProof/>
                <w:sz w:val="18"/>
                <w:szCs w:val="18"/>
              </w:rPr>
              <w:t>Execution (C1)</w:t>
            </w:r>
          </w:p>
        </w:tc>
        <w:tc>
          <w:tcPr>
            <w:tcW w:w="1560" w:type="dxa"/>
            <w:shd w:val="clear" w:color="auto" w:fill="auto"/>
            <w:noWrap/>
            <w:vAlign w:val="center"/>
          </w:tcPr>
          <w:p>
            <w:pPr>
              <w:jc w:val="right"/>
              <w:rPr>
                <w:noProof/>
                <w:sz w:val="18"/>
                <w:szCs w:val="18"/>
              </w:rPr>
            </w:pPr>
            <w:r>
              <w:rPr>
                <w:noProof/>
                <w:sz w:val="18"/>
                <w:szCs w:val="18"/>
              </w:rPr>
              <w:t xml:space="preserve"> 63 907 387.76 </w:t>
            </w:r>
          </w:p>
        </w:tc>
        <w:tc>
          <w:tcPr>
            <w:tcW w:w="1440" w:type="dxa"/>
            <w:shd w:val="clear" w:color="auto" w:fill="auto"/>
            <w:noWrap/>
            <w:vAlign w:val="bottom"/>
          </w:tcPr>
          <w:p>
            <w:pPr>
              <w:spacing w:before="60" w:after="60"/>
              <w:jc w:val="center"/>
              <w:rPr>
                <w:noProof/>
                <w:sz w:val="18"/>
                <w:szCs w:val="18"/>
              </w:rPr>
            </w:pPr>
            <w:r>
              <w:rPr>
                <w:noProof/>
                <w:sz w:val="18"/>
                <w:szCs w:val="18"/>
              </w:rPr>
              <w:t>-</w:t>
            </w:r>
          </w:p>
        </w:tc>
        <w:tc>
          <w:tcPr>
            <w:tcW w:w="1560" w:type="dxa"/>
            <w:shd w:val="clear" w:color="auto" w:fill="auto"/>
            <w:noWrap/>
            <w:vAlign w:val="center"/>
          </w:tcPr>
          <w:p>
            <w:pPr>
              <w:jc w:val="right"/>
              <w:rPr>
                <w:noProof/>
                <w:sz w:val="18"/>
                <w:szCs w:val="18"/>
              </w:rPr>
            </w:pPr>
            <w:r>
              <w:rPr>
                <w:noProof/>
                <w:sz w:val="18"/>
                <w:szCs w:val="18"/>
              </w:rPr>
              <w:t xml:space="preserve"> 35 670 480.51 </w:t>
            </w:r>
          </w:p>
        </w:tc>
        <w:tc>
          <w:tcPr>
            <w:tcW w:w="1800" w:type="dxa"/>
            <w:gridSpan w:val="2"/>
            <w:tcBorders>
              <w:right w:val="double" w:sz="4" w:space="0" w:color="auto"/>
            </w:tcBorders>
            <w:shd w:val="clear" w:color="auto" w:fill="auto"/>
            <w:noWrap/>
            <w:vAlign w:val="center"/>
          </w:tcPr>
          <w:p>
            <w:pPr>
              <w:spacing w:before="60" w:after="60"/>
              <w:jc w:val="center"/>
              <w:rPr>
                <w:noProof/>
                <w:sz w:val="18"/>
                <w:szCs w:val="18"/>
              </w:rPr>
            </w:pPr>
            <w:r>
              <w:rPr>
                <w:noProof/>
                <w:sz w:val="18"/>
                <w:szCs w:val="18"/>
              </w:rPr>
              <w:t>12 898 533.97</w:t>
            </w:r>
          </w:p>
        </w:tc>
      </w:tr>
      <w:tr>
        <w:tblPrEx>
          <w:tblLook w:val="0000" w:firstRow="0" w:lastRow="0" w:firstColumn="0" w:lastColumn="0" w:noHBand="0" w:noVBand="0"/>
        </w:tblPrEx>
        <w:trPr>
          <w:trHeight w:val="255"/>
        </w:trPr>
        <w:tc>
          <w:tcPr>
            <w:tcW w:w="2280" w:type="dxa"/>
            <w:tcBorders>
              <w:left w:val="double" w:sz="4" w:space="0" w:color="auto"/>
              <w:bottom w:val="double" w:sz="4" w:space="0" w:color="auto"/>
            </w:tcBorders>
            <w:shd w:val="clear" w:color="auto" w:fill="auto"/>
            <w:noWrap/>
            <w:vAlign w:val="bottom"/>
          </w:tcPr>
          <w:p>
            <w:pPr>
              <w:spacing w:before="60"/>
              <w:rPr>
                <w:noProof/>
                <w:sz w:val="18"/>
                <w:szCs w:val="18"/>
              </w:rPr>
            </w:pPr>
            <w:r>
              <w:rPr>
                <w:noProof/>
                <w:sz w:val="18"/>
                <w:szCs w:val="18"/>
              </w:rPr>
              <w:t xml:space="preserve">Appropriations cancelled </w:t>
            </w:r>
          </w:p>
        </w:tc>
        <w:tc>
          <w:tcPr>
            <w:tcW w:w="1560" w:type="dxa"/>
            <w:tcBorders>
              <w:bottom w:val="double" w:sz="4" w:space="0" w:color="auto"/>
            </w:tcBorders>
            <w:shd w:val="clear" w:color="auto" w:fill="auto"/>
            <w:noWrap/>
            <w:vAlign w:val="center"/>
          </w:tcPr>
          <w:p>
            <w:pPr>
              <w:jc w:val="right"/>
              <w:rPr>
                <w:noProof/>
                <w:sz w:val="18"/>
                <w:szCs w:val="18"/>
              </w:rPr>
            </w:pPr>
            <w:r>
              <w:rPr>
                <w:noProof/>
                <w:sz w:val="18"/>
                <w:szCs w:val="18"/>
              </w:rPr>
              <w:t xml:space="preserve"> 5 497 496.24 </w:t>
            </w:r>
          </w:p>
        </w:tc>
        <w:tc>
          <w:tcPr>
            <w:tcW w:w="1440" w:type="dxa"/>
            <w:tcBorders>
              <w:bottom w:val="double" w:sz="4" w:space="0" w:color="auto"/>
            </w:tcBorders>
            <w:shd w:val="clear" w:color="auto" w:fill="auto"/>
            <w:noWrap/>
            <w:vAlign w:val="bottom"/>
          </w:tcPr>
          <w:p>
            <w:pPr>
              <w:spacing w:before="60"/>
              <w:jc w:val="center"/>
              <w:rPr>
                <w:noProof/>
                <w:sz w:val="18"/>
                <w:szCs w:val="18"/>
              </w:rPr>
            </w:pPr>
            <w:r>
              <w:rPr>
                <w:noProof/>
                <w:sz w:val="18"/>
                <w:szCs w:val="18"/>
              </w:rPr>
              <w:t>-</w:t>
            </w:r>
          </w:p>
        </w:tc>
        <w:tc>
          <w:tcPr>
            <w:tcW w:w="1560" w:type="dxa"/>
            <w:tcBorders>
              <w:bottom w:val="double" w:sz="4" w:space="0" w:color="auto"/>
            </w:tcBorders>
            <w:shd w:val="clear" w:color="auto" w:fill="auto"/>
            <w:noWrap/>
            <w:vAlign w:val="center"/>
          </w:tcPr>
          <w:p>
            <w:pPr>
              <w:jc w:val="right"/>
              <w:rPr>
                <w:noProof/>
                <w:sz w:val="18"/>
                <w:szCs w:val="18"/>
              </w:rPr>
            </w:pPr>
            <w:r>
              <w:rPr>
                <w:noProof/>
                <w:sz w:val="18"/>
                <w:szCs w:val="18"/>
              </w:rPr>
              <w:t xml:space="preserve"> 12 302 342.52 </w:t>
            </w:r>
          </w:p>
        </w:tc>
        <w:tc>
          <w:tcPr>
            <w:tcW w:w="1800" w:type="dxa"/>
            <w:gridSpan w:val="2"/>
            <w:tcBorders>
              <w:bottom w:val="double" w:sz="4" w:space="0" w:color="auto"/>
              <w:right w:val="double" w:sz="4" w:space="0" w:color="auto"/>
            </w:tcBorders>
            <w:shd w:val="clear" w:color="auto" w:fill="auto"/>
            <w:noWrap/>
            <w:vAlign w:val="bottom"/>
          </w:tcPr>
          <w:p>
            <w:pPr>
              <w:spacing w:before="60"/>
              <w:jc w:val="center"/>
              <w:rPr>
                <w:noProof/>
                <w:sz w:val="18"/>
                <w:szCs w:val="18"/>
              </w:rPr>
            </w:pPr>
            <w:r>
              <w:rPr>
                <w:noProof/>
                <w:sz w:val="18"/>
                <w:szCs w:val="18"/>
              </w:rPr>
              <w:t>-</w:t>
            </w:r>
          </w:p>
        </w:tc>
      </w:tr>
      <w:tr>
        <w:tblPrEx>
          <w:tblLook w:val="0000" w:firstRow="0" w:lastRow="0" w:firstColumn="0" w:lastColumn="0" w:noHBand="0" w:noVBand="0"/>
        </w:tblPrEx>
        <w:trPr>
          <w:trHeight w:val="255"/>
        </w:trPr>
        <w:tc>
          <w:tcPr>
            <w:tcW w:w="8640" w:type="dxa"/>
            <w:gridSpan w:val="6"/>
            <w:tcBorders>
              <w:top w:val="double" w:sz="4" w:space="0" w:color="auto"/>
              <w:bottom w:val="nil"/>
            </w:tcBorders>
            <w:noWrap/>
            <w:vAlign w:val="bottom"/>
          </w:tcPr>
          <w:p>
            <w:pPr>
              <w:jc w:val="both"/>
              <w:rPr>
                <w:noProof/>
                <w:sz w:val="18"/>
                <w:szCs w:val="18"/>
              </w:rPr>
            </w:pPr>
          </w:p>
          <w:p>
            <w:pPr>
              <w:jc w:val="both"/>
              <w:rPr>
                <w:noProof/>
                <w:sz w:val="18"/>
                <w:szCs w:val="18"/>
              </w:rPr>
            </w:pPr>
            <w:r>
              <w:rPr>
                <w:noProof/>
                <w:sz w:val="18"/>
                <w:szCs w:val="18"/>
              </w:rPr>
              <w:t>(1) C1 denotes the budget's voted appropriations. This amount includes transfers from ''shared management'' for an amount of EUR 2 527 217.00 for commitment and payment appropriations, transfers ''out'' of EAGF for a total amount of EUR -1 494 000.00 for payment appropriations and an Amending Budget of EUR - 1 250 000.00 for commitment appropriations.</w:t>
            </w:r>
          </w:p>
          <w:p>
            <w:pPr>
              <w:jc w:val="both"/>
              <w:rPr>
                <w:noProof/>
                <w:sz w:val="18"/>
                <w:szCs w:val="18"/>
              </w:rPr>
            </w:pPr>
            <w:r>
              <w:rPr>
                <w:noProof/>
                <w:sz w:val="18"/>
                <w:szCs w:val="18"/>
              </w:rPr>
              <w:t>(2) Carry over to 2017 only for non-differentiated appropriations.</w:t>
            </w:r>
          </w:p>
        </w:tc>
      </w:tr>
    </w:tbl>
    <w:p>
      <w:pPr>
        <w:spacing w:before="120" w:after="120"/>
        <w:ind w:left="851"/>
        <w:jc w:val="both"/>
        <w:rPr>
          <w:noProof/>
        </w:rPr>
      </w:pPr>
      <w:r>
        <w:rPr>
          <w:noProof/>
        </w:rPr>
        <w:t>The available commitment appropriations for expenditure under direct management in the 2016 budget were EUR 69.4 million. An amount of EUR 63.9 million was committed in 2016. The balance of these appropriations, EUR 5.5 million, was cancelled.</w:t>
      </w:r>
    </w:p>
    <w:p>
      <w:pPr>
        <w:spacing w:before="120" w:after="120"/>
        <w:ind w:left="851"/>
        <w:jc w:val="both"/>
        <w:rPr>
          <w:noProof/>
        </w:rPr>
      </w:pPr>
      <w:r>
        <w:rPr>
          <w:noProof/>
        </w:rPr>
        <w:t>The majority of EAGF commitment appropriations for expenditure under direct management made by the Commission are differentiated appropriations.</w:t>
      </w:r>
    </w:p>
    <w:p>
      <w:pPr>
        <w:spacing w:before="120" w:after="120"/>
        <w:ind w:left="851"/>
        <w:jc w:val="both"/>
        <w:rPr>
          <w:noProof/>
        </w:rPr>
      </w:pPr>
      <w:r>
        <w:rPr>
          <w:noProof/>
        </w:rPr>
        <w:t>The automatic carry over to 2017, which relates only to non-differentiated appropriations, amounts to EUR 12.9 million.</w:t>
      </w:r>
    </w:p>
    <w:p>
      <w:pPr>
        <w:pStyle w:val="Text1"/>
      </w:pPr>
      <w:r>
        <w:rPr>
          <w:lang w:eastAsia="en-GB"/>
        </w:rPr>
        <w:t>For details, please see annexes 3 and 4.</w:t>
      </w:r>
    </w:p>
    <w:p>
      <w:pPr>
        <w:pStyle w:val="ManualHeading3"/>
        <w:rPr>
          <w:bCs/>
          <w:noProof/>
        </w:rPr>
      </w:pPr>
      <w:bookmarkStart w:id="32" w:name="_Toc322938570"/>
      <w:bookmarkStart w:id="33" w:name="_Toc484783902"/>
      <w:r>
        <w:t>2.1.8.</w:t>
      </w:r>
      <w:r>
        <w:tab/>
      </w:r>
      <w:r>
        <w:rPr>
          <w:noProof/>
        </w:rPr>
        <w:t xml:space="preserve">Budget execution - Expenditure under direct management made by the Commission - Automatic carryover from </w:t>
      </w:r>
      <w:bookmarkEnd w:id="32"/>
      <w:r>
        <w:rPr>
          <w:noProof/>
        </w:rPr>
        <w:t>2015</w:t>
      </w:r>
      <w:bookmarkEnd w:id="33"/>
    </w:p>
    <w:tbl>
      <w:tblPr>
        <w:tblW w:w="8280" w:type="dxa"/>
        <w:tblInd w:w="948" w:type="dxa"/>
        <w:tblLayout w:type="fixed"/>
        <w:tblLook w:val="01E0" w:firstRow="1" w:lastRow="1" w:firstColumn="1" w:lastColumn="1" w:noHBand="0" w:noVBand="0"/>
      </w:tblPr>
      <w:tblGrid>
        <w:gridCol w:w="2280"/>
        <w:gridCol w:w="1560"/>
        <w:gridCol w:w="1440"/>
        <w:gridCol w:w="1560"/>
        <w:gridCol w:w="1440"/>
      </w:tblGrid>
      <w:tr>
        <w:tc>
          <w:tcPr>
            <w:tcW w:w="8280" w:type="dxa"/>
            <w:gridSpan w:val="5"/>
            <w:tcBorders>
              <w:bottom w:val="double" w:sz="4" w:space="0" w:color="auto"/>
            </w:tcBorders>
            <w:shd w:val="clear" w:color="auto" w:fill="auto"/>
          </w:tcPr>
          <w:p>
            <w:pPr>
              <w:keepNext/>
              <w:keepLines/>
              <w:jc w:val="right"/>
              <w:rPr>
                <w:i/>
                <w:noProof/>
                <w:sz w:val="20"/>
              </w:rPr>
            </w:pPr>
            <w:r>
              <w:rPr>
                <w:i/>
                <w:noProof/>
                <w:sz w:val="20"/>
              </w:rPr>
              <w:t>In EUR</w:t>
            </w:r>
          </w:p>
        </w:tc>
      </w:tr>
      <w:tr>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255"/>
        </w:trPr>
        <w:tc>
          <w:tcPr>
            <w:tcW w:w="2280" w:type="dxa"/>
            <w:tcBorders>
              <w:top w:val="double" w:sz="4" w:space="0" w:color="auto"/>
              <w:bottom w:val="single" w:sz="4" w:space="0" w:color="auto"/>
            </w:tcBorders>
            <w:shd w:val="clear" w:color="auto" w:fill="99CC00"/>
            <w:noWrap/>
          </w:tcPr>
          <w:p>
            <w:pPr>
              <w:spacing w:before="240"/>
              <w:jc w:val="center"/>
              <w:rPr>
                <w:b/>
                <w:bCs/>
                <w:noProof/>
                <w:sz w:val="20"/>
                <w:szCs w:val="20"/>
              </w:rPr>
            </w:pPr>
            <w:r>
              <w:rPr>
                <w:b/>
                <w:bCs/>
                <w:noProof/>
                <w:sz w:val="20"/>
                <w:szCs w:val="20"/>
              </w:rPr>
              <w:t>Carry over from 2015 to 2016</w:t>
            </w:r>
          </w:p>
        </w:tc>
        <w:tc>
          <w:tcPr>
            <w:tcW w:w="1560" w:type="dxa"/>
            <w:tcBorders>
              <w:top w:val="double" w:sz="4" w:space="0" w:color="auto"/>
              <w:bottom w:val="single" w:sz="4" w:space="0" w:color="auto"/>
            </w:tcBorders>
            <w:shd w:val="clear" w:color="auto" w:fill="99CC00"/>
          </w:tcPr>
          <w:p>
            <w:pPr>
              <w:spacing w:before="240" w:after="240"/>
              <w:jc w:val="center"/>
              <w:rPr>
                <w:bCs/>
                <w:noProof/>
                <w:sz w:val="18"/>
                <w:szCs w:val="18"/>
              </w:rPr>
            </w:pPr>
            <w:r>
              <w:rPr>
                <w:bCs/>
                <w:noProof/>
                <w:sz w:val="18"/>
                <w:szCs w:val="18"/>
              </w:rPr>
              <w:t>Commitments</w:t>
            </w:r>
          </w:p>
        </w:tc>
        <w:tc>
          <w:tcPr>
            <w:tcW w:w="1440" w:type="dxa"/>
            <w:tcBorders>
              <w:top w:val="double" w:sz="4" w:space="0" w:color="auto"/>
              <w:bottom w:val="single" w:sz="4" w:space="0" w:color="auto"/>
            </w:tcBorders>
            <w:shd w:val="clear" w:color="auto" w:fill="99CC00"/>
            <w:noWrap/>
          </w:tcPr>
          <w:p>
            <w:pPr>
              <w:spacing w:before="240" w:after="240"/>
              <w:jc w:val="center"/>
              <w:rPr>
                <w:noProof/>
                <w:sz w:val="18"/>
                <w:szCs w:val="18"/>
              </w:rPr>
            </w:pPr>
            <w:r>
              <w:rPr>
                <w:noProof/>
                <w:sz w:val="18"/>
                <w:szCs w:val="18"/>
              </w:rPr>
              <w:t>De-commitments</w:t>
            </w:r>
          </w:p>
        </w:tc>
        <w:tc>
          <w:tcPr>
            <w:tcW w:w="1560" w:type="dxa"/>
            <w:tcBorders>
              <w:top w:val="double" w:sz="4" w:space="0" w:color="auto"/>
              <w:bottom w:val="single" w:sz="4" w:space="0" w:color="auto"/>
            </w:tcBorders>
            <w:shd w:val="clear" w:color="auto" w:fill="99CC00"/>
            <w:noWrap/>
          </w:tcPr>
          <w:p>
            <w:pPr>
              <w:spacing w:before="240" w:after="240"/>
              <w:jc w:val="center"/>
              <w:rPr>
                <w:noProof/>
                <w:sz w:val="18"/>
                <w:szCs w:val="18"/>
              </w:rPr>
            </w:pPr>
            <w:r>
              <w:rPr>
                <w:noProof/>
                <w:sz w:val="18"/>
                <w:szCs w:val="18"/>
              </w:rPr>
              <w:t>Payments</w:t>
            </w:r>
          </w:p>
        </w:tc>
        <w:tc>
          <w:tcPr>
            <w:tcW w:w="1440" w:type="dxa"/>
            <w:tcBorders>
              <w:top w:val="double" w:sz="4" w:space="0" w:color="auto"/>
              <w:bottom w:val="single" w:sz="4" w:space="0" w:color="auto"/>
            </w:tcBorders>
            <w:shd w:val="clear" w:color="auto" w:fill="99CC00"/>
            <w:noWrap/>
          </w:tcPr>
          <w:p>
            <w:pPr>
              <w:spacing w:before="240" w:after="240"/>
              <w:jc w:val="center"/>
              <w:rPr>
                <w:noProof/>
                <w:sz w:val="18"/>
                <w:szCs w:val="18"/>
              </w:rPr>
            </w:pPr>
            <w:r>
              <w:rPr>
                <w:noProof/>
                <w:sz w:val="18"/>
                <w:szCs w:val="18"/>
              </w:rPr>
              <w:t xml:space="preserve">Cancelled appropriations </w:t>
            </w:r>
          </w:p>
        </w:tc>
      </w:tr>
      <w:tr>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270"/>
        </w:trPr>
        <w:tc>
          <w:tcPr>
            <w:tcW w:w="2280" w:type="dxa"/>
            <w:tcBorders>
              <w:top w:val="single" w:sz="4" w:space="0" w:color="auto"/>
              <w:bottom w:val="double" w:sz="4" w:space="0" w:color="auto"/>
            </w:tcBorders>
            <w:shd w:val="clear" w:color="auto" w:fill="auto"/>
            <w:noWrap/>
            <w:vAlign w:val="bottom"/>
          </w:tcPr>
          <w:p>
            <w:pPr>
              <w:spacing w:before="200"/>
              <w:rPr>
                <w:noProof/>
                <w:sz w:val="18"/>
                <w:szCs w:val="18"/>
              </w:rPr>
            </w:pPr>
            <w:r>
              <w:rPr>
                <w:noProof/>
                <w:sz w:val="18"/>
                <w:szCs w:val="18"/>
              </w:rPr>
              <w:t>Carried over appropriations</w:t>
            </w:r>
          </w:p>
        </w:tc>
        <w:tc>
          <w:tcPr>
            <w:tcW w:w="1560" w:type="dxa"/>
            <w:tcBorders>
              <w:top w:val="single" w:sz="4" w:space="0" w:color="auto"/>
              <w:bottom w:val="double" w:sz="4" w:space="0" w:color="auto"/>
            </w:tcBorders>
            <w:shd w:val="clear" w:color="auto" w:fill="auto"/>
            <w:noWrap/>
            <w:vAlign w:val="bottom"/>
          </w:tcPr>
          <w:p>
            <w:pPr>
              <w:jc w:val="right"/>
              <w:rPr>
                <w:noProof/>
                <w:sz w:val="18"/>
                <w:szCs w:val="18"/>
              </w:rPr>
            </w:pPr>
            <w:r>
              <w:rPr>
                <w:noProof/>
                <w:sz w:val="18"/>
                <w:szCs w:val="18"/>
              </w:rPr>
              <w:t xml:space="preserve"> 13 821 274.51 </w:t>
            </w:r>
          </w:p>
        </w:tc>
        <w:tc>
          <w:tcPr>
            <w:tcW w:w="1440" w:type="dxa"/>
            <w:tcBorders>
              <w:top w:val="single" w:sz="4" w:space="0" w:color="auto"/>
              <w:bottom w:val="double" w:sz="4" w:space="0" w:color="auto"/>
            </w:tcBorders>
            <w:shd w:val="clear" w:color="auto" w:fill="auto"/>
            <w:noWrap/>
            <w:vAlign w:val="bottom"/>
          </w:tcPr>
          <w:p>
            <w:pPr>
              <w:jc w:val="right"/>
              <w:rPr>
                <w:noProof/>
                <w:sz w:val="18"/>
                <w:szCs w:val="18"/>
              </w:rPr>
            </w:pPr>
            <w:r>
              <w:rPr>
                <w:noProof/>
                <w:sz w:val="18"/>
                <w:szCs w:val="18"/>
              </w:rPr>
              <w:t xml:space="preserve"> 1 389 982.49 </w:t>
            </w:r>
          </w:p>
        </w:tc>
        <w:tc>
          <w:tcPr>
            <w:tcW w:w="1560" w:type="dxa"/>
            <w:tcBorders>
              <w:top w:val="single" w:sz="4" w:space="0" w:color="auto"/>
              <w:bottom w:val="double" w:sz="4" w:space="0" w:color="auto"/>
            </w:tcBorders>
            <w:shd w:val="clear" w:color="auto" w:fill="auto"/>
            <w:noWrap/>
            <w:vAlign w:val="bottom"/>
          </w:tcPr>
          <w:p>
            <w:pPr>
              <w:jc w:val="right"/>
              <w:rPr>
                <w:noProof/>
                <w:sz w:val="18"/>
                <w:szCs w:val="18"/>
              </w:rPr>
            </w:pPr>
            <w:r>
              <w:rPr>
                <w:noProof/>
                <w:sz w:val="18"/>
                <w:szCs w:val="18"/>
              </w:rPr>
              <w:t xml:space="preserve"> 12 382 244.90 </w:t>
            </w:r>
          </w:p>
        </w:tc>
        <w:tc>
          <w:tcPr>
            <w:tcW w:w="1440" w:type="dxa"/>
            <w:tcBorders>
              <w:top w:val="single" w:sz="4" w:space="0" w:color="auto"/>
              <w:bottom w:val="double" w:sz="4" w:space="0" w:color="auto"/>
            </w:tcBorders>
            <w:shd w:val="clear" w:color="auto" w:fill="auto"/>
            <w:noWrap/>
            <w:vAlign w:val="bottom"/>
          </w:tcPr>
          <w:p>
            <w:pPr>
              <w:jc w:val="right"/>
              <w:rPr>
                <w:noProof/>
                <w:sz w:val="18"/>
                <w:szCs w:val="18"/>
              </w:rPr>
            </w:pPr>
            <w:r>
              <w:rPr>
                <w:noProof/>
                <w:sz w:val="18"/>
                <w:szCs w:val="18"/>
              </w:rPr>
              <w:t xml:space="preserve"> 49 047.12 </w:t>
            </w:r>
          </w:p>
        </w:tc>
      </w:tr>
    </w:tbl>
    <w:p>
      <w:pPr>
        <w:spacing w:before="120" w:after="120"/>
        <w:ind w:left="851"/>
        <w:jc w:val="both"/>
        <w:rPr>
          <w:noProof/>
        </w:rPr>
      </w:pPr>
      <w:r>
        <w:rPr>
          <w:noProof/>
        </w:rPr>
        <w:t>The automatic carry over from 2015 to 2016 only concerned expenditure under direct management for non-differentiated appropriations. As indicated in the table above, an amount of EUR 13.8 million was carried over from 2015 to 2016. In 2016 an amount of EUR 1.4 million from this carry over was de-committed. The payments made amounted to EUR 12.4 million and the appropriations cancelled totalled EUR 0.05 million.</w:t>
      </w:r>
    </w:p>
    <w:p>
      <w:pPr>
        <w:pStyle w:val="Text1"/>
      </w:pPr>
      <w:r>
        <w:rPr>
          <w:lang w:eastAsia="en-GB"/>
        </w:rPr>
        <w:t>For details, please see annex 4.</w:t>
      </w:r>
    </w:p>
    <w:p>
      <w:pPr>
        <w:pStyle w:val="ManualHeading2"/>
        <w:rPr>
          <w:noProof/>
        </w:rPr>
      </w:pPr>
      <w:bookmarkStart w:id="34" w:name="_Toc322938571"/>
      <w:bookmarkStart w:id="35" w:name="_Toc484783903"/>
      <w:r>
        <w:t>2.2.</w:t>
      </w:r>
      <w:r>
        <w:tab/>
      </w:r>
      <w:r>
        <w:rPr>
          <w:noProof/>
        </w:rPr>
        <w:t>Monthly payments</w:t>
      </w:r>
      <w:bookmarkEnd w:id="34"/>
      <w:bookmarkEnd w:id="35"/>
      <w:r>
        <w:rPr>
          <w:noProof/>
        </w:rPr>
        <w:t xml:space="preserve"> </w:t>
      </w:r>
    </w:p>
    <w:p>
      <w:pPr>
        <w:pStyle w:val="ManualHeading3"/>
        <w:rPr>
          <w:noProof/>
        </w:rPr>
      </w:pPr>
      <w:bookmarkStart w:id="36" w:name="_Toc322938572"/>
      <w:bookmarkStart w:id="37" w:name="_Toc484783904"/>
      <w:r>
        <w:t>2.2.1.</w:t>
      </w:r>
      <w:r>
        <w:tab/>
      </w:r>
      <w:r>
        <w:rPr>
          <w:noProof/>
        </w:rPr>
        <w:t>Monthly payments to Member States</w:t>
      </w:r>
      <w:bookmarkEnd w:id="36"/>
      <w:r>
        <w:rPr>
          <w:noProof/>
        </w:rPr>
        <w:t xml:space="preserve"> under shared management</w:t>
      </w:r>
      <w:bookmarkEnd w:id="37"/>
    </w:p>
    <w:p>
      <w:pPr>
        <w:pStyle w:val="ManualHeading4"/>
        <w:rPr>
          <w:noProof/>
        </w:rPr>
      </w:pPr>
      <w:bookmarkStart w:id="38" w:name="_Toc322938573"/>
      <w:bookmarkStart w:id="39" w:name="_Toc484783905"/>
      <w:r>
        <w:t>2.2.1.1.</w:t>
      </w:r>
      <w:r>
        <w:tab/>
      </w:r>
      <w:r>
        <w:rPr>
          <w:noProof/>
        </w:rPr>
        <w:t>Monthly payments on the provision for expenditure</w:t>
      </w:r>
      <w:bookmarkEnd w:id="38"/>
      <w:bookmarkEnd w:id="39"/>
    </w:p>
    <w:p>
      <w:pPr>
        <w:pStyle w:val="Text1"/>
      </w:pPr>
      <w:r>
        <w:t>Article 18(1) of Regulation (EU) No 1306/2013 states that "</w:t>
      </w:r>
      <w:r>
        <w:rPr>
          <w:i/>
        </w:rPr>
        <w:t>monthly payments shall be made by the Commission for expenditure effected by Member States' accredited paying agencies during the reference month</w:t>
      </w:r>
      <w:r>
        <w:t>".</w:t>
      </w:r>
      <w:r>
        <w:rPr>
          <w:lang w:val="en"/>
        </w:rPr>
        <w:t xml:space="preserve"> </w:t>
      </w:r>
      <w:r>
        <w:t>Monthly payments shall be made to each Member State at the latest on the third working day of the second month following that in which the expenditure is incurred.</w:t>
      </w:r>
    </w:p>
    <w:p>
      <w:pPr>
        <w:pStyle w:val="Text1"/>
      </w:pPr>
      <w:r>
        <w:t>The monthly payments are a reimbursement of net expenditure (after deduction of revenue) which has been already carried out and are made available on the basis of the monthly declarations forwarded by the Member States</w:t>
      </w:r>
      <w:r>
        <w:rPr>
          <w:vertAlign w:val="superscript"/>
        </w:rPr>
        <w:footnoteReference w:id="5"/>
      </w:r>
      <w:r>
        <w:t>. The monthly booking of expenditure and revenue is subject to checks and corrections on the basis of these declarations. Moreover, these payments will become final following the Commission's verifications under the accounting clearance of accounts procedure.</w:t>
      </w:r>
    </w:p>
    <w:p>
      <w:pPr>
        <w:pStyle w:val="Text1"/>
      </w:pPr>
      <w:r>
        <w:t xml:space="preserve">Payments made by the Member States from 16 October 2015 to 15 October 2016 are covered by the system for monthly payments. </w:t>
      </w:r>
    </w:p>
    <w:p>
      <w:pPr>
        <w:pStyle w:val="Text1"/>
      </w:pPr>
      <w:r>
        <w:t>For financial year 2016, the total net amount of monthly payments decided, after the deduction of clearance and other corrections, was EUR 41 694 060 549.65. Taking into account the suspended amounts (see below 2.2.1.3.b) only EUR 41 509 300 882.48 was paid out.</w:t>
      </w:r>
    </w:p>
    <w:p>
      <w:pPr>
        <w:pStyle w:val="ManualHeading4"/>
        <w:rPr>
          <w:noProof/>
        </w:rPr>
      </w:pPr>
      <w:bookmarkStart w:id="40" w:name="_Toc322938574"/>
      <w:bookmarkStart w:id="41" w:name="_Toc484783906"/>
      <w:r>
        <w:t>2.2.1.2.</w:t>
      </w:r>
      <w:r>
        <w:tab/>
      </w:r>
      <w:r>
        <w:rPr>
          <w:noProof/>
        </w:rPr>
        <w:t xml:space="preserve">Decisions on monthly payments for </w:t>
      </w:r>
      <w:bookmarkEnd w:id="40"/>
      <w:r>
        <w:rPr>
          <w:noProof/>
        </w:rPr>
        <w:t>2016</w:t>
      </w:r>
      <w:bookmarkEnd w:id="41"/>
    </w:p>
    <w:p>
      <w:pPr>
        <w:pStyle w:val="Text1"/>
      </w:pPr>
      <w:r>
        <w:t>For the financial year 2016, the Commission adopted twelve decisions on monthly payments. Furthermore, an additional monthly payment decision, adjusting those already granted for the total expenditure chargeable to the year, was adopted in December 2016. For details, please see annex 2.</w:t>
      </w:r>
    </w:p>
    <w:p>
      <w:pPr>
        <w:pStyle w:val="ManualHeading4"/>
        <w:rPr>
          <w:noProof/>
        </w:rPr>
      </w:pPr>
      <w:bookmarkStart w:id="42" w:name="_Toc322938575"/>
      <w:bookmarkStart w:id="43" w:name="_Toc484783907"/>
      <w:r>
        <w:t>2.2.1.3.</w:t>
      </w:r>
      <w:r>
        <w:tab/>
      </w:r>
      <w:r>
        <w:rPr>
          <w:noProof/>
        </w:rPr>
        <w:t>Reductions and suspensions of monthly payments</w:t>
      </w:r>
      <w:bookmarkEnd w:id="42"/>
      <w:bookmarkEnd w:id="43"/>
    </w:p>
    <w:p>
      <w:pPr>
        <w:pStyle w:val="Point1"/>
        <w:rPr>
          <w:i/>
          <w:noProof/>
        </w:rPr>
      </w:pPr>
      <w:bookmarkStart w:id="44" w:name="_Toc322938576"/>
      <w:r>
        <w:rPr>
          <w:i/>
          <w:noProof/>
        </w:rPr>
        <w:t>a.</w:t>
      </w:r>
      <w:r>
        <w:rPr>
          <w:i/>
          <w:noProof/>
        </w:rPr>
        <w:tab/>
        <w:t xml:space="preserve">Reductions of </w:t>
      </w:r>
      <w:r>
        <w:rPr>
          <w:i/>
          <w:iCs/>
          <w:noProof/>
        </w:rPr>
        <w:t xml:space="preserve">the </w:t>
      </w:r>
      <w:r>
        <w:rPr>
          <w:i/>
          <w:noProof/>
        </w:rPr>
        <w:t xml:space="preserve">monthly payments </w:t>
      </w:r>
    </w:p>
    <w:p>
      <w:pPr>
        <w:pStyle w:val="Text1"/>
        <w:spacing w:before="60"/>
        <w:ind w:left="1417"/>
      </w:pPr>
      <w:r>
        <w:t>In 2016, reductions for a net amount of EUR 11.6 million were made to the monthly payments effected to the Member States. The categories of corrections are detailed in the following points:</w:t>
      </w:r>
    </w:p>
    <w:p>
      <w:pPr>
        <w:pStyle w:val="Text1"/>
        <w:numPr>
          <w:ilvl w:val="0"/>
          <w:numId w:val="28"/>
        </w:numPr>
        <w:tabs>
          <w:tab w:val="clear" w:pos="1134"/>
          <w:tab w:val="num" w:pos="1700"/>
        </w:tabs>
        <w:spacing w:before="60"/>
        <w:ind w:left="1700"/>
        <w:rPr>
          <w:i/>
        </w:rPr>
      </w:pPr>
      <w:r>
        <w:rPr>
          <w:i/>
        </w:rPr>
        <w:t xml:space="preserve">reductions of </w:t>
      </w:r>
      <w:r>
        <w:rPr>
          <w:i/>
          <w:iCs/>
        </w:rPr>
        <w:t xml:space="preserve">the </w:t>
      </w:r>
      <w:r>
        <w:rPr>
          <w:i/>
        </w:rPr>
        <w:t>monthly payments as a result of the non-compliance with the payment deadlines</w:t>
      </w:r>
    </w:p>
    <w:p>
      <w:pPr>
        <w:pStyle w:val="Text1"/>
        <w:spacing w:before="60"/>
        <w:ind w:left="1700"/>
      </w:pPr>
      <w:r>
        <w:t>Pursuant to Article 40 of Regulation (EU) No 1306/2013, certain Member States did not always respect the payment deadlines fixed by the Union legislation for the payment of aids to beneficiaries.</w:t>
      </w:r>
    </w:p>
    <w:p>
      <w:pPr>
        <w:pStyle w:val="Text1"/>
        <w:spacing w:before="60"/>
        <w:ind w:left="1700"/>
      </w:pPr>
      <w:r>
        <w:t>The payment deadlines ensure an equal treatment between the beneficiaries in all Member States and avoid the situation in which delays of payments would result in aids no longer having the intended economic effect. In addition, the deadlines help budgetary discipline by ensuring that the expenditure which falls in each budget year is more easily forecast.</w:t>
      </w:r>
    </w:p>
    <w:p>
      <w:pPr>
        <w:pStyle w:val="Text1"/>
        <w:spacing w:before="60"/>
        <w:ind w:left="1700"/>
      </w:pPr>
      <w:r>
        <w:t>As a result of non-respecting the set payment deadlines, the Commission decided reductions for a total amount of EUR 7.1 million.</w:t>
      </w:r>
    </w:p>
    <w:p>
      <w:pPr>
        <w:pStyle w:val="Text1"/>
        <w:numPr>
          <w:ilvl w:val="0"/>
          <w:numId w:val="28"/>
        </w:numPr>
        <w:tabs>
          <w:tab w:val="clear" w:pos="1134"/>
          <w:tab w:val="num" w:pos="1700"/>
        </w:tabs>
        <w:spacing w:before="60"/>
        <w:ind w:left="1700"/>
        <w:rPr>
          <w:i/>
        </w:rPr>
      </w:pPr>
      <w:r>
        <w:rPr>
          <w:i/>
        </w:rPr>
        <w:t>reductions of the monthly payments as a result of overspending the financial ceilings</w:t>
      </w:r>
    </w:p>
    <w:p>
      <w:pPr>
        <w:pStyle w:val="Text1"/>
        <w:spacing w:before="60"/>
        <w:ind w:left="1700"/>
      </w:pPr>
      <w:r>
        <w:t>For some aid measures financed by the EAGF, financial ceilings are determined in the sectoral regulations. Expenditure exceeding these ceilings is considered as "non eligible expenditure" and has to be corrected.</w:t>
      </w:r>
    </w:p>
    <w:p>
      <w:pPr>
        <w:pStyle w:val="Text1"/>
        <w:ind w:left="1700"/>
      </w:pPr>
      <w:r>
        <w:t xml:space="preserve">These corrections lead to reductions of the monthly payments. As a result of overspending these financial ceilings, the Commission made financial corrections for a total amount of EUR 4.4 million. </w:t>
      </w:r>
    </w:p>
    <w:p>
      <w:pPr>
        <w:pStyle w:val="Text1"/>
        <w:numPr>
          <w:ilvl w:val="0"/>
          <w:numId w:val="28"/>
        </w:numPr>
        <w:tabs>
          <w:tab w:val="clear" w:pos="1134"/>
          <w:tab w:val="num" w:pos="1700"/>
        </w:tabs>
        <w:spacing w:before="60"/>
        <w:ind w:left="1700"/>
        <w:rPr>
          <w:i/>
        </w:rPr>
      </w:pPr>
      <w:r>
        <w:rPr>
          <w:i/>
        </w:rPr>
        <w:t>reductions of the monthly payments as a result of non-eligibility</w:t>
      </w:r>
    </w:p>
    <w:p>
      <w:pPr>
        <w:pStyle w:val="Text1"/>
        <w:spacing w:before="60"/>
        <w:ind w:left="1700"/>
      </w:pPr>
      <w:r>
        <w:t xml:space="preserve">For some measures expenditure paid after the deadline is not eligible and the Commission made financial corrections for a total amount of EUR 0.1 million. </w:t>
      </w:r>
    </w:p>
    <w:p>
      <w:pPr>
        <w:pStyle w:val="Text1"/>
        <w:rPr>
          <w:i/>
        </w:rPr>
      </w:pPr>
      <w:r>
        <w:rPr>
          <w:i/>
        </w:rPr>
        <w:t>b.</w:t>
      </w:r>
      <w:r>
        <w:rPr>
          <w:i/>
        </w:rPr>
        <w:tab/>
        <w:t xml:space="preserve">Suspensions of the monthly payments </w:t>
      </w:r>
    </w:p>
    <w:p>
      <w:pPr>
        <w:pStyle w:val="Text1"/>
        <w:spacing w:before="60"/>
        <w:ind w:left="1417"/>
      </w:pPr>
      <w:r>
        <w:t>Following Commission Decision C(2016)2050 of 7 April 2016, the Commission has suspended for Poland the monthly payments for expenditure effected monthly after 1 March 2016 for a total amount of EUR 9.4 million.</w:t>
      </w:r>
    </w:p>
    <w:p>
      <w:pPr>
        <w:pStyle w:val="Text1"/>
        <w:spacing w:before="60"/>
        <w:ind w:left="1417"/>
      </w:pPr>
      <w:r>
        <w:t>Following Commission Decision C(2016)4287 of 12 July 2016, the Commission has suspended for France the monthly payments for expenditure effected monthly after 1 July 2016 for a total amount of EUR 175.4 million.</w:t>
      </w:r>
    </w:p>
    <w:p>
      <w:pPr>
        <w:pStyle w:val="ManualHeading3"/>
        <w:rPr>
          <w:bCs/>
          <w:iCs/>
          <w:noProof/>
        </w:rPr>
      </w:pPr>
      <w:bookmarkStart w:id="45" w:name="_Toc483300919"/>
      <w:bookmarkStart w:id="46" w:name="_Toc484783908"/>
      <w:bookmarkEnd w:id="45"/>
      <w:r>
        <w:t>2.2.2.</w:t>
      </w:r>
      <w:r>
        <w:tab/>
      </w:r>
      <w:r>
        <w:rPr>
          <w:noProof/>
        </w:rPr>
        <w:t xml:space="preserve">Direct management expenditure </w:t>
      </w:r>
      <w:r>
        <w:rPr>
          <w:iCs/>
          <w:noProof/>
        </w:rPr>
        <w:t>by the Commission</w:t>
      </w:r>
      <w:bookmarkEnd w:id="44"/>
      <w:bookmarkEnd w:id="46"/>
    </w:p>
    <w:p>
      <w:pPr>
        <w:pStyle w:val="Text1"/>
      </w:pPr>
      <w:r>
        <w:t>In certain cases, the Commission makes payments directly for certain measures. These concern payments for actions for instance related to controls, to promotion actions and to information actions on the agricultural policy.</w:t>
      </w:r>
    </w:p>
    <w:p>
      <w:pPr>
        <w:pStyle w:val="Text1"/>
      </w:pPr>
      <w:r>
        <w:t>For details, please see annexes 3 and 4.</w:t>
      </w:r>
    </w:p>
    <w:p>
      <w:pPr>
        <w:pStyle w:val="ManualHeading1"/>
        <w:rPr>
          <w:noProof/>
        </w:rPr>
      </w:pPr>
      <w:bookmarkStart w:id="47" w:name="_Toc322938577"/>
      <w:bookmarkStart w:id="48" w:name="_Toc484783909"/>
      <w:r>
        <w:t>3.</w:t>
      </w:r>
      <w:r>
        <w:tab/>
      </w:r>
      <w:r>
        <w:rPr>
          <w:noProof/>
        </w:rPr>
        <w:t>THE IMPLEMENTATION OF THE 2016 EAGF BUDGET</w:t>
      </w:r>
      <w:bookmarkEnd w:id="47"/>
      <w:bookmarkEnd w:id="48"/>
      <w:r>
        <w:rPr>
          <w:noProof/>
          <w:color w:val="FF0000"/>
        </w:rPr>
        <w:t xml:space="preserve"> </w:t>
      </w:r>
    </w:p>
    <w:p>
      <w:pPr>
        <w:pStyle w:val="ManualHeading2"/>
        <w:rPr>
          <w:noProof/>
        </w:rPr>
      </w:pPr>
      <w:bookmarkStart w:id="49" w:name="_Toc322938579"/>
      <w:bookmarkStart w:id="50" w:name="_Toc484783910"/>
      <w:r>
        <w:t>3.1.</w:t>
      </w:r>
      <w:r>
        <w:tab/>
      </w:r>
      <w:r>
        <w:rPr>
          <w:noProof/>
        </w:rPr>
        <w:t>The uptake of the EAGF budget appropriations</w:t>
      </w:r>
      <w:bookmarkEnd w:id="49"/>
      <w:bookmarkEnd w:id="50"/>
      <w:r>
        <w:rPr>
          <w:noProof/>
        </w:rPr>
        <w:t xml:space="preserve"> </w:t>
      </w:r>
    </w:p>
    <w:p>
      <w:pPr>
        <w:pStyle w:val="Text1"/>
        <w:ind w:left="851"/>
      </w:pPr>
      <w:r>
        <w:t xml:space="preserve">The implementation of the budget amounted to EUR 44 285.1 million. This expenditure was funded by the budget's initial appropriations and by using the revenue assigned to policy area 05-Agriculture and Rural Development, composed of the entire amount of EUR 896.4 million carried over from 2015 and of a part of the assigned revenue collected in 2016 amounting to EUR 1 223.1 million out of a total EUR 2 527.1 million. </w:t>
      </w:r>
    </w:p>
    <w:p>
      <w:pPr>
        <w:pStyle w:val="Text1"/>
        <w:ind w:left="851"/>
      </w:pPr>
      <w:r>
        <w:t>Within policy area 05-Agriculture and Rural Development, the expenditure for market measures amounted to EUR 3 154.3 million and for direct payments to</w:t>
      </w:r>
      <w:r>
        <w:br/>
        <w:t xml:space="preserve">EUR 40 984.1 million. </w:t>
      </w:r>
    </w:p>
    <w:p>
      <w:pPr>
        <w:pStyle w:val="Text1"/>
        <w:ind w:left="851"/>
      </w:pPr>
      <w:r>
        <w:t xml:space="preserve">For details of the budget's implementation by policy area, please see annex 5. </w:t>
      </w:r>
    </w:p>
    <w:p>
      <w:pPr>
        <w:pStyle w:val="Text1"/>
        <w:ind w:left="851"/>
      </w:pPr>
      <w:r>
        <w:t>Annex 9 presents a breakdown of the expenditure on market measures, direct payments and audit of agricultural expenditure by item and by Member State.</w:t>
      </w:r>
    </w:p>
    <w:p>
      <w:pPr>
        <w:pStyle w:val="ManualHeading2"/>
        <w:rPr>
          <w:noProof/>
        </w:rPr>
      </w:pPr>
      <w:bookmarkStart w:id="51" w:name="_Toc322938580"/>
      <w:bookmarkStart w:id="52" w:name="_Toc484783911"/>
      <w:r>
        <w:t>3.2.</w:t>
      </w:r>
      <w:r>
        <w:tab/>
      </w:r>
      <w:r>
        <w:rPr>
          <w:noProof/>
        </w:rPr>
        <w:t>Comments on the implementation of 2016 EAGF budget</w:t>
      </w:r>
      <w:bookmarkEnd w:id="51"/>
      <w:bookmarkEnd w:id="52"/>
      <w:r>
        <w:rPr>
          <w:noProof/>
        </w:rPr>
        <w:t xml:space="preserve"> </w:t>
      </w:r>
    </w:p>
    <w:p>
      <w:pPr>
        <w:pStyle w:val="Text1"/>
        <w:ind w:left="851"/>
      </w:pPr>
      <w:r>
        <w:t>A brief commentary on the implementation of the 2016 EAGF budget's appropriations as well as on the use of the assigned revenue available in 2016 is presented hereafter based on details appearing in the attached tables:</w:t>
      </w:r>
    </w:p>
    <w:p>
      <w:pPr>
        <w:pStyle w:val="ListDash1"/>
        <w:rPr>
          <w:noProof/>
        </w:rPr>
      </w:pPr>
      <w:r>
        <w:rPr>
          <w:noProof/>
        </w:rPr>
        <w:t>Annex 5: Analysis of the execution of the 2016 EAGF budget. The expenditure incurred for each budget item appears in column 6. Columns 1, 2, 3 and 4 indicate, respectively, the source and amount of funding which originates either from voted appropriations or from transfers of assigned revenue and of voted appropriations from other items of the budget;</w:t>
      </w:r>
    </w:p>
    <w:p>
      <w:pPr>
        <w:pStyle w:val="ListDash1"/>
        <w:ind w:left="1135" w:hanging="284"/>
        <w:rPr>
          <w:noProof/>
        </w:rPr>
      </w:pPr>
      <w:r>
        <w:rPr>
          <w:noProof/>
        </w:rPr>
        <w:t>Annex 6: Assigned revenue (C4) collected and used in 2016;</w:t>
      </w:r>
    </w:p>
    <w:p>
      <w:pPr>
        <w:pStyle w:val="ListDash1"/>
        <w:rPr>
          <w:noProof/>
        </w:rPr>
      </w:pPr>
      <w:r>
        <w:rPr>
          <w:noProof/>
        </w:rPr>
        <w:t>Annex 7: Assigned revenue (C5) carried over from 2015 and used in 2016;</w:t>
      </w:r>
    </w:p>
    <w:p>
      <w:pPr>
        <w:pStyle w:val="ListDash1"/>
        <w:rPr>
          <w:noProof/>
        </w:rPr>
      </w:pPr>
      <w:r>
        <w:rPr>
          <w:noProof/>
        </w:rPr>
        <w:t>Annex 9: Expenditure by Member State and by item.</w:t>
      </w:r>
    </w:p>
    <w:p>
      <w:pPr>
        <w:pStyle w:val="Text1"/>
        <w:ind w:left="851"/>
      </w:pPr>
      <w:r>
        <w:t>This presentation is made at the level of chapter, article and item of the agricultural budget.</w:t>
      </w:r>
    </w:p>
    <w:p>
      <w:pPr>
        <w:pStyle w:val="ManualHeading3"/>
        <w:rPr>
          <w:noProof/>
        </w:rPr>
      </w:pPr>
      <w:bookmarkStart w:id="53" w:name="_Toc322938581"/>
      <w:bookmarkStart w:id="54" w:name="_Toc484783912"/>
      <w:r>
        <w:t>3.2.1.</w:t>
      </w:r>
      <w:r>
        <w:tab/>
      </w:r>
      <w:r>
        <w:rPr>
          <w:noProof/>
        </w:rPr>
        <w:t>Chapter 05 02: Interventions in agricultural markets</w:t>
      </w:r>
      <w:bookmarkEnd w:id="53"/>
      <w:bookmarkEnd w:id="54"/>
      <w:r>
        <w:rPr>
          <w:noProof/>
        </w:rPr>
        <w:t xml:space="preserve"> </w:t>
      </w:r>
    </w:p>
    <w:p>
      <w:pPr>
        <w:pStyle w:val="ManualHeading4"/>
        <w:rPr>
          <w:noProof/>
        </w:rPr>
      </w:pPr>
      <w:bookmarkStart w:id="55" w:name="_Toc322938582"/>
      <w:bookmarkStart w:id="56" w:name="_Toc484783913"/>
      <w:r>
        <w:t>3.2.1.1.</w:t>
      </w:r>
      <w:r>
        <w:tab/>
      </w:r>
      <w:r>
        <w:rPr>
          <w:noProof/>
        </w:rPr>
        <w:t>Introduction</w:t>
      </w:r>
      <w:bookmarkEnd w:id="55"/>
      <w:bookmarkEnd w:id="56"/>
    </w:p>
    <w:p>
      <w:pPr>
        <w:pStyle w:val="Text1"/>
        <w:ind w:left="851"/>
      </w:pPr>
      <w:r>
        <w:t>Total payments for this chapter in 2016 amounted to EUR 3 154.3 million and they were funded by the voted appropriations amounting to EUR 2 673.0 million and by assigned revenue amounting to EUR 481.3 million. The latter was used to cover the expenditure incurred in the fruits and vegetables products sector (for details, see point 3.2.1.2). The remaining balance of assigned revenue collected in 2016 amounted to EUR 118.7 million and it was carried over to 2017. In items where the needs exceeded the budgetary appropriations, the additional expenditure was covered through transfers from other items of the budget. For the market measures where the budget's appropriations were under-spent, the resulting available appropriations were transferred to other items of the budget to cover additional expenditure as needed.</w:t>
      </w:r>
    </w:p>
    <w:p>
      <w:pPr>
        <w:pStyle w:val="Text1"/>
      </w:pPr>
      <w:r>
        <w:t>Annex 5 presents these details at the level of each budget item.</w:t>
      </w:r>
      <w:r>
        <w:rPr>
          <w:color w:val="000000"/>
        </w:rPr>
        <w:t xml:space="preserve"> In case the execution was close to the foreseen level in the 2016 budget, no further remarks are made.</w:t>
      </w:r>
    </w:p>
    <w:p>
      <w:pPr>
        <w:pStyle w:val="ManualHeading4"/>
        <w:rPr>
          <w:noProof/>
        </w:rPr>
      </w:pPr>
      <w:bookmarkStart w:id="57" w:name="_Toc322938589"/>
      <w:bookmarkStart w:id="58" w:name="_Toc484783914"/>
      <w:r>
        <w:t>3.2.1.2.</w:t>
      </w:r>
      <w:r>
        <w:tab/>
      </w:r>
      <w:r>
        <w:rPr>
          <w:noProof/>
        </w:rPr>
        <w:t>Article 05 02 08: Fruits and vegetables</w:t>
      </w:r>
      <w:bookmarkEnd w:id="57"/>
      <w:bookmarkEnd w:id="58"/>
      <w:r>
        <w:rPr>
          <w:noProof/>
        </w:rPr>
        <w:t xml:space="preserve"> </w:t>
      </w:r>
    </w:p>
    <w:p>
      <w:pPr>
        <w:spacing w:before="120" w:after="120"/>
        <w:ind w:left="851"/>
        <w:jc w:val="both"/>
        <w:rPr>
          <w:noProof/>
          <w:szCs w:val="20"/>
        </w:rPr>
      </w:pPr>
      <w:r>
        <w:rPr>
          <w:noProof/>
        </w:rPr>
        <w:t xml:space="preserve">The 2016 budget foresaw total available appropriations amounting to EUR 1 211.8 million to cover the needs of all the measures for this sector. The Budgetary Authority voted appropriations of EUR 611.8 million as it took into account the estimated revenue assigned to this sector which amounted to EUR 600 million. Moreover, EUR 79.6 million was transferred from other parts of the budget. The expenditure incurred by Member States in 2016 amounted to EUR 1 172.7 million. </w:t>
      </w:r>
      <w:r>
        <w:rPr>
          <w:noProof/>
          <w:lang w:eastAsia="en-US"/>
        </w:rPr>
        <w:t>The balance of the unused assigned revenue of EUR 118.7 million was carried over to the budget year 2017 to cover the needs of that year.</w:t>
      </w:r>
      <w:r>
        <w:rPr>
          <w:noProof/>
          <w:szCs w:val="20"/>
        </w:rPr>
        <w:t xml:space="preserve"> </w:t>
      </w:r>
    </w:p>
    <w:p>
      <w:pPr>
        <w:spacing w:after="120"/>
        <w:ind w:left="840" w:right="-47"/>
        <w:jc w:val="both"/>
        <w:rPr>
          <w:noProof/>
          <w:szCs w:val="20"/>
        </w:rPr>
      </w:pPr>
      <w:r>
        <w:rPr>
          <w:noProof/>
          <w:szCs w:val="20"/>
          <w:lang w:eastAsia="en-US"/>
        </w:rPr>
        <w:t xml:space="preserve">In particular, the total needs in the 2016 budget for the operational funds for producer organisations were estimated at EUR 898 million. The expenditure incurred by Member States amounted to EUR 862.5 million and it was funded by voted appropriations amounting to EUR 381.2 million and by assigned revenue of EUR 481.3 million. This expenditure was lower than the 2016 budget’s forecasted needs both because of </w:t>
      </w:r>
      <w:r>
        <w:rPr>
          <w:noProof/>
          <w:lang w:eastAsia="en-US"/>
        </w:rPr>
        <w:t xml:space="preserve">the lower expenditure incurred for the temporary exceptional measures for producers that are members of producer organisations and of the lower expenditure for the National Financial Assistance. </w:t>
      </w:r>
    </w:p>
    <w:p>
      <w:pPr>
        <w:spacing w:after="120"/>
        <w:ind w:left="840" w:right="-47"/>
        <w:jc w:val="both"/>
        <w:rPr>
          <w:noProof/>
          <w:szCs w:val="20"/>
          <w:lang w:eastAsia="en-US"/>
        </w:rPr>
      </w:pPr>
      <w:r>
        <w:rPr>
          <w:noProof/>
          <w:szCs w:val="20"/>
          <w:lang w:eastAsia="en-US"/>
        </w:rPr>
        <w:t>Furthermore, compared to the forecasted needs in the 2016 budget, lower expenditure was incurred by Member States for the aid to producer groups for preliminary recognition amounting to EUR 71.4 million as this scheme is phasing out. Expenditure was also lower for the school fruit scheme amounting to EUR 109.9 million, particularly</w:t>
      </w:r>
      <w:r>
        <w:rPr>
          <w:noProof/>
          <w:lang w:eastAsia="en-US"/>
        </w:rPr>
        <w:t xml:space="preserve"> for payments related to the 2015/2016 school year.</w:t>
      </w:r>
    </w:p>
    <w:p>
      <w:pPr>
        <w:spacing w:after="240"/>
        <w:ind w:left="840" w:right="-47"/>
        <w:jc w:val="both"/>
        <w:rPr>
          <w:noProof/>
        </w:rPr>
      </w:pPr>
      <w:r>
        <w:rPr>
          <w:noProof/>
          <w:lang w:eastAsia="en-US"/>
        </w:rPr>
        <w:t xml:space="preserve">Finally, the forecasted needs in the 2016 budget for other measures, including the temporary exceptional measures for producers who are not members of producer organisations in view of the prolongation of the Russian ban on imports amounted to EUR 77.8 million. However Member States incurred much higher expenditure amounting to EUR 129.0 million compared to the initially estimated needs. </w:t>
      </w:r>
    </w:p>
    <w:p>
      <w:pPr>
        <w:pStyle w:val="ManualHeading4"/>
        <w:rPr>
          <w:noProof/>
        </w:rPr>
      </w:pPr>
      <w:bookmarkStart w:id="59" w:name="_Toc322938590"/>
      <w:bookmarkStart w:id="60" w:name="_Toc484783915"/>
      <w:r>
        <w:t>3.2.1.3.</w:t>
      </w:r>
      <w:r>
        <w:tab/>
      </w:r>
      <w:r>
        <w:rPr>
          <w:noProof/>
        </w:rPr>
        <w:t>Article 05 02 09: Products of the wine-growing sector</w:t>
      </w:r>
      <w:bookmarkEnd w:id="59"/>
      <w:bookmarkEnd w:id="60"/>
      <w:r>
        <w:rPr>
          <w:noProof/>
        </w:rPr>
        <w:t xml:space="preserve"> </w:t>
      </w:r>
    </w:p>
    <w:p>
      <w:pPr>
        <w:spacing w:before="120" w:after="120"/>
        <w:ind w:left="840" w:right="-47"/>
        <w:jc w:val="both"/>
        <w:rPr>
          <w:noProof/>
        </w:rPr>
      </w:pPr>
      <w:r>
        <w:rPr>
          <w:noProof/>
        </w:rPr>
        <w:t xml:space="preserve">The 2016 budget foresaw total available appropriations amounting to EUR 1 076 million to cover the needs of all the measures for this sector. </w:t>
      </w:r>
      <w:r>
        <w:rPr>
          <w:noProof/>
          <w:lang w:eastAsia="en-US"/>
        </w:rPr>
        <w:t>The under-execution of EUR 48.9 million, compared to the forecasted 2016 budget needs for the national support programmes, was due to the lower expenditure incurred by some Member States for the promotion, restructuring and investment components of their national wine programmes.</w:t>
      </w:r>
    </w:p>
    <w:p>
      <w:pPr>
        <w:pStyle w:val="ManualHeading4"/>
        <w:rPr>
          <w:noProof/>
        </w:rPr>
      </w:pPr>
      <w:bookmarkStart w:id="61" w:name="_Toc322938591"/>
      <w:bookmarkStart w:id="62" w:name="_Toc484783916"/>
      <w:r>
        <w:t>3.2.1.4.</w:t>
      </w:r>
      <w:r>
        <w:tab/>
      </w:r>
      <w:r>
        <w:rPr>
          <w:noProof/>
        </w:rPr>
        <w:t>Article 05 02 10: Promotion</w:t>
      </w:r>
      <w:bookmarkEnd w:id="61"/>
      <w:bookmarkEnd w:id="62"/>
    </w:p>
    <w:p>
      <w:pPr>
        <w:pStyle w:val="Text1"/>
      </w:pPr>
      <w:r>
        <w:t xml:space="preserve">As regards promotion measures-payments by Member States, the under-execution of EUR 14.4 million compared to the forecasted 2016 budget needs was due to the lower expenditure incurred by some Member States for their promotion programmes which are approved by the Commission compared to the expenditure foreseen in the 2016 budget for these programmes. </w:t>
      </w:r>
    </w:p>
    <w:p>
      <w:pPr>
        <w:pStyle w:val="Text1"/>
      </w:pPr>
      <w:r>
        <w:t xml:space="preserve">As regards direct payments made by the European Union, the Commission committed appropriations of around EUR 18.5 million which was EUR 2.5 million higher than the amount foreseen in the 2016 budget for these payments. </w:t>
      </w:r>
    </w:p>
    <w:p>
      <w:pPr>
        <w:pStyle w:val="ManualHeading4"/>
        <w:rPr>
          <w:noProof/>
        </w:rPr>
      </w:pPr>
      <w:bookmarkStart w:id="63" w:name="_Toc322938592"/>
      <w:bookmarkStart w:id="64" w:name="_Toc484783917"/>
      <w:r>
        <w:t>3.2.1.5.</w:t>
      </w:r>
      <w:r>
        <w:tab/>
      </w:r>
      <w:r>
        <w:rPr>
          <w:noProof/>
        </w:rPr>
        <w:t>Article 05 02 11: Other plant products/measures</w:t>
      </w:r>
      <w:bookmarkEnd w:id="63"/>
      <w:bookmarkEnd w:id="64"/>
    </w:p>
    <w:p>
      <w:pPr>
        <w:pStyle w:val="Tiret1"/>
        <w:numPr>
          <w:ilvl w:val="0"/>
          <w:numId w:val="0"/>
        </w:numPr>
        <w:ind w:left="850"/>
        <w:rPr>
          <w:noProof/>
        </w:rPr>
      </w:pPr>
      <w:r>
        <w:rPr>
          <w:noProof/>
        </w:rPr>
        <w:t xml:space="preserve">For this budget article, the appropriations were over-executed by EUR 2.6 million compared to the forecasted 2016 budget needs of EUR 239.4 million; this over-execution was due to a minor shift in a Member State during the financial year, from POSEI - Direct Payments programmes towards POSEI – market measures programmes. </w:t>
      </w:r>
    </w:p>
    <w:p>
      <w:pPr>
        <w:pStyle w:val="ManualHeading4"/>
        <w:rPr>
          <w:noProof/>
        </w:rPr>
      </w:pPr>
      <w:bookmarkStart w:id="65" w:name="_Toc322938593"/>
      <w:bookmarkStart w:id="66" w:name="_Toc484783918"/>
      <w:r>
        <w:t>3.2.1.6.</w:t>
      </w:r>
      <w:r>
        <w:tab/>
      </w:r>
      <w:r>
        <w:rPr>
          <w:noProof/>
        </w:rPr>
        <w:t>Article 05 02 12: Milk and milk products</w:t>
      </w:r>
      <w:bookmarkEnd w:id="65"/>
      <w:bookmarkEnd w:id="66"/>
      <w:r>
        <w:rPr>
          <w:noProof/>
        </w:rPr>
        <w:t xml:space="preserve"> </w:t>
      </w:r>
    </w:p>
    <w:p>
      <w:pPr>
        <w:spacing w:before="120" w:after="120"/>
        <w:ind w:left="851"/>
        <w:jc w:val="both"/>
        <w:rPr>
          <w:noProof/>
          <w:szCs w:val="20"/>
          <w:lang w:eastAsia="en-US"/>
        </w:rPr>
      </w:pPr>
      <w:r>
        <w:rPr>
          <w:noProof/>
        </w:rPr>
        <w:t xml:space="preserve">The 2016 budget foresaw total available appropriations amounting to EUR 537.1 million to cover the needs of all the measures for this sector. Expenditure incurred by Member States in 2016 amounted to EUR 406.6 million. All the schemes funded under this article were under-implemented compared to the estimated needs foreseen in the 2016 budget. </w:t>
      </w:r>
    </w:p>
    <w:p>
      <w:pPr>
        <w:spacing w:after="240"/>
        <w:ind w:left="840" w:right="-47"/>
        <w:jc w:val="both"/>
        <w:rPr>
          <w:noProof/>
          <w:lang w:eastAsia="en-US"/>
        </w:rPr>
      </w:pPr>
      <w:r>
        <w:rPr>
          <w:noProof/>
          <w:lang w:eastAsia="de-DE"/>
        </w:rPr>
        <w:t xml:space="preserve">In particular, the 2016 needs for </w:t>
      </w:r>
      <w:r>
        <w:rPr>
          <w:noProof/>
          <w:lang w:eastAsia="en-US"/>
        </w:rPr>
        <w:t xml:space="preserve">storage measures for skimmed milk powder (SMP) </w:t>
      </w:r>
      <w:r>
        <w:rPr>
          <w:noProof/>
          <w:szCs w:val="20"/>
          <w:lang w:eastAsia="en-US"/>
        </w:rPr>
        <w:t xml:space="preserve">were estimated at EUR 17.0 million and the expenditure incurred amounted to EUR 9.1 million. </w:t>
      </w:r>
      <w:r>
        <w:rPr>
          <w:noProof/>
          <w:lang w:eastAsia="en-US"/>
        </w:rPr>
        <w:t xml:space="preserve">Total purchases of 334 551 tonnes were made, whereof 78 525 tonnes via tender and the expenditure incurred for technical and financial costs amounted to EUR 7.1 million. Furthermore, expenditure amounting to EUR 2.0 million was incurred for the private storage of SMP, with lower intake than initially foreseen. </w:t>
      </w:r>
    </w:p>
    <w:p>
      <w:pPr>
        <w:spacing w:after="240"/>
        <w:ind w:left="840" w:right="-47"/>
        <w:jc w:val="both"/>
        <w:rPr>
          <w:noProof/>
          <w:szCs w:val="20"/>
          <w:lang w:eastAsia="en-US"/>
        </w:rPr>
      </w:pPr>
      <w:r>
        <w:rPr>
          <w:noProof/>
          <w:lang w:eastAsia="de-DE"/>
        </w:rPr>
        <w:t xml:space="preserve">In addition, the 2016 needs for </w:t>
      </w:r>
      <w:r>
        <w:rPr>
          <w:noProof/>
          <w:lang w:eastAsia="en-US"/>
        </w:rPr>
        <w:t xml:space="preserve">storage measures for butter </w:t>
      </w:r>
      <w:r>
        <w:rPr>
          <w:noProof/>
          <w:szCs w:val="20"/>
          <w:lang w:eastAsia="en-US"/>
        </w:rPr>
        <w:t>were estimated at EUR 15.0 million while the expenditure incurred amounted to EUR 9.1 million due to lower intake than initially foreseen.</w:t>
      </w:r>
    </w:p>
    <w:p>
      <w:pPr>
        <w:spacing w:after="240"/>
        <w:ind w:left="840" w:right="-47"/>
        <w:jc w:val="both"/>
        <w:rPr>
          <w:noProof/>
          <w:lang w:eastAsia="en-US"/>
        </w:rPr>
      </w:pPr>
      <w:r>
        <w:rPr>
          <w:noProof/>
          <w:lang w:eastAsia="en-US"/>
        </w:rPr>
        <w:t xml:space="preserve">For the school milk scheme, Member States incurred expenditure amounting to EUR 64.4 million which was lower than the forecasted 2016 needs of EUR 75 million because of lower expenditure for a part of the 2015/2016 school year. </w:t>
      </w:r>
    </w:p>
    <w:p>
      <w:pPr>
        <w:spacing w:after="240"/>
        <w:ind w:left="840" w:right="-47"/>
        <w:jc w:val="both"/>
        <w:rPr>
          <w:noProof/>
        </w:rPr>
      </w:pPr>
      <w:r>
        <w:rPr>
          <w:noProof/>
          <w:lang w:eastAsia="en-US"/>
        </w:rPr>
        <w:t>Finally, the 2016 needs for other measures were estimated at EUR 430.1 million. Expenditure incurred amounted to EUR 324 million. These measures included the temporary exceptional aid granted to all Member States, initially budgeted under this item for a total amount of EUR 420 million</w:t>
      </w:r>
      <w:r>
        <w:rPr>
          <w:rStyle w:val="FootnoteReference"/>
          <w:noProof/>
          <w:lang w:eastAsia="en-US"/>
        </w:rPr>
        <w:footnoteReference w:id="6"/>
      </w:r>
      <w:r>
        <w:rPr>
          <w:noProof/>
          <w:lang w:eastAsia="en-US"/>
        </w:rPr>
        <w:t>. However, several Member States decided to use the option to spend part of their envelope for supporting other livestock sectors. The detailed expenditure is as follows: for milk products EUR 308.3 million, for beef meat EUR 29.6 million (05 02 13 99), for sheep and goat meat EUR 1.8 million (05 02 14 99) and for pigmeat EUR 74.9 million (05 02 15 99). The under-execution for the total temporary exceptional aid amounted thus to EUR 5.4 million. The other measures for dairy products also include private storage for cheese for which the expenditure amounted to EUR 3.4 million, as well as an amount of EUR 12.2 million already paid for the exceptional adjustment aid decided in autumn 2016</w:t>
      </w:r>
      <w:r>
        <w:rPr>
          <w:rStyle w:val="FootnoteReference"/>
          <w:noProof/>
          <w:lang w:eastAsia="en-US"/>
        </w:rPr>
        <w:footnoteReference w:id="7"/>
      </w:r>
      <w:r>
        <w:rPr>
          <w:noProof/>
          <w:lang w:eastAsia="en-US"/>
        </w:rPr>
        <w:t xml:space="preserve">, and for which the bulk of payments will occur in 2017. </w:t>
      </w:r>
    </w:p>
    <w:p>
      <w:pPr>
        <w:pStyle w:val="ManualHeading4"/>
        <w:rPr>
          <w:noProof/>
        </w:rPr>
      </w:pPr>
      <w:bookmarkStart w:id="67" w:name="_Toc322938595"/>
      <w:bookmarkStart w:id="68" w:name="_Toc484783919"/>
      <w:r>
        <w:t>3.2.1.7.</w:t>
      </w:r>
      <w:r>
        <w:tab/>
      </w:r>
      <w:r>
        <w:rPr>
          <w:noProof/>
        </w:rPr>
        <w:t>Article 05 02 15: Pig meat, eggs and poultry, bee-keeping and other animal products</w:t>
      </w:r>
      <w:bookmarkEnd w:id="67"/>
      <w:bookmarkEnd w:id="68"/>
    </w:p>
    <w:p>
      <w:pPr>
        <w:spacing w:before="120" w:after="120"/>
        <w:ind w:left="851"/>
        <w:jc w:val="both"/>
        <w:rPr>
          <w:b/>
          <w:noProof/>
          <w:szCs w:val="20"/>
          <w:lang w:eastAsia="en-US"/>
        </w:rPr>
      </w:pPr>
      <w:r>
        <w:rPr>
          <w:noProof/>
        </w:rPr>
        <w:t xml:space="preserve">The 2016 budget foresaw total available appropriations amounting to EUR 64.0 million to cover the needs of all the measures for this sector. However, the expenditure incurred by Member States in 2016 amounted to EUR 140.6 million </w:t>
      </w:r>
      <w:r>
        <w:rPr>
          <w:noProof/>
          <w:szCs w:val="20"/>
          <w:lang w:eastAsia="en-US"/>
        </w:rPr>
        <w:t>and it was funded both by the voted appropriations and by transfers of appropriations amounting to EUR 76.6 million from other areas of the 2016 budget.</w:t>
      </w:r>
    </w:p>
    <w:p>
      <w:pPr>
        <w:spacing w:before="120" w:after="120"/>
        <w:ind w:left="840" w:right="-47"/>
        <w:jc w:val="both"/>
        <w:rPr>
          <w:noProof/>
          <w:lang w:eastAsia="de-DE"/>
        </w:rPr>
      </w:pPr>
      <w:r>
        <w:rPr>
          <w:noProof/>
          <w:lang w:eastAsia="de-DE"/>
        </w:rPr>
        <w:t>The 2016 needs for private storage of pigmeat were estimated at EUR 32.0 million and the expenditure incurred amounted to EUR 30.8 million.</w:t>
      </w:r>
    </w:p>
    <w:p>
      <w:pPr>
        <w:spacing w:before="120" w:after="120"/>
        <w:ind w:left="840" w:right="-47"/>
        <w:jc w:val="both"/>
        <w:rPr>
          <w:noProof/>
          <w:highlight w:val="yellow"/>
          <w:lang w:eastAsia="de-DE"/>
        </w:rPr>
      </w:pPr>
      <w:r>
        <w:rPr>
          <w:noProof/>
          <w:lang w:eastAsia="de-DE"/>
        </w:rPr>
        <w:t>The expenditure incurred for specific aid for beekeeping amounted to EUR 34.5 million compared to forecasted needs of EUR 32.0 million included in the 2016 budget. This difference is due to late payments by one Member State for its annual beekeeping programme which was declared in 2016 instead of 2015.</w:t>
      </w:r>
    </w:p>
    <w:p>
      <w:pPr>
        <w:spacing w:before="120" w:after="120"/>
        <w:ind w:left="840" w:right="-47"/>
        <w:jc w:val="both"/>
        <w:rPr>
          <w:i/>
          <w:noProof/>
          <w:lang w:eastAsia="de-DE"/>
        </w:rPr>
      </w:pPr>
      <w:r>
        <w:rPr>
          <w:noProof/>
          <w:lang w:eastAsia="de-DE"/>
        </w:rPr>
        <w:t xml:space="preserve">Furthermore, due to the outbreak of highly pathogenic avian influenza the expenditure incurred for the exceptional support measures for the sector of eggs and poultry in Italy, under Commission Implementing Regulation (EU) 2016/760, amounted to EUR 0.3 million, while no expenditure was foreseen on this budgetline in the 2016 budget. An amount of EUR 74.9 million was also paid for the temporary exceptional aid for pigmeat, initially budgeted under Article 05 02 12 as explained above. </w:t>
      </w:r>
    </w:p>
    <w:p>
      <w:pPr>
        <w:pStyle w:val="ManualHeading3"/>
        <w:rPr>
          <w:noProof/>
        </w:rPr>
      </w:pPr>
      <w:bookmarkStart w:id="69" w:name="_Toc483300932"/>
      <w:bookmarkStart w:id="70" w:name="_Toc322938596"/>
      <w:bookmarkStart w:id="71" w:name="_Toc484783920"/>
      <w:bookmarkEnd w:id="69"/>
      <w:r>
        <w:t>3.2.2.</w:t>
      </w:r>
      <w:r>
        <w:tab/>
      </w:r>
      <w:r>
        <w:rPr>
          <w:noProof/>
        </w:rPr>
        <w:t xml:space="preserve">Chapter 05 03: Direct </w:t>
      </w:r>
      <w:bookmarkEnd w:id="70"/>
      <w:r>
        <w:rPr>
          <w:noProof/>
        </w:rPr>
        <w:t>payments</w:t>
      </w:r>
      <w:bookmarkEnd w:id="71"/>
      <w:r>
        <w:rPr>
          <w:noProof/>
        </w:rPr>
        <w:t xml:space="preserve"> </w:t>
      </w:r>
    </w:p>
    <w:p>
      <w:pPr>
        <w:pStyle w:val="Text1"/>
        <w:ind w:left="851"/>
      </w:pPr>
      <w:r>
        <w:t xml:space="preserve">Financial year 2016 was the first year of implementation of all the schemes under the reformed structure of direct payments as decided in the 2013 CAP reform. Total payments for this chapter of the 2016 budget amounted to EUR 40 984.1 million. This includes an amount of EUR 395.4 million paid for the reimbursement of direct payments to farmers in relation to financial discipline, financed from EUR 409.8 million carried over from 2015 (for details, see point 3.2.2.4). The rest of the payments made, EUR 40 588.8 million, was funded by voted appropriations amounting to EUR 38 950.6 million and by assigned revenue amounting to EUR 1 638.2 million. The latter was used to cover the expenditure incurred for the basic payment scheme (for details, see point 3.2.2.1). The unused voted appropriations amounted to EUR 495.1 million as evidenced by the difference between the voted appropriations of EUR 38 950.6 million used for the reimbursement to Member States and the initial voted appropriations of EUR 39 445.7 million included in the 2016 budget. These unused voted appropriations were decreased by a transfer of voted appropriations of EUR 52.8 million to other parts of the EAGF budget. Moreover, the unused amount of the crisis reserve (EUR 441.6 million), which was established from the proposed financial discipline in 2016, was transferred to budget article 05 03 09 so that the amount of the effectively applied financial discipline (EUR 433.1 million) could be carried over to 2017 for the reimbursement to the Member States concerned (see point 3.2.2.5). The remaining balance of assigned revenue collected in 2016 amounted to EUR 1 185.3 million and was carried over to 2017. In items where the needs exceeded the budget’s voted appropriations, the additional expenditure was covered through transfers of voted appropriations from other items of the budget or of assigned revenue. Equally, for direct payments where the budget's appropriations were under-spent, the resulting available appropriations were transferred to other items of the budget in order to cover additional expenditure as needed. There were in particular transfers from various other direct payments schemes to cover the expenditure of the small farmers scheme which in 2016 was budgetted with a p.m. given that needs for this scheme at that stage still were unknown. </w:t>
      </w:r>
    </w:p>
    <w:p>
      <w:pPr>
        <w:pStyle w:val="Text1"/>
        <w:ind w:left="851"/>
      </w:pPr>
      <w:r>
        <w:t>Annex 5 presents these details at the level of each budget item.</w:t>
      </w:r>
    </w:p>
    <w:p>
      <w:pPr>
        <w:pStyle w:val="ManualHeading4"/>
        <w:rPr>
          <w:noProof/>
        </w:rPr>
      </w:pPr>
      <w:bookmarkStart w:id="72" w:name="_Toc322938597"/>
      <w:bookmarkStart w:id="73" w:name="_Toc484783921"/>
      <w:r>
        <w:t>3.2.2.1.</w:t>
      </w:r>
      <w:r>
        <w:tab/>
      </w:r>
      <w:r>
        <w:rPr>
          <w:noProof/>
        </w:rPr>
        <w:t xml:space="preserve">Article 05 03 01: Decoupled direct </w:t>
      </w:r>
      <w:bookmarkEnd w:id="72"/>
      <w:r>
        <w:rPr>
          <w:noProof/>
        </w:rPr>
        <w:t>payments</w:t>
      </w:r>
      <w:bookmarkEnd w:id="73"/>
    </w:p>
    <w:p>
      <w:pPr>
        <w:spacing w:before="120" w:after="120"/>
        <w:ind w:left="840"/>
        <w:jc w:val="both"/>
        <w:rPr>
          <w:rFonts w:eastAsia="MS PGothic"/>
          <w:noProof/>
          <w:lang w:eastAsia="en-US"/>
        </w:rPr>
      </w:pPr>
      <w:bookmarkStart w:id="74" w:name="_Toc322938598"/>
      <w:r>
        <w:rPr>
          <w:rFonts w:eastAsia="MS PGothic"/>
          <w:noProof/>
          <w:lang w:eastAsia="en-US"/>
        </w:rPr>
        <w:t xml:space="preserve">The main schemes funded by this article's appropriations are the single area payment scheme (SAPS), the basic payment scheme (BPS), the payment for agricultural practices beneficial for the climate and the environment, the redistributive payment and the payment for young farmers. All aid schemes in this article are paid independently of production but on certain conditions, e.g. the respect of cross-compliance. The 2016 budgetary needs for decoupled direct payments amounted to EUR 36 649.2 million for which the Budgetary Authority voted appropriations amounting to EUR 34 269.2 million after taking into consideration assigned revenue amounting to EUR 2 380 million. The expenditure incurred by Member States for all schemes in this article amounted to EUR 35 204.1 million, thus, exceeding the voted appropriations by EUR 934.9 million. This latter amount of expenditure declared was covered by assigned revenue. The </w:t>
      </w:r>
      <w:r>
        <w:rPr>
          <w:noProof/>
          <w:lang w:eastAsia="en-US"/>
        </w:rPr>
        <w:t xml:space="preserve">expenditure incurred by Member States for decoupled direct payments corresponded to 96.1% of the needs foreseen in the 2016 budget for these schemes. This under-execution was partly a logical consequence of the fact that a part of the expenditure for various schemes was replaced by expenditure for the small farmers scheme under 05 03 02, in line with the above mentioned transfers of appropriations to the scheme. Moreover, the under-execution noted for several schemes was also linked to a delay in execution in some Member States which still incurred expenditure for some lines after the end of financial year 2016. </w:t>
      </w:r>
    </w:p>
    <w:p>
      <w:pPr>
        <w:spacing w:after="240"/>
        <w:ind w:left="840"/>
        <w:jc w:val="both"/>
        <w:rPr>
          <w:rFonts w:eastAsia="MS PGothic"/>
          <w:noProof/>
          <w:lang w:eastAsia="en-US"/>
        </w:rPr>
      </w:pPr>
      <w:r>
        <w:rPr>
          <w:rFonts w:eastAsia="MS PGothic"/>
          <w:noProof/>
          <w:lang w:eastAsia="en-US"/>
        </w:rPr>
        <w:t xml:space="preserve">As regards the newly introduced BPS, the 2016 budgetary needs were estimated at EUR 18 307 million. In order to cover these needs, the Budgetary Authority voted appropriations amounting to EUR 15 927 million after taking into account the revenue of EUR 2 380 million assigned to this scheme. </w:t>
      </w:r>
      <w:r>
        <w:rPr>
          <w:noProof/>
          <w:lang w:eastAsia="en-US"/>
        </w:rPr>
        <w:t xml:space="preserve">The expenditure declared by Member States for this scheme was around EUR 17 858 million and covered 98% of the estimated needs. </w:t>
      </w:r>
    </w:p>
    <w:p>
      <w:pPr>
        <w:spacing w:before="120" w:after="120"/>
        <w:ind w:left="840"/>
        <w:jc w:val="both"/>
        <w:rPr>
          <w:rFonts w:eastAsia="MS PGothic"/>
          <w:i/>
          <w:noProof/>
          <w:lang w:eastAsia="en-US"/>
        </w:rPr>
      </w:pPr>
      <w:r>
        <w:rPr>
          <w:rFonts w:eastAsia="MS PGothic"/>
          <w:noProof/>
          <w:lang w:eastAsia="en-US"/>
        </w:rPr>
        <w:t xml:space="preserve">As regards SAPS, the appropriations in the 2016 budget amounted to EUR 4 237 million significantly down from 2016 due to the new structure of direct payments. Member States incurred payments amounting to EUR 4 032 million, thus covering 95% of the estimated needs. </w:t>
      </w:r>
    </w:p>
    <w:p>
      <w:pPr>
        <w:spacing w:before="120" w:after="120"/>
        <w:ind w:left="840"/>
        <w:jc w:val="both"/>
        <w:rPr>
          <w:rFonts w:eastAsia="MS PGothic"/>
          <w:noProof/>
          <w:lang w:eastAsia="en-US"/>
        </w:rPr>
      </w:pPr>
      <w:r>
        <w:rPr>
          <w:rFonts w:eastAsia="MS PGothic"/>
          <w:noProof/>
          <w:lang w:eastAsia="en-US"/>
        </w:rPr>
        <w:t xml:space="preserve">As regards the new payment for agricultural practices beneficial for the climate and the environment, the so-called greening, the expenditure incurred by Member States amounted to EUR 11 716 million whereas appropriations in the 2016 budget were at EUR 12 239 million giving an execution rate of 96%. </w:t>
      </w:r>
    </w:p>
    <w:p>
      <w:pPr>
        <w:spacing w:before="120" w:after="120"/>
        <w:ind w:left="840"/>
        <w:jc w:val="both"/>
        <w:rPr>
          <w:rFonts w:eastAsia="MS PGothic"/>
          <w:noProof/>
          <w:lang w:eastAsia="en-US"/>
        </w:rPr>
      </w:pPr>
      <w:r>
        <w:rPr>
          <w:rFonts w:eastAsia="MS PGothic"/>
          <w:noProof/>
          <w:lang w:eastAsia="en-US"/>
        </w:rPr>
        <w:t xml:space="preserve">The needs for the redistributive payment amounted to EUR 1 251 million significantly more than the EUR 440 million in 2015 due to an increase in the number of Member States implementing the scheme. The expenditure declared by Member States was EUR 1 237 million or 99% of the needs. </w:t>
      </w:r>
    </w:p>
    <w:p>
      <w:pPr>
        <w:spacing w:before="120" w:after="120"/>
        <w:ind w:left="840"/>
        <w:jc w:val="both"/>
        <w:rPr>
          <w:rFonts w:eastAsia="MS PGothic"/>
          <w:noProof/>
          <w:lang w:eastAsia="en-US"/>
        </w:rPr>
      </w:pPr>
      <w:r>
        <w:rPr>
          <w:rFonts w:eastAsia="MS PGothic"/>
          <w:noProof/>
          <w:lang w:eastAsia="en-US"/>
        </w:rPr>
        <w:t>For the new payment for young farmers needs were estimated at EUR 549 million in the 2016 budget. Expenditure amounted to EUR 317 million being only 58% of the needs. For following years, several Member States have adjusted their ceiling for the scheme which should reduce the underexecution noted in financial year 2016.</w:t>
      </w:r>
    </w:p>
    <w:p>
      <w:pPr>
        <w:spacing w:before="120" w:after="120"/>
        <w:ind w:left="840"/>
        <w:jc w:val="both"/>
        <w:rPr>
          <w:noProof/>
          <w:color w:val="FF0000"/>
        </w:rPr>
      </w:pPr>
      <w:r>
        <w:rPr>
          <w:rFonts w:eastAsia="MS PGothic"/>
          <w:noProof/>
          <w:lang w:eastAsia="en-US"/>
        </w:rPr>
        <w:t xml:space="preserve">The remaining lines covered mostly smaller amounts, including also the residual payments for the schemes which expired further to the 2013 reform. </w:t>
      </w:r>
    </w:p>
    <w:p>
      <w:pPr>
        <w:pStyle w:val="ManualHeading4"/>
        <w:rPr>
          <w:noProof/>
        </w:rPr>
      </w:pPr>
      <w:bookmarkStart w:id="75" w:name="_Toc484783922"/>
      <w:r>
        <w:t>3.2.2.2.</w:t>
      </w:r>
      <w:r>
        <w:tab/>
      </w:r>
      <w:r>
        <w:rPr>
          <w:noProof/>
        </w:rPr>
        <w:t xml:space="preserve">Article 05 03 02: Other direct </w:t>
      </w:r>
      <w:bookmarkEnd w:id="74"/>
      <w:r>
        <w:rPr>
          <w:noProof/>
        </w:rPr>
        <w:t>payments</w:t>
      </w:r>
      <w:bookmarkEnd w:id="75"/>
    </w:p>
    <w:p>
      <w:pPr>
        <w:spacing w:before="120" w:after="120"/>
        <w:ind w:left="840"/>
        <w:jc w:val="both"/>
        <w:rPr>
          <w:rFonts w:eastAsia="MS PGothic"/>
          <w:noProof/>
          <w:color w:val="000000"/>
          <w:lang w:eastAsia="en-US"/>
        </w:rPr>
      </w:pPr>
      <w:r>
        <w:rPr>
          <w:rFonts w:eastAsia="MS PGothic"/>
          <w:noProof/>
          <w:lang w:eastAsia="en-US"/>
        </w:rPr>
        <w:t>The appropriations of this article covered expenditure for "other direct payments". This includes schemes for which there may still be a link between the payment and the production, under well defined conditions and within clear limits. As a consequence of the 2013 reform, new schemes added under this Article were the voluntary coupled support and the small farmers scheme, whereas a number of lines from 2016 only covered relatively minor residual payments for expired schemes.</w:t>
      </w:r>
    </w:p>
    <w:p>
      <w:pPr>
        <w:spacing w:before="120" w:after="120"/>
        <w:ind w:left="840"/>
        <w:jc w:val="both"/>
        <w:rPr>
          <w:rFonts w:eastAsia="MS PGothic"/>
          <w:noProof/>
          <w:lang w:eastAsia="en-US"/>
        </w:rPr>
      </w:pPr>
      <w:r>
        <w:rPr>
          <w:rFonts w:eastAsia="MS PGothic"/>
          <w:noProof/>
          <w:lang w:eastAsia="en-US"/>
        </w:rPr>
        <w:t>The Commission had estimated that appropriations amounting to EUR 4 734.8 million were needed for this Article in 2016. Member States incurred expenditure amounting to EUR 5 384.7 million hence higher than the appropriations entered in the budget.</w:t>
      </w:r>
    </w:p>
    <w:p>
      <w:pPr>
        <w:spacing w:before="120" w:after="120"/>
        <w:ind w:left="840"/>
        <w:jc w:val="both"/>
        <w:rPr>
          <w:rFonts w:eastAsia="MS PGothic"/>
          <w:noProof/>
          <w:lang w:eastAsia="en-US"/>
        </w:rPr>
      </w:pPr>
      <w:r>
        <w:rPr>
          <w:rFonts w:eastAsia="MS PGothic"/>
          <w:noProof/>
          <w:lang w:eastAsia="en-US"/>
        </w:rPr>
        <w:t xml:space="preserve">For the crop-specific payment for cotton, needs were estimated at EUR 247 million in the 2016 budget. Expenditure was EUR 244 million, i.e. 99% of the needs. </w:t>
      </w:r>
    </w:p>
    <w:p>
      <w:pPr>
        <w:spacing w:before="120" w:after="120"/>
        <w:ind w:left="840"/>
        <w:jc w:val="both"/>
        <w:rPr>
          <w:rFonts w:eastAsia="MS PGothic"/>
          <w:noProof/>
          <w:lang w:eastAsia="en-US"/>
        </w:rPr>
      </w:pPr>
      <w:r>
        <w:rPr>
          <w:rFonts w:eastAsia="MS PGothic"/>
          <w:noProof/>
          <w:lang w:eastAsia="en-US"/>
        </w:rPr>
        <w:t xml:space="preserve">The </w:t>
      </w:r>
      <w:r>
        <w:rPr>
          <w:noProof/>
          <w:lang w:eastAsia="en-US"/>
        </w:rPr>
        <w:t>POSEI-EU support programmes showed an under-execution of around EUR 5.3 million due to a minor shift by a Member State concerned, from direct payments – programmes towards market measures – programmes during the financial year</w:t>
      </w:r>
      <w:r>
        <w:rPr>
          <w:rFonts w:eastAsia="MS PGothic"/>
          <w:noProof/>
          <w:lang w:eastAsia="en-US"/>
        </w:rPr>
        <w:t>.</w:t>
      </w:r>
    </w:p>
    <w:p>
      <w:pPr>
        <w:spacing w:before="120" w:after="120"/>
        <w:ind w:left="840"/>
        <w:jc w:val="both"/>
        <w:rPr>
          <w:rFonts w:eastAsia="MS PGothic"/>
          <w:noProof/>
          <w:lang w:eastAsia="en-US"/>
        </w:rPr>
      </w:pPr>
      <w:r>
        <w:rPr>
          <w:rFonts w:eastAsia="MS PGothic"/>
          <w:noProof/>
          <w:lang w:eastAsia="en-US"/>
        </w:rPr>
        <w:t xml:space="preserve">A more important under-execution was experienced for the voluntary coupled support scheme. Member States incurred expenditure amounting to EUR 3 800.6 million, while EUR 4 046.0 million of appropriations were foreseen in the budget. </w:t>
      </w:r>
    </w:p>
    <w:p>
      <w:pPr>
        <w:spacing w:before="120" w:after="120"/>
        <w:ind w:left="840"/>
        <w:jc w:val="both"/>
        <w:rPr>
          <w:rFonts w:eastAsia="MS PGothic"/>
          <w:noProof/>
          <w:lang w:eastAsia="en-US"/>
        </w:rPr>
      </w:pPr>
      <w:r>
        <w:rPr>
          <w:rFonts w:eastAsia="MS PGothic"/>
          <w:noProof/>
          <w:lang w:eastAsia="en-US"/>
        </w:rPr>
        <w:t>The small farmers scheme is financed from the ceilings of all other schemes, decoupled or not. Due to the absence of any information of the possible execution in the first year of implementation of the reformed direct payments, there were no appropriations foreseen in the budget 2016. An amount of EUR 907.7 million was declared under this item and financed from the budget allocated to other schemes under the same article but also under the article for decoupled direct payments. The required transfers explain hence the over-execution of this Article versus the under execution of budget article 05 03 01</w:t>
      </w:r>
      <w:r>
        <w:rPr>
          <w:rStyle w:val="FootnoteReference"/>
          <w:rFonts w:eastAsia="MS PGothic"/>
          <w:noProof/>
          <w:lang w:eastAsia="en-US"/>
        </w:rPr>
        <w:footnoteReference w:id="8"/>
      </w:r>
      <w:r>
        <w:rPr>
          <w:rFonts w:eastAsia="MS PGothic"/>
          <w:noProof/>
          <w:lang w:eastAsia="en-US"/>
        </w:rPr>
        <w:t xml:space="preserve">. </w:t>
      </w:r>
    </w:p>
    <w:p>
      <w:pPr>
        <w:autoSpaceDE w:val="0"/>
        <w:autoSpaceDN w:val="0"/>
        <w:adjustRightInd w:val="0"/>
        <w:ind w:left="840"/>
        <w:jc w:val="both"/>
        <w:rPr>
          <w:noProof/>
        </w:rPr>
      </w:pPr>
      <w:r>
        <w:rPr>
          <w:noProof/>
        </w:rPr>
        <w:t xml:space="preserve">As regards item 05 03 02 99 – Other (direct payments), the 2016 budget included appropriations of EUR 3.1 million intended to cover expenditure and corrections for older schemes which were not covered under other budget items of the coupled direct payments sector. There was a negative expenditure of around EUR - 0.7 million and in order to cover the funding needs of other items of the 2016 budget, appropriations amounting to EUR 3.8 million were transferred out of this budget item. </w:t>
      </w:r>
    </w:p>
    <w:p>
      <w:pPr>
        <w:pStyle w:val="ManualHeading4"/>
        <w:rPr>
          <w:noProof/>
        </w:rPr>
      </w:pPr>
      <w:bookmarkStart w:id="76" w:name="_Toc322938599"/>
      <w:bookmarkStart w:id="77" w:name="_Toc484783923"/>
      <w:r>
        <w:t>3.2.2.3.</w:t>
      </w:r>
      <w:r>
        <w:tab/>
      </w:r>
      <w:r>
        <w:rPr>
          <w:noProof/>
        </w:rPr>
        <w:t>Article 05 03 03: Additional amounts of aid</w:t>
      </w:r>
      <w:bookmarkEnd w:id="76"/>
      <w:bookmarkEnd w:id="77"/>
    </w:p>
    <w:p>
      <w:pPr>
        <w:spacing w:before="120" w:after="120"/>
        <w:ind w:left="840"/>
        <w:jc w:val="both"/>
        <w:rPr>
          <w:noProof/>
        </w:rPr>
      </w:pPr>
      <w:r>
        <w:rPr>
          <w:rFonts w:eastAsia="MS PGothic"/>
          <w:noProof/>
          <w:lang w:eastAsia="en-US"/>
        </w:rPr>
        <w:t xml:space="preserve">While appropriations foreseen in the 2016 budget for this article amounted to EUR 0.1 million, Member States incurred insignificant expenditure and thus under-executed the budget’s appropriations by almost a similar amount. </w:t>
      </w:r>
    </w:p>
    <w:p>
      <w:pPr>
        <w:pStyle w:val="ManualHeading4"/>
        <w:rPr>
          <w:noProof/>
        </w:rPr>
      </w:pPr>
      <w:bookmarkStart w:id="78" w:name="_Toc484783924"/>
      <w:r>
        <w:t>3.2.2.4.</w:t>
      </w:r>
      <w:r>
        <w:tab/>
      </w:r>
      <w:r>
        <w:rPr>
          <w:noProof/>
        </w:rPr>
        <w:t>Article 05 03 09: Reimbursement of direct payments in relation to financial discipline</w:t>
      </w:r>
      <w:bookmarkEnd w:id="78"/>
      <w:r>
        <w:rPr>
          <w:noProof/>
        </w:rPr>
        <w:t xml:space="preserve"> </w:t>
      </w:r>
    </w:p>
    <w:p>
      <w:pPr>
        <w:tabs>
          <w:tab w:val="left" w:pos="851"/>
        </w:tabs>
        <w:ind w:left="840"/>
        <w:jc w:val="both"/>
        <w:rPr>
          <w:rFonts w:eastAsia="MS PGothic"/>
          <w:noProof/>
          <w:lang w:eastAsia="en-US"/>
        </w:rPr>
      </w:pPr>
      <w:r>
        <w:rPr>
          <w:rFonts w:eastAsia="MS PGothic"/>
          <w:noProof/>
          <w:lang w:eastAsia="en-US"/>
        </w:rPr>
        <w:t>No appropriations are allocated to this article by the Budgetary Authority. This article serves the purpose of collecting the non-committed voted appropriations including in particular the appropriations of the unused crisis reserve in order to be carried over into budget year N+1 and finance the reimbursement of the financial discipline applied to direct payments in respect of calendar year N</w:t>
      </w:r>
      <w:r>
        <w:rPr>
          <w:rFonts w:eastAsia="MS PGothic"/>
          <w:noProof/>
          <w:vertAlign w:val="superscript"/>
          <w:lang w:eastAsia="en-US"/>
        </w:rPr>
        <w:footnoteReference w:id="9"/>
      </w:r>
      <w:r>
        <w:rPr>
          <w:rFonts w:eastAsia="MS PGothic"/>
          <w:noProof/>
          <w:lang w:eastAsia="en-US"/>
        </w:rPr>
        <w:t xml:space="preserve">. </w:t>
      </w:r>
    </w:p>
    <w:p>
      <w:pPr>
        <w:tabs>
          <w:tab w:val="left" w:pos="851"/>
        </w:tabs>
        <w:ind w:left="840"/>
        <w:jc w:val="both"/>
        <w:rPr>
          <w:rFonts w:eastAsia="MS PGothic"/>
          <w:noProof/>
          <w:lang w:eastAsia="en-US"/>
        </w:rPr>
      </w:pPr>
    </w:p>
    <w:p>
      <w:pPr>
        <w:tabs>
          <w:tab w:val="left" w:pos="284"/>
          <w:tab w:val="left" w:pos="851"/>
        </w:tabs>
        <w:ind w:left="840"/>
        <w:jc w:val="both"/>
        <w:rPr>
          <w:noProof/>
          <w:lang w:eastAsia="ko-KR"/>
        </w:rPr>
      </w:pPr>
      <w:r>
        <w:rPr>
          <w:noProof/>
          <w:lang w:eastAsia="ko-KR"/>
        </w:rPr>
        <w:t xml:space="preserve">Each year, if applicable, a Commission Implementing Regulation sets the amounts that each Member State has to reimburse to farmers and, in accordance with Article 169(3) of Regulation (EU, Euratom) No 966/2012, determines that the expenditure in relation to this reimbursement shall only be eligible for Union financing if the amounts have been paid to the beneficiaries before 16 October of the financial year to which the appropriations are carried over. From the amount of EUR 409.8 million, corresponding to the financial discipline applied during financial year 2015 and which was carried over to budget 2016 for reimbursement, Member States reimbursed EUR 395.4 million. The difference of EUR 14.4 million reverted to the 2016 budget </w:t>
      </w:r>
      <w:r>
        <w:rPr>
          <w:rFonts w:eastAsia="MS PGothic"/>
          <w:noProof/>
          <w:lang w:eastAsia="en-US"/>
        </w:rPr>
        <w:t>for its return to Member States via an Amending Budget in the following budget year.</w:t>
      </w:r>
    </w:p>
    <w:p>
      <w:pPr>
        <w:spacing w:before="120" w:after="120"/>
        <w:ind w:left="840"/>
        <w:jc w:val="both"/>
        <w:rPr>
          <w:noProof/>
        </w:rPr>
      </w:pPr>
      <w:r>
        <w:rPr>
          <w:rFonts w:eastAsia="MS PGothic"/>
          <w:noProof/>
          <w:lang w:eastAsia="en-US"/>
        </w:rPr>
        <w:t xml:space="preserve">For financial year 2017, </w:t>
      </w:r>
      <w:r>
        <w:rPr>
          <w:noProof/>
          <w:lang w:eastAsia="ko-KR"/>
        </w:rPr>
        <w:t xml:space="preserve">Commission Implementing Regulation (EU) 2016/2073 sets the amount of reimbursement at EUR 433.1 million. This amount corresponds to the amount of financial discipline </w:t>
      </w:r>
      <w:r>
        <w:rPr>
          <w:rFonts w:eastAsia="MS PGothic"/>
          <w:noProof/>
          <w:lang w:eastAsia="en-US"/>
        </w:rPr>
        <w:t>effectively applied for claim year 2016 and it is only this amount which was carried over into the 2017 budget. The difference between the crisis reserve (EUR 441.6 million) and the carried over amount (EUR 433.1 million) reverts to the 2016 budget for its return to Member States via an Amending Budget in the following budget year.</w:t>
      </w:r>
    </w:p>
    <w:p>
      <w:pPr>
        <w:pStyle w:val="ManualHeading4"/>
        <w:rPr>
          <w:noProof/>
        </w:rPr>
      </w:pPr>
      <w:bookmarkStart w:id="79" w:name="_Toc484783925"/>
      <w:r>
        <w:t>3.2.2.5.</w:t>
      </w:r>
      <w:r>
        <w:tab/>
      </w:r>
      <w:r>
        <w:rPr>
          <w:noProof/>
        </w:rPr>
        <w:t>Article 05 03 10: Reserve for crises in the agricultural sector</w:t>
      </w:r>
      <w:bookmarkEnd w:id="79"/>
    </w:p>
    <w:p>
      <w:pPr>
        <w:pStyle w:val="Text1"/>
      </w:pPr>
      <w:r>
        <w:t>The appropriations of this article are intended to cover expenditure for measures which have to be taken in order to cope with major crises affecting agricultural production or distribution. The crisis reserve is established by applying, at the beginning of each year, a reduction to the direct payments through the financial discipline mechanism in accordance with Articles 25 and 26 of Regulation (EU) No 1306/2013 as well as Article 8 of Regulation (EU) No 1307/2013</w:t>
      </w:r>
      <w:r>
        <w:rPr>
          <w:vertAlign w:val="superscript"/>
        </w:rPr>
        <w:footnoteReference w:id="10"/>
      </w:r>
      <w:r>
        <w:t>. This reserve shall be set up with annual amount of EUR 400 million (in 2011 prices). For the budget year 2016, the equivalent amount of the crisis reserve in current prices was EUR 441.6 million. The reserve was not used in financial year 2016.</w:t>
      </w:r>
    </w:p>
    <w:p>
      <w:pPr>
        <w:pStyle w:val="Text1"/>
      </w:pPr>
      <w:r>
        <w:t xml:space="preserve">For the 2015 claim year, the financial discipline was calculated exclusively for the constitution of the crisis reserve of EUR 441.6 million. However, by the end of the financial year, non-committed voted appropriations corresponding to </w:t>
      </w:r>
      <w:r>
        <w:rPr>
          <w:lang w:eastAsia="ko-KR"/>
        </w:rPr>
        <w:t xml:space="preserve">the amount of financial discipline </w:t>
      </w:r>
      <w:r>
        <w:t>effectively applied for claim year 2015 (taking into account the unused amount of the crisis reserve) was transferred to budget article 05 03 09 in order to be carried over to the next financial year and, in this way, fund the reimbursement of financial discipline imposed on farmers in the calendar year 2016 (please see point 3.2.2.4).</w:t>
      </w:r>
      <w:r>
        <w:rPr>
          <w:rFonts w:ascii="Arial Narrow" w:hAnsi="Arial Narrow"/>
          <w:sz w:val="20"/>
          <w:szCs w:val="20"/>
          <w:lang w:eastAsia="ko-KR"/>
        </w:rPr>
        <w:t xml:space="preserve"> </w:t>
      </w:r>
    </w:p>
    <w:p>
      <w:pPr>
        <w:pStyle w:val="ManualHeading3"/>
        <w:rPr>
          <w:noProof/>
        </w:rPr>
      </w:pPr>
      <w:bookmarkStart w:id="80" w:name="_Toc322938600"/>
      <w:bookmarkStart w:id="81" w:name="_Toc484783926"/>
      <w:r>
        <w:t>3.2.3.</w:t>
      </w:r>
      <w:r>
        <w:tab/>
      </w:r>
      <w:r>
        <w:rPr>
          <w:noProof/>
        </w:rPr>
        <w:t>Chapter 05 04: Rural Development</w:t>
      </w:r>
      <w:bookmarkEnd w:id="80"/>
      <w:bookmarkEnd w:id="81"/>
      <w:r>
        <w:rPr>
          <w:noProof/>
        </w:rPr>
        <w:t xml:space="preserve"> </w:t>
      </w:r>
    </w:p>
    <w:p>
      <w:pPr>
        <w:pStyle w:val="Text1"/>
      </w:pPr>
      <w:bookmarkStart w:id="82" w:name="_Toc322938601"/>
      <w:r>
        <w:t>For Article 05 04 01 – Completion of Rural Development financed by the EAGGF-Guarantee section – Programming period 2000 to 2006</w:t>
      </w:r>
      <w:bookmarkEnd w:id="82"/>
      <w:r>
        <w:t>, the final net amount recovered (around EUR 1.05 million) was used for funding other budget items.</w:t>
      </w:r>
    </w:p>
    <w:p>
      <w:pPr>
        <w:pStyle w:val="ManualHeading3"/>
        <w:rPr>
          <w:noProof/>
        </w:rPr>
      </w:pPr>
      <w:bookmarkStart w:id="83" w:name="_Toc322938602"/>
      <w:bookmarkStart w:id="84" w:name="_Toc484783927"/>
      <w:r>
        <w:t>3.2.4.</w:t>
      </w:r>
      <w:r>
        <w:tab/>
      </w:r>
      <w:r>
        <w:rPr>
          <w:noProof/>
        </w:rPr>
        <w:t>Chapter 05 07: Audit of agricultural expenditure</w:t>
      </w:r>
      <w:bookmarkEnd w:id="83"/>
      <w:bookmarkEnd w:id="84"/>
      <w:r>
        <w:rPr>
          <w:noProof/>
        </w:rPr>
        <w:t xml:space="preserve"> </w:t>
      </w:r>
    </w:p>
    <w:p>
      <w:pPr>
        <w:pStyle w:val="ManualHeading4"/>
        <w:rPr>
          <w:noProof/>
        </w:rPr>
      </w:pPr>
      <w:bookmarkStart w:id="85" w:name="_Toc322938603"/>
      <w:bookmarkStart w:id="86" w:name="_Toc484783928"/>
      <w:r>
        <w:t>3.2.4.1.</w:t>
      </w:r>
      <w:r>
        <w:tab/>
      </w:r>
      <w:r>
        <w:rPr>
          <w:noProof/>
        </w:rPr>
        <w:t>Article 05 07 01: Control of agricultural expenditure</w:t>
      </w:r>
      <w:bookmarkEnd w:id="85"/>
      <w:bookmarkEnd w:id="86"/>
    </w:p>
    <w:p>
      <w:pPr>
        <w:pStyle w:val="Text1"/>
      </w:pPr>
      <w:r>
        <w:t xml:space="preserve">This article involves the measures taken in order to reinforce the means of on-the-spot controls and to improve the systems of verification so as to limit the risk of fraud and irregularities to detriment of the Union budget. It also includes the expenditure to finance possible accounting and conformity corrections in favour of Member States. </w:t>
      </w:r>
    </w:p>
    <w:p>
      <w:pPr>
        <w:pStyle w:val="Text1"/>
      </w:pPr>
      <w:r>
        <w:t>The European Union directly funded the purchase of satellite images within the framework of the Integrated Administration and Control System (IACS) for an amount of EUR 9.1 million, thus taking up almost all of the appropriations foreseen in the 2016 budget.</w:t>
      </w:r>
    </w:p>
    <w:p>
      <w:pPr>
        <w:pStyle w:val="Text1"/>
      </w:pPr>
      <w:r>
        <w:t>As regards the accounting clearance corrections in favour of Member States, the Commission took decisions which involved such corrections of approximately EUR 31.5 million. As regards the conformity clearance corrections in favour of Member States, the Commission took decisions which involved such corrections of approximately EUR 18.5 million. The Budgetary Authority had voted appropriations for the funding of these corrections in favour of the Member States at EUR 20 million and the balance was eventually covered by transferring appropriations (EUR 30.0 million) from other items of the 2016 budget.</w:t>
      </w:r>
    </w:p>
    <w:p>
      <w:pPr>
        <w:pStyle w:val="ManualHeading4"/>
        <w:rPr>
          <w:noProof/>
        </w:rPr>
      </w:pPr>
      <w:bookmarkStart w:id="87" w:name="_Toc322938604"/>
      <w:bookmarkStart w:id="88" w:name="_Toc484783929"/>
      <w:r>
        <w:t>3.2.4.2.</w:t>
      </w:r>
      <w:r>
        <w:tab/>
      </w:r>
      <w:r>
        <w:rPr>
          <w:noProof/>
        </w:rPr>
        <w:t>Article 05 07 02: Settlement of disputes</w:t>
      </w:r>
      <w:bookmarkEnd w:id="87"/>
      <w:bookmarkEnd w:id="88"/>
    </w:p>
    <w:p>
      <w:pPr>
        <w:pStyle w:val="Text1"/>
      </w:pPr>
      <w:bookmarkStart w:id="89" w:name="_Toc322938605"/>
      <w:r>
        <w:t xml:space="preserve">The appropriations in this article are intended to cover expenditure for which the Commission could be held liable by decision of a court of justice, including the cost of settling claims for damages and interest. On 27 September 2012, the European Court of Justice delivered its judgment in joined cases C-113/10, C-147/10 and C-234/10 (the Jüllich-II judgement). The 2016 budget foresaw appropriations amounting to EUR 29.5 million for the payment of compensatory interest to operators under this judgement. However, Member States incurred and declared expenditure of around EUR 52.4 million for these payments. Therefore, appropriations amounting to EUR 22.9 million were transferred from other items of the 2016 budget. </w:t>
      </w:r>
    </w:p>
    <w:p>
      <w:pPr>
        <w:pStyle w:val="ManualHeading3"/>
        <w:rPr>
          <w:noProof/>
        </w:rPr>
      </w:pPr>
      <w:bookmarkStart w:id="90" w:name="_Toc484783930"/>
      <w:r>
        <w:t>3.2.5.</w:t>
      </w:r>
      <w:r>
        <w:tab/>
      </w:r>
      <w:r>
        <w:rPr>
          <w:noProof/>
        </w:rPr>
        <w:t>Chapter 05 08: Policy strategy and coordination</w:t>
      </w:r>
      <w:bookmarkEnd w:id="89"/>
      <w:bookmarkEnd w:id="90"/>
      <w:r>
        <w:rPr>
          <w:noProof/>
        </w:rPr>
        <w:t xml:space="preserve"> </w:t>
      </w:r>
    </w:p>
    <w:p>
      <w:pPr>
        <w:pStyle w:val="ManualHeading4"/>
        <w:rPr>
          <w:noProof/>
        </w:rPr>
      </w:pPr>
      <w:bookmarkStart w:id="91" w:name="_Toc322938606"/>
      <w:bookmarkStart w:id="92" w:name="_Toc484783931"/>
      <w:r>
        <w:t>3.2.5.1.</w:t>
      </w:r>
      <w:r>
        <w:tab/>
      </w:r>
      <w:r>
        <w:rPr>
          <w:noProof/>
        </w:rPr>
        <w:t>Article 05 08 01: Farm accountancy data network (FADN)</w:t>
      </w:r>
      <w:bookmarkEnd w:id="91"/>
      <w:bookmarkEnd w:id="92"/>
    </w:p>
    <w:p>
      <w:pPr>
        <w:pStyle w:val="Text1"/>
      </w:pPr>
      <w:r>
        <w:t>Appropriations committed for data collection on farm holdings under this network amounted to EUR 15.1 million, thus taking up almost all of the appropriations foreseen in the 2016 budget.</w:t>
      </w:r>
    </w:p>
    <w:p>
      <w:pPr>
        <w:pStyle w:val="ManualHeading4"/>
        <w:rPr>
          <w:noProof/>
        </w:rPr>
      </w:pPr>
      <w:bookmarkStart w:id="93" w:name="_Toc322938607"/>
      <w:bookmarkStart w:id="94" w:name="_Toc484783932"/>
      <w:r>
        <w:t>3.2.5.2.</w:t>
      </w:r>
      <w:r>
        <w:tab/>
      </w:r>
      <w:r>
        <w:rPr>
          <w:noProof/>
        </w:rPr>
        <w:t>Article 05 08 02: Surveys on the structure of agricultural holdings</w:t>
      </w:r>
      <w:bookmarkEnd w:id="93"/>
      <w:bookmarkEnd w:id="94"/>
    </w:p>
    <w:p>
      <w:pPr>
        <w:pStyle w:val="Text1"/>
      </w:pPr>
      <w:bookmarkStart w:id="95" w:name="_Toc322938608"/>
      <w:r>
        <w:t>No appropriations were committed for the farm structure surveys.</w:t>
      </w:r>
    </w:p>
    <w:p>
      <w:pPr>
        <w:pStyle w:val="ManualHeading4"/>
        <w:rPr>
          <w:noProof/>
        </w:rPr>
      </w:pPr>
      <w:bookmarkStart w:id="96" w:name="_Toc484783933"/>
      <w:r>
        <w:t>3.2.5.3.</w:t>
      </w:r>
      <w:r>
        <w:tab/>
      </w:r>
      <w:r>
        <w:rPr>
          <w:noProof/>
        </w:rPr>
        <w:t>Article 05 08 03: Restructuring of systems for agricultural surveys</w:t>
      </w:r>
      <w:bookmarkStart w:id="97" w:name="_Toc322938609"/>
      <w:bookmarkEnd w:id="95"/>
      <w:bookmarkEnd w:id="96"/>
      <w:r>
        <w:rPr>
          <w:noProof/>
        </w:rPr>
        <w:t xml:space="preserve"> </w:t>
      </w:r>
    </w:p>
    <w:p>
      <w:pPr>
        <w:pStyle w:val="Text1"/>
      </w:pPr>
      <w:r>
        <w:t>Appropriations committed for the restructuring of systems of agricultural surveys amounted to EUR 4.3 million. The rest of the voted appropriations, i.e. EUR 1.25 million was reallocated outside EAGF through Amending Budget No 4.</w:t>
      </w:r>
    </w:p>
    <w:p>
      <w:pPr>
        <w:pStyle w:val="ManualHeading4"/>
        <w:rPr>
          <w:noProof/>
        </w:rPr>
      </w:pPr>
      <w:bookmarkStart w:id="98" w:name="_Toc484783934"/>
      <w:r>
        <w:t>3.2.5.4.</w:t>
      </w:r>
      <w:r>
        <w:tab/>
      </w:r>
      <w:r>
        <w:rPr>
          <w:noProof/>
        </w:rPr>
        <w:t>Article 05 08 06: Enhancing public awareness of the common agricultural policy</w:t>
      </w:r>
      <w:bookmarkEnd w:id="97"/>
      <w:bookmarkEnd w:id="98"/>
    </w:p>
    <w:p>
      <w:pPr>
        <w:pStyle w:val="Text1"/>
      </w:pPr>
      <w:bookmarkStart w:id="99" w:name="_Toc322938610"/>
      <w:r>
        <w:t>Appropriations committed for actions, fairs and publications aimed at enhancing public awareness of the CAP amounted to around EUR 7.9 million, thus taking up almost all of the appropriations foreseen in the 2016 budget.</w:t>
      </w:r>
    </w:p>
    <w:p>
      <w:pPr>
        <w:pStyle w:val="ManualHeading4"/>
        <w:rPr>
          <w:noProof/>
        </w:rPr>
      </w:pPr>
      <w:bookmarkStart w:id="100" w:name="_Toc484783935"/>
      <w:r>
        <w:t>3.2.5.5.</w:t>
      </w:r>
      <w:r>
        <w:tab/>
      </w:r>
      <w:r>
        <w:rPr>
          <w:noProof/>
        </w:rPr>
        <w:t>Article 05 08 09: EAGF – Operational technical assistance</w:t>
      </w:r>
      <w:bookmarkEnd w:id="99"/>
      <w:bookmarkEnd w:id="100"/>
    </w:p>
    <w:p>
      <w:pPr>
        <w:pStyle w:val="Text1"/>
      </w:pPr>
      <w:r>
        <w:t>Appropriations committed for operational technical assistance for the EAGF amounted to approximately EUR 2.1 million and it under-executed the appropriations by EUR 4.4 million foreseen in the 2016 budget. This was mainly due to delays in the conclusion of audit support contracts which were foreseen in the 2016 budget.</w:t>
      </w:r>
    </w:p>
    <w:p>
      <w:pPr>
        <w:pStyle w:val="ManualHeading1"/>
        <w:rPr>
          <w:noProof/>
        </w:rPr>
      </w:pPr>
      <w:bookmarkStart w:id="101" w:name="DQC4262"/>
      <w:bookmarkStart w:id="102" w:name="DQC4263"/>
      <w:bookmarkStart w:id="103" w:name="_Toc322938628"/>
      <w:bookmarkStart w:id="104" w:name="_Toc484783936"/>
      <w:bookmarkEnd w:id="101"/>
      <w:bookmarkEnd w:id="102"/>
      <w:r>
        <w:t>4.</w:t>
      </w:r>
      <w:r>
        <w:tab/>
      </w:r>
      <w:r>
        <w:rPr>
          <w:noProof/>
        </w:rPr>
        <w:t>IMPLEMENTATION OF REVENUE</w:t>
      </w:r>
      <w:bookmarkEnd w:id="103"/>
      <w:r>
        <w:rPr>
          <w:noProof/>
        </w:rPr>
        <w:t xml:space="preserve"> ASSIGNED TO EAGF</w:t>
      </w:r>
      <w:bookmarkEnd w:id="104"/>
      <w:r>
        <w:rPr>
          <w:noProof/>
        </w:rPr>
        <w:t xml:space="preserve"> </w:t>
      </w:r>
    </w:p>
    <w:p>
      <w:pPr>
        <w:pStyle w:val="Text1"/>
      </w:pPr>
      <w:r>
        <w:t xml:space="preserve">The assigned revenue actually carried over from 2015 into 2016, amounted to EUR 896.4 million and was entirely used in financing expenditure of the 2016 budget year in accordance with article 14 of the Financial Regulation. As presented in annex 7, this amount covered expenditure of EUR 199.8 million for the operational funds for producer organisations in the fruits and vegetables sector and of EUR 696.6 million for the basic payment scheme. </w:t>
      </w:r>
    </w:p>
    <w:p>
      <w:pPr>
        <w:pStyle w:val="Text1"/>
      </w:pPr>
      <w:r>
        <w:t>As regards the assigned revenue collected in 2016, annex 6 shows that this revenue amounted to EUR 2 527.1 million and it originated from:</w:t>
      </w:r>
    </w:p>
    <w:p>
      <w:pPr>
        <w:pStyle w:val="Tiret1"/>
        <w:rPr>
          <w:noProof/>
        </w:rPr>
      </w:pPr>
      <w:r>
        <w:rPr>
          <w:noProof/>
        </w:rPr>
        <w:t>the corrections of the conformity clearance procedure, EUR 1 593.7 million;</w:t>
      </w:r>
    </w:p>
    <w:p>
      <w:pPr>
        <w:pStyle w:val="Tiret1"/>
        <w:rPr>
          <w:noProof/>
        </w:rPr>
      </w:pPr>
      <w:r>
        <w:rPr>
          <w:noProof/>
        </w:rPr>
        <w:t>the receipts from irregularities, EUR 118.4 million;</w:t>
      </w:r>
    </w:p>
    <w:p>
      <w:pPr>
        <w:pStyle w:val="Tiret1"/>
        <w:rPr>
          <w:noProof/>
        </w:rPr>
      </w:pPr>
      <w:r>
        <w:rPr>
          <w:noProof/>
        </w:rPr>
        <w:t>the milk levy collections, EUR 815.1 million.</w:t>
      </w:r>
    </w:p>
    <w:p>
      <w:pPr>
        <w:pStyle w:val="Text1"/>
      </w:pPr>
      <w:r>
        <w:t xml:space="preserve">The assigned revenue collected in 2016 was used to cover expenditure incurred for the following measures: </w:t>
      </w:r>
    </w:p>
    <w:p>
      <w:pPr>
        <w:pStyle w:val="Tiret1"/>
        <w:rPr>
          <w:noProof/>
        </w:rPr>
      </w:pPr>
      <w:r>
        <w:rPr>
          <w:noProof/>
        </w:rPr>
        <w:t xml:space="preserve">EUR 281.5 million for the operational funds for producer organisations in the fruits and vegetables sector; </w:t>
      </w:r>
    </w:p>
    <w:p>
      <w:pPr>
        <w:pStyle w:val="Tiret1"/>
        <w:rPr>
          <w:noProof/>
        </w:rPr>
      </w:pPr>
      <w:r>
        <w:rPr>
          <w:noProof/>
        </w:rPr>
        <w:t xml:space="preserve">EUR 941.6 million for the basic payment scheme (BPS) (direct payments). </w:t>
      </w:r>
    </w:p>
    <w:p>
      <w:pPr>
        <w:pStyle w:val="Text1"/>
      </w:pPr>
      <w:r>
        <w:t xml:space="preserve">The balance of the assigned revenue collected in 2016 amounting to EUR 1 304 million was automatically carried over into the 2017 budget in order to fund budgetary needs of that year. </w:t>
      </w:r>
    </w:p>
    <w:p>
      <w:pPr>
        <w:pStyle w:val="ManualHeading1"/>
        <w:rPr>
          <w:noProof/>
        </w:rPr>
      </w:pPr>
      <w:bookmarkStart w:id="105" w:name="_Toc322938639"/>
      <w:bookmarkStart w:id="106" w:name="_Toc484783937"/>
      <w:r>
        <w:t>5.</w:t>
      </w:r>
      <w:r>
        <w:tab/>
      </w:r>
      <w:r>
        <w:rPr>
          <w:noProof/>
        </w:rPr>
        <w:t>CONTROL MEASURES</w:t>
      </w:r>
      <w:bookmarkEnd w:id="105"/>
      <w:bookmarkEnd w:id="106"/>
      <w:r>
        <w:rPr>
          <w:noProof/>
        </w:rPr>
        <w:t xml:space="preserve"> </w:t>
      </w:r>
    </w:p>
    <w:p>
      <w:pPr>
        <w:pStyle w:val="ManualHeading2"/>
        <w:rPr>
          <w:noProof/>
        </w:rPr>
      </w:pPr>
      <w:bookmarkStart w:id="107" w:name="_Toc322938640"/>
      <w:bookmarkStart w:id="108" w:name="_Toc484783938"/>
      <w:r>
        <w:t>5.1.</w:t>
      </w:r>
      <w:r>
        <w:tab/>
      </w:r>
      <w:r>
        <w:rPr>
          <w:noProof/>
        </w:rPr>
        <w:t>Introduction</w:t>
      </w:r>
      <w:bookmarkEnd w:id="107"/>
      <w:bookmarkEnd w:id="108"/>
    </w:p>
    <w:p>
      <w:pPr>
        <w:pStyle w:val="Text1"/>
      </w:pPr>
      <w:r>
        <w:t>In accordance with the EU legislation and as in previous years, 2016 agricultural expenditure was submitted to a comprehensive system of control measures.</w:t>
      </w:r>
    </w:p>
    <w:p>
      <w:pPr>
        <w:pStyle w:val="Text1"/>
      </w:pPr>
      <w:r>
        <w:t>This system includes, on the one hand, all the necessary building blocks to guarantee a sound administration of the expenditure at Member States’ level and, on the other hand, allows the Commission to counter the risk of financial losses as a result of any deficiencies in the set-up and operation of those building blocks through the clearance of accounts procedure.</w:t>
      </w:r>
    </w:p>
    <w:p>
      <w:pPr>
        <w:pStyle w:val="Text1"/>
      </w:pPr>
      <w:r>
        <w:t>Member States have to ensure that the transactions are carried out and executed correctly, to prevent and deal with irregularities and to recover amounts unduly paid.</w:t>
      </w:r>
    </w:p>
    <w:p>
      <w:pPr>
        <w:pStyle w:val="Text1"/>
      </w:pPr>
      <w:r>
        <w:t>In complement to this general obligation, there is a system of controls and dissuasive sanctions of final beneficiaries which reflects the specific features of the regime and the risk involved in its administration.</w:t>
      </w:r>
    </w:p>
    <w:p>
      <w:pPr>
        <w:pStyle w:val="Text1"/>
      </w:pPr>
      <w:r>
        <w:t xml:space="preserve">The controls are carried out by the paying agencies or by delegated bodies operating under their supervision and effective, dissuasive and proportionate sanctions are imposed if the controls reveal non-compliance with EU rules. The system generally provides for exhaustive administrative controls of 100% of the aid applications, cross-checks with other databases where this is considered appropriate as well as pre-payment on-the-spot controls of a sample of transactions ranging between 1% and 100%, depending on the risk associated with the regime in question. </w:t>
      </w:r>
    </w:p>
    <w:p>
      <w:pPr>
        <w:pStyle w:val="Text1"/>
      </w:pPr>
      <w:r>
        <w:t>In addition, for most regimes which are not subject to the Integrated Administration and Control System (IACS), on top of the primary and secondary control levels, ex-post controls must be carried out.</w:t>
      </w:r>
    </w:p>
    <w:p>
      <w:pPr>
        <w:pStyle w:val="ManualHeading2"/>
        <w:rPr>
          <w:noProof/>
        </w:rPr>
      </w:pPr>
      <w:bookmarkStart w:id="109" w:name="_Toc322938641"/>
      <w:bookmarkStart w:id="110" w:name="_Toc484783939"/>
      <w:r>
        <w:t>5.2.</w:t>
      </w:r>
      <w:r>
        <w:tab/>
      </w:r>
      <w:r>
        <w:rPr>
          <w:noProof/>
        </w:rPr>
        <w:t>Integrated Administration and Control System (IACS)</w:t>
      </w:r>
      <w:bookmarkEnd w:id="109"/>
      <w:bookmarkEnd w:id="110"/>
    </w:p>
    <w:p>
      <w:pPr>
        <w:pStyle w:val="Text1"/>
      </w:pPr>
      <w:r>
        <w:t>Regulation (EU) No 1306/2013, Regulation (EU) No 1307/2013, Commission Delegated Regulation (EU) No 639/2014</w:t>
      </w:r>
      <w:r>
        <w:rPr>
          <w:vertAlign w:val="superscript"/>
        </w:rPr>
        <w:footnoteReference w:id="11"/>
      </w:r>
      <w:r>
        <w:t xml:space="preserve"> and Commission Delegated Regulation (EU) No 640/2014</w:t>
      </w:r>
      <w:r>
        <w:rPr>
          <w:vertAlign w:val="superscript"/>
        </w:rPr>
        <w:footnoteReference w:id="12"/>
      </w:r>
      <w:r>
        <w:t xml:space="preserve"> contain the rules on the IACS.</w:t>
      </w:r>
    </w:p>
    <w:p>
      <w:pPr>
        <w:pStyle w:val="Text1"/>
      </w:pPr>
      <w:r>
        <w:t>A fully operational IACS consists of: a computerised database, an identification system for agricultural parcels and farmers claiming aid, a system for identification and registration of payment entitlements, aid applications and integrated controls system (claim processing, on-the-spot checks and sanctioning mechanisms) and a system for identifying and registering animals where applicable. The IACS is fully automated.</w:t>
      </w:r>
    </w:p>
    <w:p>
      <w:pPr>
        <w:pStyle w:val="Text1"/>
      </w:pPr>
      <w:r>
        <w:t>This system foresees a 100% administrative control covering the eligibility of the claim, complemented by administrative cross-controls with standing databases ensuring that only areas or animals that fulfil all eligible requirements are paid the premium and by a minimum 5% of on-the-spot checks to check the existence and eligibility of the area or the animals claimed.</w:t>
      </w:r>
    </w:p>
    <w:p>
      <w:pPr>
        <w:pStyle w:val="Text1"/>
        <w:rPr>
          <w:color w:val="FF0000"/>
        </w:rPr>
      </w:pPr>
      <w:r>
        <w:t>For the financial year 2016, the IACS covered almost</w:t>
      </w:r>
      <w:r>
        <w:rPr>
          <w:bCs/>
        </w:rPr>
        <w:t xml:space="preserve"> 94% </w:t>
      </w:r>
      <w:r>
        <w:t>of the EAGF expenditure. Furthermore, the relevant components of the IACS are applicable to the rural development measures, which are based on area or number of animals. Such measures include, inter alia, agri-environment and animal welfare measures, less-favoured areas and areas with environmental restrictions and afforestation of agricultural land. For financial year 2016, around 50% of payments made under the EAFRD were also covered.</w:t>
      </w:r>
    </w:p>
    <w:p>
      <w:pPr>
        <w:pStyle w:val="Text1"/>
      </w:pPr>
      <w:r>
        <w:t>The Commission services verify the effectiveness of Member States' IACS and homogenous implementation by means of both on-the-spot auditing and general supervision based on annually supplied financial and statistical data. It has been established already for some years now that the IACS provides an excellent and cost effective means of ensuring the proper use of EU funds.</w:t>
      </w:r>
    </w:p>
    <w:p>
      <w:pPr>
        <w:pStyle w:val="ManualHeading2"/>
        <w:rPr>
          <w:noProof/>
        </w:rPr>
      </w:pPr>
      <w:bookmarkStart w:id="111" w:name="_Toc322938642"/>
      <w:bookmarkStart w:id="112" w:name="_Toc484783940"/>
      <w:r>
        <w:t>5.3.</w:t>
      </w:r>
      <w:r>
        <w:tab/>
      </w:r>
      <w:r>
        <w:rPr>
          <w:noProof/>
        </w:rPr>
        <w:t>Market measures</w:t>
      </w:r>
      <w:bookmarkEnd w:id="111"/>
      <w:bookmarkEnd w:id="112"/>
    </w:p>
    <w:p>
      <w:pPr>
        <w:pStyle w:val="Text1"/>
      </w:pPr>
      <w:r>
        <w:t>Market interventions, for example storage aid or aid to producer organisations, are not covered by IACS but they are governed by specific rules as regards controls and sanctions which are set out in horizontal and sector-based regulations.</w:t>
      </w:r>
    </w:p>
    <w:p>
      <w:pPr>
        <w:pStyle w:val="Text1"/>
      </w:pPr>
      <w:r>
        <w:t>Aids are paid on the basis of claims, often involving the lodging of administrative and/or end-use securities, which are systematically (100%) checked administratively for completeness and correctness. The more financially important aid schemes are also subject to regular accounting controls performed in situ on commercial and financial documents.</w:t>
      </w:r>
    </w:p>
    <w:p>
      <w:pPr>
        <w:pStyle w:val="ManualHeading2"/>
        <w:rPr>
          <w:noProof/>
        </w:rPr>
      </w:pPr>
      <w:bookmarkStart w:id="113" w:name="_Toc484783941"/>
      <w:r>
        <w:t>5.4.</w:t>
      </w:r>
      <w:r>
        <w:tab/>
      </w:r>
      <w:r>
        <w:rPr>
          <w:noProof/>
        </w:rPr>
        <w:t>Application of Chapter III of Title V Regulation (EU) No 1306/2013 (ex-post scrutiny)</w:t>
      </w:r>
      <w:bookmarkEnd w:id="113"/>
    </w:p>
    <w:p>
      <w:pPr>
        <w:pStyle w:val="Text1"/>
      </w:pPr>
      <w:r>
        <w:t>An ex-post control system is provided for under Regulation (EU) No 1306/2013 in Title V, Chapter III. It provides for an ex-post control system which is a complement to the sectoral control systems described above. The system constitutes an extra layer of control which contributes to the assurance that transactions have been carried out in conformity with the rules or otherwise allows recovering the unduly paid amounts.</w:t>
      </w:r>
    </w:p>
    <w:p>
      <w:pPr>
        <w:pStyle w:val="Text1"/>
      </w:pPr>
      <w:r>
        <w:t>The ex-post scrutiny is to be carried out by a body in the Member State, which is independent of the departments within the paying agency responsible for the pre-payment controls and the payments. It covers a wide range of CAP subsidies including sector schemes for fruit and vegetables, wine and POSEI aids. In fact, the ex-post scrutiny covers all aids paid to beneficiaries from EAGF (except payments covered by IACS and those excluded by Article 14 of Regulation (EU) No 907/2014).</w:t>
      </w:r>
    </w:p>
    <w:p>
      <w:pPr>
        <w:pStyle w:val="Text1"/>
      </w:pPr>
      <w:r>
        <w:t xml:space="preserve">In 2016, 3 Member States were visited to review the implementation of scrutiny. Member States scrutiny services completed ex-post controls in respect of undertakings to which payments were made in financial year 2014. The annual reports in respect of the respective scrutiny period (July 2015-June 2016) shows that Member States completed more than 90% of the planned scrutinies. The regulation also foresees Member States providing mutual assistance in the performance of scrutinies. In the 2015/2016 scrutiny period, ± 40 such requests were fulfilled. </w:t>
      </w:r>
    </w:p>
    <w:p>
      <w:pPr>
        <w:pStyle w:val="ManualHeading1"/>
        <w:rPr>
          <w:noProof/>
        </w:rPr>
      </w:pPr>
      <w:bookmarkStart w:id="114" w:name="_Toc322938644"/>
      <w:bookmarkStart w:id="115" w:name="_Toc484783942"/>
      <w:r>
        <w:t>6.</w:t>
      </w:r>
      <w:r>
        <w:tab/>
      </w:r>
      <w:r>
        <w:rPr>
          <w:noProof/>
        </w:rPr>
        <w:t>CLEARANCE OF ACCOUNTS</w:t>
      </w:r>
      <w:bookmarkEnd w:id="114"/>
      <w:bookmarkEnd w:id="115"/>
      <w:r>
        <w:rPr>
          <w:noProof/>
        </w:rPr>
        <w:t xml:space="preserve"> </w:t>
      </w:r>
    </w:p>
    <w:p>
      <w:pPr>
        <w:pStyle w:val="ManualHeading2"/>
        <w:rPr>
          <w:noProof/>
        </w:rPr>
      </w:pPr>
      <w:bookmarkStart w:id="116" w:name="_Toc484783943"/>
      <w:bookmarkStart w:id="117" w:name="_Toc322938645"/>
      <w:r>
        <w:t>6.1.</w:t>
      </w:r>
      <w:r>
        <w:tab/>
      </w:r>
      <w:r>
        <w:rPr>
          <w:noProof/>
        </w:rPr>
        <w:t>Conformity clearance</w:t>
      </w:r>
      <w:bookmarkEnd w:id="116"/>
    </w:p>
    <w:p>
      <w:pPr>
        <w:pStyle w:val="ManualHeading3"/>
        <w:rPr>
          <w:noProof/>
        </w:rPr>
      </w:pPr>
      <w:bookmarkStart w:id="118" w:name="_Toc484783944"/>
      <w:r>
        <w:t>6.1.1.</w:t>
      </w:r>
      <w:r>
        <w:tab/>
      </w:r>
      <w:r>
        <w:rPr>
          <w:noProof/>
        </w:rPr>
        <w:t>Introduction</w:t>
      </w:r>
      <w:bookmarkEnd w:id="117"/>
      <w:bookmarkEnd w:id="118"/>
    </w:p>
    <w:p>
      <w:pPr>
        <w:pStyle w:val="Text1"/>
      </w:pPr>
      <w:r>
        <w:t>It is primarily the Member States' responsibility to check that transactions are carried out and executed correctly via a system of control and dissuasive sanctions. Where Member States fail to meet this requirement, the Commission applies financial corrections to protect the financial interests of the EU.</w:t>
      </w:r>
    </w:p>
    <w:p>
      <w:pPr>
        <w:pStyle w:val="Text1"/>
      </w:pPr>
      <w:r>
        <w:t>The conformity clearance relates to the legality and regularity of transactions. It is designed to exclude expenditure from EU financing which has not been effected in compliance with EU rules, thus shielding the EU budget from expenditure that should not be charged to it (financial corrections). In contrast, it is not a mechanism by which irregular payments to beneficiaries are recovered, which according to the principle of shared management is the sole responsibility of Member States.</w:t>
      </w:r>
    </w:p>
    <w:p>
      <w:pPr>
        <w:pStyle w:val="Text1"/>
      </w:pPr>
      <w:r>
        <w:t>Financial corrections are determined on the basis of the nature and gravity of the infringement and the financial damage caused to the EU. Where possible, the amount is calculated on the basis of the loss actually caused or on the basis of an extrapolation. Where this is not possible, flat-rates are used which take account of the severity of the deficiencies in the national control systems in order to reflect the financial risk for the EU.</w:t>
      </w:r>
    </w:p>
    <w:p>
      <w:pPr>
        <w:pStyle w:val="Text1"/>
      </w:pPr>
      <w:r>
        <w:t>Where undue payments are or can be identified as a result of the conformity clearance procedures, Member States are required to follow them up by recovery actions against the final beneficiaries. However, even where this is not possible because the financial corrections only relate to deficiencies in the Member States' management and control systems, financial corrections are an important means to improve these systems and thus to prevent or detect and recover irregular payments to final beneficiaries. The conformity clearance, thereby, contributes to the legality and regularity of the transactions at the level of the final beneficiaries.</w:t>
      </w:r>
    </w:p>
    <w:p>
      <w:pPr>
        <w:pStyle w:val="ManualHeading3"/>
        <w:rPr>
          <w:noProof/>
        </w:rPr>
      </w:pPr>
      <w:bookmarkStart w:id="119" w:name="_Toc322938646"/>
      <w:bookmarkStart w:id="120" w:name="_Toc484783945"/>
      <w:r>
        <w:t>6.1.2.</w:t>
      </w:r>
      <w:r>
        <w:tab/>
      </w:r>
      <w:r>
        <w:rPr>
          <w:noProof/>
        </w:rPr>
        <w:t xml:space="preserve">Audits and decisions adopted in </w:t>
      </w:r>
      <w:bookmarkEnd w:id="119"/>
      <w:r>
        <w:rPr>
          <w:noProof/>
        </w:rPr>
        <w:t>2016</w:t>
      </w:r>
      <w:bookmarkEnd w:id="120"/>
    </w:p>
    <w:p>
      <w:pPr>
        <w:pStyle w:val="ManualHeading4"/>
        <w:rPr>
          <w:noProof/>
        </w:rPr>
      </w:pPr>
      <w:bookmarkStart w:id="121" w:name="_Toc322938647"/>
      <w:bookmarkStart w:id="122" w:name="_Toc484783946"/>
      <w:r>
        <w:t>6.1.2.1.</w:t>
      </w:r>
      <w:r>
        <w:tab/>
      </w:r>
      <w:r>
        <w:rPr>
          <w:noProof/>
        </w:rPr>
        <w:t>Audits</w:t>
      </w:r>
      <w:bookmarkEnd w:id="121"/>
      <w:bookmarkEnd w:id="122"/>
    </w:p>
    <w:p>
      <w:pPr>
        <w:pStyle w:val="Text1"/>
      </w:pPr>
      <w:bookmarkStart w:id="123" w:name="_Toc322938648"/>
      <w:r>
        <w:t>The following table presents an overview of the conformity audits with missions and their coverage in respect of financial year 2016, broken down per Activity Based Budgeting (ABB):</w:t>
      </w:r>
    </w:p>
    <w:tbl>
      <w:tblPr>
        <w:tblW w:w="8221" w:type="dxa"/>
        <w:tblInd w:w="959" w:type="dxa"/>
        <w:tblLayout w:type="fixed"/>
        <w:tblCellMar>
          <w:top w:w="113" w:type="dxa"/>
          <w:bottom w:w="113" w:type="dxa"/>
        </w:tblCellMar>
        <w:tblLook w:val="0000" w:firstRow="0" w:lastRow="0" w:firstColumn="0" w:lastColumn="0" w:noHBand="0" w:noVBand="0"/>
      </w:tblPr>
      <w:tblGrid>
        <w:gridCol w:w="2410"/>
        <w:gridCol w:w="1417"/>
        <w:gridCol w:w="1276"/>
        <w:gridCol w:w="1701"/>
        <w:gridCol w:w="1391"/>
        <w:gridCol w:w="26"/>
      </w:tblGrid>
      <w:tr>
        <w:trPr>
          <w:trHeight w:val="113"/>
        </w:trPr>
        <w:tc>
          <w:tcPr>
            <w:tcW w:w="2410" w:type="dxa"/>
            <w:tcBorders>
              <w:top w:val="single" w:sz="8" w:space="0" w:color="auto"/>
              <w:left w:val="single" w:sz="8" w:space="0" w:color="auto"/>
              <w:bottom w:val="single" w:sz="4" w:space="0" w:color="auto"/>
            </w:tcBorders>
            <w:shd w:val="clear" w:color="auto" w:fill="99CC00"/>
            <w:noWrap/>
          </w:tcPr>
          <w:p>
            <w:pPr>
              <w:keepNext/>
              <w:keepLines/>
              <w:rPr>
                <w:b/>
                <w:bCs/>
                <w:noProof/>
                <w:sz w:val="20"/>
                <w:szCs w:val="20"/>
              </w:rPr>
            </w:pPr>
            <w:r>
              <w:rPr>
                <w:b/>
                <w:bCs/>
                <w:noProof/>
                <w:sz w:val="20"/>
                <w:szCs w:val="20"/>
              </w:rPr>
              <w:t>Financial Year 2016</w:t>
            </w:r>
          </w:p>
        </w:tc>
        <w:tc>
          <w:tcPr>
            <w:tcW w:w="1417" w:type="dxa"/>
            <w:tcBorders>
              <w:top w:val="single" w:sz="8" w:space="0" w:color="auto"/>
              <w:bottom w:val="single" w:sz="4" w:space="0" w:color="auto"/>
            </w:tcBorders>
            <w:shd w:val="clear" w:color="auto" w:fill="99CC00"/>
            <w:noWrap/>
          </w:tcPr>
          <w:p>
            <w:pPr>
              <w:keepNext/>
              <w:keepLines/>
              <w:jc w:val="center"/>
              <w:rPr>
                <w:b/>
                <w:bCs/>
                <w:noProof/>
                <w:sz w:val="20"/>
                <w:szCs w:val="20"/>
              </w:rPr>
            </w:pPr>
            <w:r>
              <w:rPr>
                <w:b/>
                <w:bCs/>
                <w:noProof/>
                <w:sz w:val="20"/>
                <w:szCs w:val="20"/>
              </w:rPr>
              <w:t>ABB 02</w:t>
            </w:r>
          </w:p>
        </w:tc>
        <w:tc>
          <w:tcPr>
            <w:tcW w:w="1276" w:type="dxa"/>
            <w:tcBorders>
              <w:top w:val="single" w:sz="8" w:space="0" w:color="auto"/>
              <w:bottom w:val="single" w:sz="4" w:space="0" w:color="auto"/>
            </w:tcBorders>
            <w:shd w:val="clear" w:color="auto" w:fill="99CC00"/>
            <w:noWrap/>
          </w:tcPr>
          <w:p>
            <w:pPr>
              <w:keepNext/>
              <w:keepLines/>
              <w:jc w:val="center"/>
              <w:rPr>
                <w:b/>
                <w:bCs/>
                <w:noProof/>
                <w:sz w:val="20"/>
                <w:szCs w:val="20"/>
              </w:rPr>
            </w:pPr>
            <w:r>
              <w:rPr>
                <w:b/>
                <w:bCs/>
                <w:noProof/>
                <w:sz w:val="20"/>
                <w:szCs w:val="20"/>
              </w:rPr>
              <w:t>ABB 03</w:t>
            </w:r>
          </w:p>
        </w:tc>
        <w:tc>
          <w:tcPr>
            <w:tcW w:w="1701" w:type="dxa"/>
            <w:tcBorders>
              <w:top w:val="single" w:sz="8" w:space="0" w:color="auto"/>
              <w:bottom w:val="single" w:sz="4" w:space="0" w:color="auto"/>
            </w:tcBorders>
            <w:shd w:val="clear" w:color="auto" w:fill="99CC00"/>
            <w:noWrap/>
          </w:tcPr>
          <w:p>
            <w:pPr>
              <w:keepNext/>
              <w:keepLines/>
              <w:jc w:val="center"/>
              <w:rPr>
                <w:b/>
                <w:bCs/>
                <w:noProof/>
                <w:sz w:val="20"/>
                <w:szCs w:val="20"/>
              </w:rPr>
            </w:pPr>
            <w:r>
              <w:rPr>
                <w:b/>
                <w:bCs/>
                <w:noProof/>
                <w:sz w:val="20"/>
                <w:szCs w:val="20"/>
              </w:rPr>
              <w:t>ABB 04</w:t>
            </w:r>
            <w:r>
              <w:rPr>
                <w:b/>
                <w:bCs/>
                <w:noProof/>
                <w:sz w:val="20"/>
                <w:szCs w:val="20"/>
                <w:vertAlign w:val="superscript"/>
              </w:rPr>
              <w:t>1)</w:t>
            </w:r>
          </w:p>
        </w:tc>
        <w:tc>
          <w:tcPr>
            <w:tcW w:w="1417" w:type="dxa"/>
            <w:gridSpan w:val="2"/>
            <w:tcBorders>
              <w:top w:val="single" w:sz="8" w:space="0" w:color="auto"/>
              <w:bottom w:val="single" w:sz="4" w:space="0" w:color="auto"/>
              <w:right w:val="single" w:sz="8" w:space="0" w:color="auto"/>
            </w:tcBorders>
            <w:shd w:val="clear" w:color="auto" w:fill="99CC00"/>
            <w:noWrap/>
          </w:tcPr>
          <w:p>
            <w:pPr>
              <w:keepNext/>
              <w:keepLines/>
              <w:jc w:val="center"/>
              <w:rPr>
                <w:b/>
                <w:bCs/>
                <w:noProof/>
                <w:sz w:val="20"/>
                <w:szCs w:val="20"/>
              </w:rPr>
            </w:pPr>
            <w:r>
              <w:rPr>
                <w:b/>
                <w:bCs/>
                <w:noProof/>
                <w:sz w:val="20"/>
                <w:szCs w:val="20"/>
              </w:rPr>
              <w:t>Total</w:t>
            </w:r>
            <w:r>
              <w:rPr>
                <w:b/>
                <w:bCs/>
                <w:noProof/>
                <w:sz w:val="20"/>
                <w:szCs w:val="20"/>
                <w:vertAlign w:val="superscript"/>
              </w:rPr>
              <w:t>2)</w:t>
            </w:r>
          </w:p>
        </w:tc>
      </w:tr>
      <w:tr>
        <w:trPr>
          <w:trHeight w:val="732"/>
        </w:trPr>
        <w:tc>
          <w:tcPr>
            <w:tcW w:w="241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pPr>
              <w:keepNext/>
              <w:rPr>
                <w:rFonts w:cs="Calibri"/>
                <w:noProof/>
                <w:sz w:val="20"/>
                <w:szCs w:val="20"/>
              </w:rPr>
            </w:pPr>
            <w:r>
              <w:rPr>
                <w:noProof/>
                <w:sz w:val="20"/>
                <w:szCs w:val="20"/>
              </w:rPr>
              <w:t>Number of conformity audits with missions carried out</w:t>
            </w:r>
            <w:r>
              <w:rPr>
                <w:noProof/>
                <w:sz w:val="20"/>
                <w:szCs w:val="20"/>
                <w:vertAlign w:val="superscript"/>
              </w:rPr>
              <w:t>3)</w:t>
            </w:r>
            <w:r>
              <w:rPr>
                <w:noProof/>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pPr>
              <w:keepNext/>
              <w:ind w:right="454"/>
              <w:jc w:val="center"/>
              <w:rPr>
                <w:rFonts w:cs="Calibri"/>
                <w:noProof/>
                <w:sz w:val="20"/>
                <w:szCs w:val="20"/>
              </w:rPr>
            </w:pPr>
            <w:r>
              <w:rPr>
                <w:noProof/>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pPr>
              <w:keepNext/>
              <w:ind w:right="454"/>
              <w:jc w:val="center"/>
              <w:rPr>
                <w:rFonts w:cs="Calibri"/>
                <w:noProof/>
                <w:sz w:val="20"/>
                <w:szCs w:val="20"/>
              </w:rPr>
            </w:pPr>
            <w:r>
              <w:rPr>
                <w:noProof/>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pPr>
              <w:keepNext/>
              <w:ind w:right="454"/>
              <w:jc w:val="center"/>
              <w:rPr>
                <w:rFonts w:cs="Calibri"/>
                <w:noProof/>
                <w:sz w:val="20"/>
                <w:szCs w:val="20"/>
              </w:rPr>
            </w:pPr>
            <w:r>
              <w:rPr>
                <w:noProof/>
                <w:sz w:val="20"/>
                <w:szCs w:val="20"/>
              </w:rPr>
              <w:t>56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tcPr>
          <w:p>
            <w:pPr>
              <w:keepNext/>
              <w:ind w:right="454"/>
              <w:jc w:val="center"/>
              <w:rPr>
                <w:rFonts w:cs="Calibri"/>
                <w:noProof/>
                <w:sz w:val="20"/>
                <w:szCs w:val="20"/>
              </w:rPr>
            </w:pPr>
            <w:r>
              <w:rPr>
                <w:noProof/>
                <w:sz w:val="20"/>
                <w:szCs w:val="20"/>
              </w:rPr>
              <w:t>155</w:t>
            </w:r>
          </w:p>
        </w:tc>
      </w:tr>
      <w:tr>
        <w:trPr>
          <w:gridAfter w:val="1"/>
          <w:wAfter w:w="26" w:type="dxa"/>
          <w:trHeight w:val="113"/>
        </w:trPr>
        <w:tc>
          <w:tcPr>
            <w:tcW w:w="8195" w:type="dxa"/>
            <w:gridSpan w:val="5"/>
            <w:tcBorders>
              <w:top w:val="single" w:sz="4" w:space="0" w:color="auto"/>
            </w:tcBorders>
            <w:shd w:val="clear" w:color="auto" w:fill="auto"/>
            <w:tcMar>
              <w:top w:w="57" w:type="dxa"/>
              <w:bottom w:w="57" w:type="dxa"/>
            </w:tcMar>
          </w:tcPr>
          <w:p>
            <w:pPr>
              <w:keepNext/>
              <w:keepLines/>
              <w:ind w:right="454"/>
              <w:rPr>
                <w:noProof/>
                <w:sz w:val="20"/>
                <w:szCs w:val="20"/>
              </w:rPr>
            </w:pPr>
            <w:r>
              <w:rPr>
                <w:noProof/>
                <w:sz w:val="20"/>
                <w:szCs w:val="20"/>
                <w:vertAlign w:val="superscript"/>
              </w:rPr>
              <w:t>1)</w:t>
            </w:r>
            <w:r>
              <w:rPr>
                <w:noProof/>
                <w:sz w:val="20"/>
                <w:szCs w:val="20"/>
              </w:rPr>
              <w:t xml:space="preserve"> concerns only EAFRD.</w:t>
            </w:r>
          </w:p>
          <w:p>
            <w:pPr>
              <w:keepNext/>
              <w:keepLines/>
              <w:jc w:val="both"/>
              <w:rPr>
                <w:noProof/>
                <w:sz w:val="20"/>
                <w:szCs w:val="20"/>
              </w:rPr>
            </w:pPr>
            <w:r>
              <w:rPr>
                <w:noProof/>
                <w:sz w:val="20"/>
                <w:szCs w:val="20"/>
                <w:vertAlign w:val="superscript"/>
              </w:rPr>
              <w:t>2)</w:t>
            </w:r>
            <w:r>
              <w:rPr>
                <w:noProof/>
                <w:sz w:val="20"/>
                <w:szCs w:val="20"/>
              </w:rPr>
              <w:t xml:space="preserve"> The total figure includes 130 conformity audits, of which 102 audits targeted the 3 ABBs areas (audits targeting more than one ABBs are counted only once) and 28 other conformity audits (11 audits on cross compliance, 6 audits on entitlements, 7 IT audits and 4 audits on ex-post scrutiny of transactions). In addition to the conformity audits, 25 other audit missions not subject to conformity clearance procedure have been carried out (2 audits on action plans, 1 audit on IPARD, 2 audits on debt managagement and irregularities, 1 financial audit, 16 audits on the Certification Bodies as regards legality and regularity and 3 pre-accession audits).</w:t>
            </w:r>
          </w:p>
          <w:p>
            <w:pPr>
              <w:keepNext/>
              <w:keepLines/>
              <w:ind w:right="454"/>
              <w:rPr>
                <w:noProof/>
                <w:sz w:val="20"/>
                <w:szCs w:val="20"/>
              </w:rPr>
            </w:pPr>
            <w:r>
              <w:rPr>
                <w:noProof/>
                <w:sz w:val="20"/>
                <w:szCs w:val="20"/>
                <w:vertAlign w:val="superscript"/>
              </w:rPr>
              <w:t>3)</w:t>
            </w:r>
            <w:r>
              <w:rPr>
                <w:noProof/>
                <w:sz w:val="20"/>
                <w:szCs w:val="20"/>
              </w:rPr>
              <w:t xml:space="preserve"> if an audit covers more than one ABB, it is allocated to all ABBs covered by that audit.</w:t>
            </w:r>
          </w:p>
        </w:tc>
      </w:tr>
    </w:tbl>
    <w:p>
      <w:pPr>
        <w:pStyle w:val="ManualHeading4"/>
        <w:rPr>
          <w:noProof/>
        </w:rPr>
      </w:pPr>
      <w:bookmarkStart w:id="124" w:name="_Toc484783947"/>
      <w:r>
        <w:t>6.1.2.2.</w:t>
      </w:r>
      <w:r>
        <w:tab/>
      </w:r>
      <w:r>
        <w:rPr>
          <w:noProof/>
        </w:rPr>
        <w:t>Conformity decisions</w:t>
      </w:r>
      <w:bookmarkEnd w:id="123"/>
      <w:bookmarkEnd w:id="124"/>
    </w:p>
    <w:p>
      <w:pPr>
        <w:pStyle w:val="Text1"/>
        <w:spacing w:after="0"/>
        <w:ind w:left="851"/>
      </w:pPr>
      <w:r>
        <w:t>Three conformity clearance decisions having an impact on the financial year 2016 were adopted involving financial corrections in a number of sectors. These decisions had an overall financial impact for EAGF by excluding from EU financing a total of EUR 1 298 million:</w:t>
      </w:r>
    </w:p>
    <w:p>
      <w:pPr>
        <w:pStyle w:val="ListBullet1"/>
        <w:tabs>
          <w:tab w:val="clear" w:pos="1134"/>
        </w:tabs>
        <w:ind w:left="1276"/>
        <w:rPr>
          <w:noProof/>
        </w:rPr>
      </w:pPr>
      <w:r>
        <w:rPr>
          <w:noProof/>
        </w:rPr>
        <w:t>Decision 2015/2098/EU of 13 November 2015 – 49th Decision, financial impact of EUR 238.42 million;</w:t>
      </w:r>
    </w:p>
    <w:p>
      <w:pPr>
        <w:pStyle w:val="ListBullet1"/>
        <w:tabs>
          <w:tab w:val="clear" w:pos="1134"/>
        </w:tabs>
        <w:ind w:left="1276"/>
        <w:rPr>
          <w:noProof/>
        </w:rPr>
      </w:pPr>
      <w:r>
        <w:rPr>
          <w:noProof/>
        </w:rPr>
        <w:t>Decision 2016/417/EU of 17 March 2016 – 50th Decision, financial impact of EUR 506.34 million;</w:t>
      </w:r>
    </w:p>
    <w:p>
      <w:pPr>
        <w:pStyle w:val="ListBullet1"/>
        <w:tabs>
          <w:tab w:val="clear" w:pos="1134"/>
        </w:tabs>
        <w:ind w:left="1276"/>
        <w:rPr>
          <w:noProof/>
        </w:rPr>
      </w:pPr>
      <w:r>
        <w:rPr>
          <w:noProof/>
        </w:rPr>
        <w:t>Decision 2016/1059/EU of 20 June 2016 – 51th Decision, financial impact of EUR 553.55 million.</w:t>
      </w:r>
    </w:p>
    <w:p>
      <w:pPr>
        <w:pStyle w:val="ListBullet1"/>
        <w:numPr>
          <w:ilvl w:val="0"/>
          <w:numId w:val="0"/>
        </w:numPr>
        <w:ind w:left="851"/>
        <w:rPr>
          <w:noProof/>
        </w:rPr>
      </w:pPr>
      <w:r>
        <w:rPr>
          <w:noProof/>
        </w:rPr>
        <w:t>For the decisions 49 (2015/2098/EU), 50 (2016/417/EU) and 51 (2016/1059/EU) due to the relative magnitude of corrections compared to certain Member State’s GDP, the Commission decided that corrections amounting to EUR 342.42 million could be paid in 3 equal annual instalments. In addition, financial corrections for Greece in decisions 49, and 50 are included in the deferral decision (C(2015)4122 of 22 June 2015) amounting to EUR 180.6 million for EAGF.</w:t>
      </w:r>
    </w:p>
    <w:p>
      <w:pPr>
        <w:pStyle w:val="Text1"/>
        <w:ind w:left="851"/>
        <w:jc w:val="left"/>
        <w:rPr>
          <w:bCs/>
        </w:rPr>
      </w:pPr>
      <w:r>
        <w:t>The breakdown of financial impact according to sectors is as follows</w:t>
      </w:r>
      <w:r>
        <w:rPr>
          <w:b/>
          <w:bCs/>
        </w:rPr>
        <w:t xml:space="preserve"> </w:t>
      </w:r>
      <w:r>
        <w:rPr>
          <w:bCs/>
        </w:rPr>
        <w:t>(in EUR million):</w:t>
      </w:r>
    </w:p>
    <w:tbl>
      <w:tblPr>
        <w:tblW w:w="8080" w:type="dxa"/>
        <w:tblInd w:w="959" w:type="dxa"/>
        <w:tblLook w:val="04A0" w:firstRow="1" w:lastRow="0" w:firstColumn="1" w:lastColumn="0" w:noHBand="0" w:noVBand="1"/>
      </w:tblPr>
      <w:tblGrid>
        <w:gridCol w:w="4252"/>
        <w:gridCol w:w="1276"/>
        <w:gridCol w:w="1276"/>
        <w:gridCol w:w="1276"/>
      </w:tblGrid>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rPr>
                <w:sz w:val="22"/>
              </w:rPr>
            </w:pPr>
            <w:r>
              <w:rPr>
                <w:sz w:val="22"/>
              </w:rPr>
              <w:t>Decision 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pPr>
              <w:pStyle w:val="Text1"/>
              <w:spacing w:before="0" w:after="0"/>
              <w:ind w:left="0"/>
              <w:rPr>
                <w:sz w:val="22"/>
              </w:rPr>
            </w:pPr>
            <w:r>
              <w:rPr>
                <w:sz w:val="22"/>
              </w:rPr>
              <w:t>Decision 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pPr>
              <w:pStyle w:val="Text1"/>
              <w:spacing w:before="0" w:after="0"/>
              <w:ind w:left="0"/>
              <w:rPr>
                <w:sz w:val="22"/>
              </w:rPr>
            </w:pPr>
            <w:r>
              <w:rPr>
                <w:sz w:val="22"/>
              </w:rPr>
              <w:t>Decision 51</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Area aids / Arable crops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106.87</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378.31</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549.61</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Article 69 of Reg.1782/2003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0.53</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-0.36</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0.00</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Financial Audit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14.25</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2.98</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1.04</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Fruit and vegetables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85.90</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8.76</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0.42</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Intervention storage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1.12</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0.00</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1.03</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Irregularities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11.21</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88.49</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0.36</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Milk Products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0.00</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0.00</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0.38</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POSEI</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1.00</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0.00</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0.00</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Potato starch</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0.00</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-6.19</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0.00</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Specific support (Art.68 of Reg.73/2009)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6.87</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0.39</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0.07</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pPr>
            <w:r>
              <w:t>Wine</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10.69</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33.97</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sz w:val="22"/>
              </w:rPr>
            </w:pPr>
            <w:r>
              <w:rPr>
                <w:sz w:val="22"/>
              </w:rPr>
              <w:t>0.64</w:t>
            </w:r>
          </w:p>
        </w:tc>
      </w:tr>
      <w:tr>
        <w:trPr>
          <w:trHeight w:val="315"/>
        </w:trPr>
        <w:tc>
          <w:tcPr>
            <w:tcW w:w="4252" w:type="dxa"/>
            <w:tcBorders>
              <w:top w:val="single" w:sz="4" w:space="0" w:color="000000"/>
              <w:left w:val="single" w:sz="4" w:space="0" w:color="000000"/>
              <w:bottom w:val="single" w:sz="4" w:space="0" w:color="000000"/>
              <w:right w:val="nil"/>
            </w:tcBorders>
            <w:shd w:val="clear" w:color="auto" w:fill="auto"/>
            <w:noWrap/>
            <w:vAlign w:val="bottom"/>
            <w:hideMark/>
          </w:tcPr>
          <w:p>
            <w:pPr>
              <w:pStyle w:val="Text1"/>
              <w:spacing w:before="0" w:after="0"/>
              <w:ind w:left="0"/>
              <w:rPr>
                <w:b/>
              </w:rPr>
            </w:pPr>
            <w:r>
              <w:rPr>
                <w:b/>
              </w:rPr>
              <w:t>Total</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pPr>
              <w:pStyle w:val="Text1"/>
              <w:spacing w:before="0" w:after="0"/>
              <w:ind w:left="0"/>
              <w:jc w:val="right"/>
              <w:rPr>
                <w:b/>
                <w:sz w:val="22"/>
              </w:rPr>
            </w:pPr>
            <w:r>
              <w:rPr>
                <w:b/>
                <w:sz w:val="22"/>
              </w:rPr>
              <w:t>238.42</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b/>
                <w:sz w:val="22"/>
              </w:rPr>
            </w:pPr>
            <w:r>
              <w:rPr>
                <w:b/>
                <w:sz w:val="22"/>
              </w:rPr>
              <w:t>506.34</w:t>
            </w:r>
          </w:p>
        </w:tc>
        <w:tc>
          <w:tcPr>
            <w:tcW w:w="1276" w:type="dxa"/>
            <w:tcBorders>
              <w:top w:val="nil"/>
              <w:left w:val="nil"/>
              <w:bottom w:val="single" w:sz="4" w:space="0" w:color="auto"/>
              <w:right w:val="single" w:sz="4" w:space="0" w:color="auto"/>
            </w:tcBorders>
            <w:shd w:val="clear" w:color="auto" w:fill="auto"/>
            <w:noWrap/>
            <w:vAlign w:val="bottom"/>
            <w:hideMark/>
          </w:tcPr>
          <w:p>
            <w:pPr>
              <w:pStyle w:val="Text1"/>
              <w:spacing w:before="0" w:after="0"/>
              <w:ind w:left="0"/>
              <w:jc w:val="right"/>
              <w:rPr>
                <w:b/>
                <w:sz w:val="22"/>
              </w:rPr>
            </w:pPr>
            <w:r>
              <w:rPr>
                <w:b/>
                <w:sz w:val="22"/>
              </w:rPr>
              <w:t>553.55</w:t>
            </w:r>
          </w:p>
        </w:tc>
      </w:tr>
    </w:tbl>
    <w:p>
      <w:pPr>
        <w:pStyle w:val="Text1"/>
      </w:pPr>
      <w:r>
        <w:t xml:space="preserve">Under Regulation (EU) No 1306/2013, an automatic clearing mechanism is applied to irregular payments not recovered 4 years after the establishment of the irregularity, or 8 years after the establishment of the irregularity when the recovery is challenged in national courts. The financial consequences of non recovery are shared by the Member State concerned and the EU on a 50% - 50% basis. Even after the application of this mechanism, Member States are, however, obliged to pursue their recovery procedures and, if they fail to do so with the necessary diligence, the Commission may decide to charge the entire outstanding amounts to the Member States concerned. </w:t>
      </w:r>
    </w:p>
    <w:p>
      <w:pPr>
        <w:pStyle w:val="Text1"/>
        <w:rPr>
          <w:b/>
        </w:rPr>
      </w:pPr>
      <w:r>
        <w:t xml:space="preserve">Regarding financial year 2015, Member States reported the information about recovery cases by 15 February 2016. The Member States recovered during financial year 2015 around EUR 186.1 million for EAGF. Recovered amounts were EUR 153 million for EAFRD and EUR 1.6 million for Transitional Rural Development Instrument (TRDI). The outstanding amount still to be recovered from beneficiaries at the end of that financial year was EUR 1 475.2 million for EAGF, EUR 493.1 million for EAFRD and EUR 17.3 million for TRDI. The financial consequences to the Member States for non recovery of EAGF cases dating from 2011 or 2007 account to EUR 22 million. During financial year 2015, around EUR 35.2 million was borne by the EU budget for EAGF cases reported irrecoverable. </w:t>
      </w:r>
    </w:p>
    <w:p>
      <w:pPr>
        <w:pStyle w:val="ManualHeading2"/>
        <w:rPr>
          <w:noProof/>
        </w:rPr>
      </w:pPr>
      <w:bookmarkStart w:id="125" w:name="_Toc322938649"/>
      <w:bookmarkStart w:id="126" w:name="_Toc484783948"/>
      <w:r>
        <w:t>6.2.</w:t>
      </w:r>
      <w:r>
        <w:tab/>
      </w:r>
      <w:r>
        <w:rPr>
          <w:noProof/>
        </w:rPr>
        <w:t>Financial clearance</w:t>
      </w:r>
      <w:bookmarkEnd w:id="125"/>
      <w:bookmarkEnd w:id="126"/>
    </w:p>
    <w:p>
      <w:pPr>
        <w:pStyle w:val="ManualHeading3"/>
        <w:rPr>
          <w:noProof/>
        </w:rPr>
      </w:pPr>
      <w:bookmarkStart w:id="127" w:name="_Toc322938650"/>
      <w:bookmarkStart w:id="128" w:name="_Toc484783949"/>
      <w:r>
        <w:t>6.2.1.</w:t>
      </w:r>
      <w:r>
        <w:tab/>
      </w:r>
      <w:r>
        <w:rPr>
          <w:noProof/>
        </w:rPr>
        <w:t>Introduction</w:t>
      </w:r>
      <w:bookmarkEnd w:id="127"/>
      <w:bookmarkEnd w:id="128"/>
    </w:p>
    <w:p>
      <w:pPr>
        <w:pStyle w:val="Text1"/>
      </w:pPr>
      <w:r>
        <w:t>The financial clearance covers the completeness, accuracy and veracity of paying agencies' accounts as well as the internal control systems set up by these paying agencies. Within this framework, Directorate-General for Agriculture and Rural Development (DG AGRI) pays particular attention to the certifying bodies’ conclusions and recommendations (where weaknesses are found), following their reviews of the paying agencies’ compliance with the accreditation criteria. As part of this review, the DG AGRI departments also cover aspects relating to conformity issues and protecting the financial interests of the EU as regards the advances paid, securities obtained and intervention stocks.</w:t>
      </w:r>
    </w:p>
    <w:p>
      <w:pPr>
        <w:pStyle w:val="Text1"/>
      </w:pPr>
      <w:r>
        <w:t>The Commission adopts an annual clearance of accounts decision clearing the paying agencies' annual accounts on the basis of the certificates and reports from the certifying bodies, but without prejudice to any subsequent decisions to recover expenditure which proves not to have been in accordance with the EU rules. As from financial year 2014, these accounts are received by the Commission by 15 February of the year following the financial year in question. The Commission must clear the accounts and adopt its clearance decision by 31 May of the year following the financial year in question.</w:t>
      </w:r>
    </w:p>
    <w:p>
      <w:pPr>
        <w:pStyle w:val="ManualHeading3"/>
        <w:rPr>
          <w:bCs/>
          <w:noProof/>
        </w:rPr>
      </w:pPr>
      <w:bookmarkStart w:id="129" w:name="_Toc322938651"/>
      <w:bookmarkStart w:id="130" w:name="_Toc484783950"/>
      <w:r>
        <w:t>6.2.2.</w:t>
      </w:r>
      <w:r>
        <w:tab/>
      </w:r>
      <w:r>
        <w:rPr>
          <w:noProof/>
        </w:rPr>
        <w:t>Decisions</w:t>
      </w:r>
      <w:bookmarkEnd w:id="129"/>
      <w:bookmarkEnd w:id="130"/>
    </w:p>
    <w:p>
      <w:pPr>
        <w:pStyle w:val="ManualHeading4"/>
        <w:rPr>
          <w:noProof/>
        </w:rPr>
      </w:pPr>
      <w:bookmarkStart w:id="131" w:name="_Toc484783951"/>
      <w:r>
        <w:t>6.2.2.1.</w:t>
      </w:r>
      <w:r>
        <w:tab/>
      </w:r>
      <w:r>
        <w:rPr>
          <w:noProof/>
        </w:rPr>
        <w:t>Financial clearance decision for the financial year 2010</w:t>
      </w:r>
      <w:bookmarkEnd w:id="131"/>
    </w:p>
    <w:p>
      <w:pPr>
        <w:pStyle w:val="Text1"/>
      </w:pPr>
      <w:r>
        <w:t xml:space="preserve">On 29 April 2011, the Commission adopted a Decision clearing the annual accounts of 74 paying agencies in respect of their expenditure financed by the EAGF. By means of its decision, it cleared amounts of EUR 38 862.4 million. </w:t>
      </w:r>
    </w:p>
    <w:p>
      <w:pPr>
        <w:pStyle w:val="Text1"/>
      </w:pPr>
      <w:r>
        <w:t xml:space="preserve">With Commission Decision C(2012) 369, adopted on 27 January 2012, the accounts of the paying agencies Rheinland-Pfalz (Germany) and Dienst Regelingen (The Netherlands) have been cleared amounting to EUR 1 100 million. With Commission Decision C(2015) 393, adopted on 02 February 2015, the Commission cleared the accounts of OPEKEPE (Greece) and ARBEA (Italy) amounting to EUR 2 460 million. </w:t>
      </w:r>
    </w:p>
    <w:p>
      <w:pPr>
        <w:pStyle w:val="ManualHeading4"/>
        <w:rPr>
          <w:noProof/>
        </w:rPr>
      </w:pPr>
      <w:bookmarkStart w:id="132" w:name="_Toc484783952"/>
      <w:r>
        <w:t>6.2.2.2.</w:t>
      </w:r>
      <w:r>
        <w:tab/>
      </w:r>
      <w:r>
        <w:rPr>
          <w:noProof/>
        </w:rPr>
        <w:t>Financial clearance decision for the financial year 2011</w:t>
      </w:r>
      <w:bookmarkEnd w:id="132"/>
    </w:p>
    <w:p>
      <w:pPr>
        <w:pStyle w:val="Text1"/>
      </w:pPr>
      <w:r>
        <w:t>With Commission Decision 2012/240/EU adopted on 27 April 2012, the Commission cleared the accounts of all paying agencies for EAGF, except for HAMBURG-JONAS (Germany) and PIAA (Romania).</w:t>
      </w:r>
    </w:p>
    <w:p>
      <w:pPr>
        <w:pStyle w:val="Text1"/>
      </w:pPr>
      <w:r>
        <w:t>With Commission Decision C(2016) 15 adopted on 13 January 2016, the accounts of HAMBURG-JONAS (Germany) were cleared amounting to EUR 35 million. The accounts of PIAA (Romania) were cleared by Commission Decision C(2016) 7238 adopted on 16 November 2016, amounting to EUR 766 million.</w:t>
      </w:r>
    </w:p>
    <w:p>
      <w:pPr>
        <w:pStyle w:val="ManualHeading4"/>
        <w:rPr>
          <w:noProof/>
        </w:rPr>
      </w:pPr>
      <w:bookmarkStart w:id="133" w:name="_Toc484783953"/>
      <w:r>
        <w:t>6.2.2.3.</w:t>
      </w:r>
      <w:r>
        <w:tab/>
      </w:r>
      <w:r>
        <w:rPr>
          <w:noProof/>
        </w:rPr>
        <w:t>Financial clearance decision for the financial year 2012</w:t>
      </w:r>
      <w:bookmarkEnd w:id="133"/>
    </w:p>
    <w:p>
      <w:pPr>
        <w:pStyle w:val="Text1"/>
      </w:pPr>
      <w:r>
        <w:t xml:space="preserve">On 26 April 2013, the Commission adopted a Decision clearing the annual accounts of 75 paying agencies in respect of EAGF expenditure. With this decision, expenditure amounting to EUR 43 324 million was cleared. On 5 August 2014, the Commission adopted a Decision clearing the annual accounts of financial year 2012 HELABA (Germany). This decision cleared EUR 220 million of expenditure. With Commission Decision C(2016) 1543 adopted on 17 March 2016, the accounts of BIRB (Belgium) and HAMBURG-JONAS (Germany) were cleared amounting to EUR 34.5 million. </w:t>
      </w:r>
    </w:p>
    <w:p>
      <w:pPr>
        <w:pStyle w:val="ManualHeading4"/>
        <w:rPr>
          <w:noProof/>
        </w:rPr>
      </w:pPr>
      <w:bookmarkStart w:id="134" w:name="_Toc484783954"/>
      <w:r>
        <w:t>6.2.2.4.</w:t>
      </w:r>
      <w:r>
        <w:tab/>
      </w:r>
      <w:r>
        <w:rPr>
          <w:noProof/>
        </w:rPr>
        <w:t>Financial clearance decision for the financial year 2013</w:t>
      </w:r>
      <w:bookmarkEnd w:id="134"/>
    </w:p>
    <w:p>
      <w:pPr>
        <w:pStyle w:val="Text1"/>
      </w:pPr>
      <w:r>
        <w:t xml:space="preserve">On 29 April 2014, the Commission adopted a Decision clearing the annual accounts of 76 paying agencies in respect of EAGF expenditure. With this decision, expenditure amounting to EUR 40 628.5 million was cleared. The accounts of BIRB (Belgium), OPEKEPE (Greece) and PIAA (Romania) were disjoint. </w:t>
      </w:r>
    </w:p>
    <w:p>
      <w:pPr>
        <w:pStyle w:val="Text1"/>
      </w:pPr>
      <w:r>
        <w:t xml:space="preserve">On 16 November 2016, the Commission adopted Decision C(2016) 7229 clearing the annual accounts of BIRB (Belgium). This decision cleared EUR 15 million. The accounts of OPEKEPE (Greece) and PIAA (Romania) will be cleared in 2017 amounting to EUR 3 515 million. </w:t>
      </w:r>
    </w:p>
    <w:p>
      <w:pPr>
        <w:pStyle w:val="ManualHeading4"/>
        <w:rPr>
          <w:noProof/>
        </w:rPr>
      </w:pPr>
      <w:bookmarkStart w:id="135" w:name="_Toc484783955"/>
      <w:r>
        <w:t>6.2.2.5.</w:t>
      </w:r>
      <w:r>
        <w:tab/>
      </w:r>
      <w:r>
        <w:rPr>
          <w:noProof/>
        </w:rPr>
        <w:t>Financial clearance decision for the financial year 2014</w:t>
      </w:r>
      <w:bookmarkEnd w:id="135"/>
    </w:p>
    <w:p>
      <w:pPr>
        <w:pStyle w:val="Text1"/>
      </w:pPr>
      <w:r>
        <w:t xml:space="preserve">On 28 May 2015, the Commission adopted a Decision clearing the annual accounts of 74 paying agencies in respect of EAGF expenditure. With this decision, expenditure amounting to EUR 39 561 million was cleared. The accounts of five paying agencies (Hamburg and Mecklenburg-Vorpommern (Germany), OPEKEPE (Greece), SAISA (Italy) and PIAA (Romania)) were disjoint. </w:t>
      </w:r>
    </w:p>
    <w:p>
      <w:pPr>
        <w:pStyle w:val="Text1"/>
      </w:pPr>
      <w:r>
        <w:t xml:space="preserve">With Commission Decision C(2016) 7237 adopted on 16 November 2016, the accounts of the German Paying Agencies "Hamburg" and "Mecklenburg-Vorpommern", and the Romanian Paying Agency "PIAA" were cleared. This decision cleared EUR 1 716 million. The accounts of OPEKEPE (Greece) and SAISA (Italy) will be cleared in 2017 amounting to EUR 2 077 million. </w:t>
      </w:r>
    </w:p>
    <w:p>
      <w:pPr>
        <w:pStyle w:val="ManualHeading4"/>
        <w:rPr>
          <w:noProof/>
        </w:rPr>
      </w:pPr>
      <w:bookmarkStart w:id="136" w:name="_Toc484783956"/>
      <w:r>
        <w:t>6.2.2.6.</w:t>
      </w:r>
      <w:r>
        <w:tab/>
      </w:r>
      <w:r>
        <w:rPr>
          <w:noProof/>
        </w:rPr>
        <w:t>Financial clearance decision for the financial year 2015</w:t>
      </w:r>
      <w:bookmarkEnd w:id="136"/>
    </w:p>
    <w:p>
      <w:pPr>
        <w:pStyle w:val="Text1"/>
      </w:pPr>
      <w:r>
        <w:t>On 30 May 2016, the Commission adopted a Decision (2016/941) clearing the annual accounts of all paying agencies, except for the paying agencies State Fund Agriculture (Bulgaria), France Agrimer (France) and AGEA (Italy). This decision cleared EUR 40 111 million. The accounts of the disjoined paying agencies will be cleared in a later decision amounting to EUR 3 307 million.</w:t>
      </w:r>
    </w:p>
    <w:p>
      <w:pPr>
        <w:pStyle w:val="ManualHeading2"/>
        <w:rPr>
          <w:noProof/>
        </w:rPr>
      </w:pPr>
      <w:bookmarkStart w:id="137" w:name="_Toc322938654"/>
      <w:bookmarkStart w:id="138" w:name="_Toc484783957"/>
      <w:r>
        <w:t>6.3.</w:t>
      </w:r>
      <w:r>
        <w:tab/>
      </w:r>
      <w:r>
        <w:rPr>
          <w:noProof/>
        </w:rPr>
        <w:t>Appeals brought before the Court of Justice against clearance decisions</w:t>
      </w:r>
      <w:bookmarkEnd w:id="137"/>
      <w:bookmarkEnd w:id="138"/>
    </w:p>
    <w:p>
      <w:pPr>
        <w:pStyle w:val="ManualHeading3"/>
        <w:rPr>
          <w:noProof/>
        </w:rPr>
      </w:pPr>
      <w:bookmarkStart w:id="139" w:name="_Toc322938655"/>
      <w:bookmarkStart w:id="140" w:name="_Toc484783958"/>
      <w:r>
        <w:t>6.3.1.</w:t>
      </w:r>
      <w:r>
        <w:tab/>
      </w:r>
      <w:r>
        <w:rPr>
          <w:noProof/>
        </w:rPr>
        <w:t>Judgments handed down</w:t>
      </w:r>
      <w:bookmarkEnd w:id="139"/>
      <w:bookmarkEnd w:id="140"/>
    </w:p>
    <w:p>
      <w:pPr>
        <w:pStyle w:val="ListBullet1"/>
        <w:numPr>
          <w:ilvl w:val="0"/>
          <w:numId w:val="0"/>
        </w:numPr>
        <w:ind w:left="851"/>
        <w:rPr>
          <w:noProof/>
        </w:rPr>
      </w:pPr>
      <w:bookmarkStart w:id="141" w:name="_Toc322938656"/>
      <w:r>
        <w:rPr>
          <w:noProof/>
        </w:rPr>
        <w:t>In the financial year 2016, the Court handed down 17</w:t>
      </w:r>
      <w:r>
        <w:rPr>
          <w:noProof/>
          <w:color w:val="FF0000"/>
        </w:rPr>
        <w:t xml:space="preserve"> </w:t>
      </w:r>
      <w:r>
        <w:rPr>
          <w:noProof/>
        </w:rPr>
        <w:t xml:space="preserve">judgments in appeals brought by the Member States against conformity clearance decisions. </w:t>
      </w:r>
    </w:p>
    <w:p>
      <w:pPr>
        <w:pStyle w:val="ListBullet1"/>
        <w:numPr>
          <w:ilvl w:val="0"/>
          <w:numId w:val="0"/>
        </w:numPr>
        <w:ind w:left="851"/>
        <w:rPr>
          <w:noProof/>
        </w:rPr>
      </w:pPr>
      <w:r>
        <w:rPr>
          <w:noProof/>
        </w:rPr>
        <w:t>In financial year 2016, the Court partially annulled:</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6"/>
        <w:gridCol w:w="1739"/>
        <w:gridCol w:w="1955"/>
        <w:gridCol w:w="1378"/>
      </w:tblGrid>
      <w:tr>
        <w:trPr>
          <w:trHeight w:val="255"/>
          <w:jc w:val="center"/>
        </w:trPr>
        <w:tc>
          <w:tcPr>
            <w:tcW w:w="0" w:type="auto"/>
            <w:shd w:val="clear" w:color="DCE6F1" w:fill="DCE6F1"/>
            <w:noWrap/>
            <w:vAlign w:val="bottom"/>
            <w:hideMark/>
          </w:tcPr>
          <w:p>
            <w:pPr>
              <w:rPr>
                <w:b/>
                <w:bCs/>
                <w:noProof/>
                <w:color w:val="000000"/>
                <w:sz w:val="20"/>
                <w:szCs w:val="20"/>
              </w:rPr>
            </w:pPr>
            <w:r>
              <w:rPr>
                <w:b/>
                <w:bCs/>
                <w:noProof/>
                <w:color w:val="000000"/>
                <w:sz w:val="20"/>
                <w:szCs w:val="20"/>
              </w:rPr>
              <w:t>Case Number</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MS</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Date of Judgment</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Challenged Decision</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Lodging Date</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T-107/14</w:t>
            </w:r>
          </w:p>
        </w:tc>
        <w:tc>
          <w:tcPr>
            <w:tcW w:w="0" w:type="auto"/>
            <w:shd w:val="clear" w:color="auto" w:fill="auto"/>
            <w:noWrap/>
            <w:vAlign w:val="bottom"/>
            <w:hideMark/>
          </w:tcPr>
          <w:p>
            <w:pPr>
              <w:rPr>
                <w:bCs/>
                <w:noProof/>
                <w:color w:val="000000"/>
                <w:sz w:val="20"/>
                <w:szCs w:val="20"/>
              </w:rPr>
            </w:pPr>
            <w:r>
              <w:rPr>
                <w:bCs/>
                <w:noProof/>
                <w:color w:val="000000"/>
                <w:sz w:val="20"/>
                <w:szCs w:val="20"/>
              </w:rPr>
              <w:t>EL</w:t>
            </w:r>
          </w:p>
        </w:tc>
        <w:tc>
          <w:tcPr>
            <w:tcW w:w="0" w:type="auto"/>
            <w:shd w:val="clear" w:color="auto" w:fill="auto"/>
            <w:noWrap/>
            <w:vAlign w:val="bottom"/>
            <w:hideMark/>
          </w:tcPr>
          <w:p>
            <w:pPr>
              <w:jc w:val="right"/>
              <w:rPr>
                <w:noProof/>
                <w:color w:val="000000"/>
                <w:sz w:val="20"/>
                <w:szCs w:val="20"/>
              </w:rPr>
            </w:pPr>
            <w:r>
              <w:rPr>
                <w:noProof/>
                <w:color w:val="000000"/>
                <w:sz w:val="20"/>
                <w:szCs w:val="20"/>
              </w:rPr>
              <w:t>19/11/2015</w:t>
            </w:r>
          </w:p>
        </w:tc>
        <w:tc>
          <w:tcPr>
            <w:tcW w:w="0" w:type="auto"/>
            <w:shd w:val="clear" w:color="auto" w:fill="auto"/>
            <w:noWrap/>
            <w:vAlign w:val="bottom"/>
            <w:hideMark/>
          </w:tcPr>
          <w:p>
            <w:pPr>
              <w:rPr>
                <w:bCs/>
                <w:noProof/>
                <w:color w:val="000000"/>
                <w:sz w:val="20"/>
                <w:szCs w:val="20"/>
              </w:rPr>
            </w:pPr>
            <w:r>
              <w:rPr>
                <w:bCs/>
                <w:noProof/>
                <w:color w:val="000000"/>
                <w:sz w:val="20"/>
                <w:szCs w:val="20"/>
              </w:rPr>
              <w:t>43</w:t>
            </w:r>
          </w:p>
        </w:tc>
        <w:tc>
          <w:tcPr>
            <w:tcW w:w="0" w:type="auto"/>
            <w:shd w:val="clear" w:color="auto" w:fill="auto"/>
            <w:noWrap/>
            <w:vAlign w:val="bottom"/>
            <w:hideMark/>
          </w:tcPr>
          <w:p>
            <w:pPr>
              <w:jc w:val="right"/>
              <w:rPr>
                <w:noProof/>
                <w:color w:val="000000"/>
                <w:sz w:val="20"/>
                <w:szCs w:val="20"/>
              </w:rPr>
            </w:pPr>
            <w:r>
              <w:rPr>
                <w:noProof/>
                <w:color w:val="000000"/>
                <w:sz w:val="20"/>
                <w:szCs w:val="20"/>
              </w:rPr>
              <w:t>14/02/2014</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T-241/13</w:t>
            </w:r>
          </w:p>
        </w:tc>
        <w:tc>
          <w:tcPr>
            <w:tcW w:w="0" w:type="auto"/>
            <w:shd w:val="clear" w:color="auto" w:fill="auto"/>
            <w:noWrap/>
            <w:vAlign w:val="bottom"/>
            <w:hideMark/>
          </w:tcPr>
          <w:p>
            <w:pPr>
              <w:rPr>
                <w:bCs/>
                <w:noProof/>
                <w:color w:val="000000"/>
                <w:sz w:val="20"/>
                <w:szCs w:val="20"/>
              </w:rPr>
            </w:pPr>
            <w:r>
              <w:rPr>
                <w:bCs/>
                <w:noProof/>
                <w:color w:val="000000"/>
                <w:sz w:val="20"/>
                <w:szCs w:val="20"/>
              </w:rPr>
              <w:t>EL</w:t>
            </w:r>
          </w:p>
        </w:tc>
        <w:tc>
          <w:tcPr>
            <w:tcW w:w="0" w:type="auto"/>
            <w:shd w:val="clear" w:color="auto" w:fill="auto"/>
            <w:noWrap/>
            <w:vAlign w:val="bottom"/>
            <w:hideMark/>
          </w:tcPr>
          <w:p>
            <w:pPr>
              <w:jc w:val="right"/>
              <w:rPr>
                <w:noProof/>
                <w:color w:val="000000"/>
                <w:sz w:val="20"/>
                <w:szCs w:val="20"/>
              </w:rPr>
            </w:pPr>
            <w:r>
              <w:rPr>
                <w:noProof/>
                <w:color w:val="000000"/>
                <w:sz w:val="20"/>
                <w:szCs w:val="20"/>
              </w:rPr>
              <w:t>16/12/2015</w:t>
            </w:r>
          </w:p>
        </w:tc>
        <w:tc>
          <w:tcPr>
            <w:tcW w:w="0" w:type="auto"/>
            <w:shd w:val="clear" w:color="auto" w:fill="auto"/>
            <w:noWrap/>
            <w:vAlign w:val="bottom"/>
            <w:hideMark/>
          </w:tcPr>
          <w:p>
            <w:pPr>
              <w:rPr>
                <w:bCs/>
                <w:noProof/>
                <w:color w:val="000000"/>
                <w:sz w:val="20"/>
                <w:szCs w:val="20"/>
              </w:rPr>
            </w:pPr>
            <w:r>
              <w:rPr>
                <w:bCs/>
                <w:noProof/>
                <w:color w:val="000000"/>
                <w:sz w:val="20"/>
                <w:szCs w:val="20"/>
              </w:rPr>
              <w:t>40</w:t>
            </w:r>
          </w:p>
        </w:tc>
        <w:tc>
          <w:tcPr>
            <w:tcW w:w="0" w:type="auto"/>
            <w:shd w:val="clear" w:color="auto" w:fill="auto"/>
            <w:noWrap/>
            <w:vAlign w:val="bottom"/>
            <w:hideMark/>
          </w:tcPr>
          <w:p>
            <w:pPr>
              <w:jc w:val="right"/>
              <w:rPr>
                <w:noProof/>
                <w:color w:val="000000"/>
                <w:sz w:val="20"/>
                <w:szCs w:val="20"/>
              </w:rPr>
            </w:pPr>
            <w:r>
              <w:rPr>
                <w:noProof/>
                <w:color w:val="000000"/>
                <w:sz w:val="20"/>
                <w:szCs w:val="20"/>
              </w:rPr>
              <w:t>25/04/2013</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T-667/14</w:t>
            </w:r>
          </w:p>
        </w:tc>
        <w:tc>
          <w:tcPr>
            <w:tcW w:w="0" w:type="auto"/>
            <w:shd w:val="clear" w:color="auto" w:fill="auto"/>
            <w:noWrap/>
            <w:vAlign w:val="bottom"/>
            <w:hideMark/>
          </w:tcPr>
          <w:p>
            <w:pPr>
              <w:rPr>
                <w:bCs/>
                <w:noProof/>
                <w:color w:val="000000"/>
                <w:sz w:val="20"/>
                <w:szCs w:val="20"/>
              </w:rPr>
            </w:pPr>
            <w:r>
              <w:rPr>
                <w:bCs/>
                <w:noProof/>
                <w:color w:val="000000"/>
                <w:sz w:val="20"/>
                <w:szCs w:val="20"/>
              </w:rPr>
              <w:t>SI</w:t>
            </w:r>
          </w:p>
        </w:tc>
        <w:tc>
          <w:tcPr>
            <w:tcW w:w="0" w:type="auto"/>
            <w:shd w:val="clear" w:color="auto" w:fill="auto"/>
            <w:noWrap/>
            <w:vAlign w:val="bottom"/>
            <w:hideMark/>
          </w:tcPr>
          <w:p>
            <w:pPr>
              <w:jc w:val="right"/>
              <w:rPr>
                <w:noProof/>
                <w:color w:val="000000"/>
                <w:sz w:val="20"/>
                <w:szCs w:val="20"/>
              </w:rPr>
            </w:pPr>
            <w:r>
              <w:rPr>
                <w:noProof/>
                <w:color w:val="000000"/>
                <w:sz w:val="20"/>
                <w:szCs w:val="20"/>
              </w:rPr>
              <w:t>28/01/2016</w:t>
            </w:r>
          </w:p>
        </w:tc>
        <w:tc>
          <w:tcPr>
            <w:tcW w:w="0" w:type="auto"/>
            <w:shd w:val="clear" w:color="auto" w:fill="auto"/>
            <w:noWrap/>
            <w:vAlign w:val="bottom"/>
            <w:hideMark/>
          </w:tcPr>
          <w:p>
            <w:pPr>
              <w:rPr>
                <w:bCs/>
                <w:noProof/>
                <w:color w:val="000000"/>
                <w:sz w:val="20"/>
                <w:szCs w:val="20"/>
              </w:rPr>
            </w:pPr>
            <w:r>
              <w:rPr>
                <w:bCs/>
                <w:noProof/>
                <w:color w:val="000000"/>
                <w:sz w:val="20"/>
                <w:szCs w:val="20"/>
              </w:rPr>
              <w:t>45</w:t>
            </w:r>
          </w:p>
        </w:tc>
        <w:tc>
          <w:tcPr>
            <w:tcW w:w="0" w:type="auto"/>
            <w:shd w:val="clear" w:color="auto" w:fill="auto"/>
            <w:noWrap/>
            <w:vAlign w:val="bottom"/>
            <w:hideMark/>
          </w:tcPr>
          <w:p>
            <w:pPr>
              <w:jc w:val="right"/>
              <w:rPr>
                <w:noProof/>
                <w:color w:val="000000"/>
                <w:sz w:val="20"/>
                <w:szCs w:val="20"/>
              </w:rPr>
            </w:pPr>
            <w:r>
              <w:rPr>
                <w:noProof/>
                <w:color w:val="000000"/>
                <w:sz w:val="20"/>
                <w:szCs w:val="20"/>
              </w:rPr>
              <w:t>12/09/2014</w:t>
            </w:r>
          </w:p>
        </w:tc>
      </w:tr>
    </w:tbl>
    <w:p>
      <w:pPr>
        <w:rPr>
          <w:noProof/>
        </w:rPr>
      </w:pPr>
    </w:p>
    <w:p>
      <w:pPr>
        <w:pStyle w:val="Text1"/>
      </w:pPr>
      <w:r>
        <w:t>In financial year 2016, the Court annulled:</w:t>
      </w:r>
    </w:p>
    <w:tbl>
      <w:tblPr>
        <w:tblW w:w="0" w:type="auto"/>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16"/>
        <w:gridCol w:w="1739"/>
        <w:gridCol w:w="1955"/>
        <w:gridCol w:w="1378"/>
      </w:tblGrid>
      <w:tr>
        <w:trPr>
          <w:trHeight w:val="255"/>
          <w:jc w:val="center"/>
        </w:trPr>
        <w:tc>
          <w:tcPr>
            <w:tcW w:w="1586" w:type="dxa"/>
            <w:shd w:val="clear" w:color="DCE6F1" w:fill="DCE6F1"/>
            <w:noWrap/>
            <w:vAlign w:val="bottom"/>
            <w:hideMark/>
          </w:tcPr>
          <w:p>
            <w:pPr>
              <w:rPr>
                <w:b/>
                <w:bCs/>
                <w:noProof/>
                <w:color w:val="000000"/>
                <w:sz w:val="20"/>
                <w:szCs w:val="20"/>
              </w:rPr>
            </w:pPr>
            <w:r>
              <w:rPr>
                <w:b/>
                <w:bCs/>
                <w:noProof/>
                <w:color w:val="000000"/>
                <w:sz w:val="20"/>
                <w:szCs w:val="20"/>
              </w:rPr>
              <w:t>Case Number</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MS</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Date of Judgment</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Challenged Decision</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Lodging Date</w:t>
            </w:r>
          </w:p>
        </w:tc>
      </w:tr>
      <w:tr>
        <w:trPr>
          <w:trHeight w:val="255"/>
          <w:jc w:val="center"/>
        </w:trPr>
        <w:tc>
          <w:tcPr>
            <w:tcW w:w="1586" w:type="dxa"/>
            <w:shd w:val="clear" w:color="auto" w:fill="auto"/>
            <w:noWrap/>
            <w:vAlign w:val="bottom"/>
            <w:hideMark/>
          </w:tcPr>
          <w:p>
            <w:pPr>
              <w:rPr>
                <w:bCs/>
                <w:noProof/>
                <w:color w:val="000000"/>
                <w:sz w:val="20"/>
                <w:szCs w:val="20"/>
              </w:rPr>
            </w:pPr>
            <w:r>
              <w:rPr>
                <w:bCs/>
                <w:noProof/>
                <w:color w:val="000000"/>
                <w:sz w:val="20"/>
                <w:szCs w:val="20"/>
              </w:rPr>
              <w:t>T-126/14</w:t>
            </w:r>
          </w:p>
        </w:tc>
        <w:tc>
          <w:tcPr>
            <w:tcW w:w="0" w:type="auto"/>
            <w:shd w:val="clear" w:color="auto" w:fill="auto"/>
            <w:noWrap/>
            <w:vAlign w:val="bottom"/>
            <w:hideMark/>
          </w:tcPr>
          <w:p>
            <w:pPr>
              <w:rPr>
                <w:bCs/>
                <w:noProof/>
                <w:color w:val="000000"/>
                <w:sz w:val="20"/>
                <w:szCs w:val="20"/>
              </w:rPr>
            </w:pPr>
            <w:r>
              <w:rPr>
                <w:bCs/>
                <w:noProof/>
                <w:color w:val="000000"/>
                <w:sz w:val="20"/>
                <w:szCs w:val="20"/>
              </w:rPr>
              <w:t>NL</w:t>
            </w:r>
          </w:p>
        </w:tc>
        <w:tc>
          <w:tcPr>
            <w:tcW w:w="0" w:type="auto"/>
            <w:shd w:val="clear" w:color="auto" w:fill="auto"/>
            <w:noWrap/>
            <w:vAlign w:val="bottom"/>
            <w:hideMark/>
          </w:tcPr>
          <w:p>
            <w:pPr>
              <w:jc w:val="right"/>
              <w:rPr>
                <w:noProof/>
                <w:color w:val="000000"/>
                <w:sz w:val="20"/>
                <w:szCs w:val="20"/>
              </w:rPr>
            </w:pPr>
            <w:r>
              <w:rPr>
                <w:noProof/>
                <w:color w:val="000000"/>
                <w:sz w:val="20"/>
                <w:szCs w:val="20"/>
              </w:rPr>
              <w:t>24/11/2015</w:t>
            </w:r>
          </w:p>
        </w:tc>
        <w:tc>
          <w:tcPr>
            <w:tcW w:w="0" w:type="auto"/>
            <w:shd w:val="clear" w:color="auto" w:fill="auto"/>
            <w:noWrap/>
            <w:vAlign w:val="bottom"/>
            <w:hideMark/>
          </w:tcPr>
          <w:p>
            <w:pPr>
              <w:rPr>
                <w:bCs/>
                <w:noProof/>
                <w:color w:val="000000"/>
                <w:sz w:val="20"/>
                <w:szCs w:val="20"/>
              </w:rPr>
            </w:pPr>
            <w:r>
              <w:rPr>
                <w:bCs/>
                <w:noProof/>
                <w:color w:val="000000"/>
                <w:sz w:val="20"/>
                <w:szCs w:val="20"/>
              </w:rPr>
              <w:t>43</w:t>
            </w:r>
          </w:p>
        </w:tc>
        <w:tc>
          <w:tcPr>
            <w:tcW w:w="0" w:type="auto"/>
            <w:shd w:val="clear" w:color="auto" w:fill="auto"/>
            <w:noWrap/>
            <w:vAlign w:val="bottom"/>
            <w:hideMark/>
          </w:tcPr>
          <w:p>
            <w:pPr>
              <w:jc w:val="right"/>
              <w:rPr>
                <w:noProof/>
                <w:color w:val="000000"/>
                <w:sz w:val="20"/>
                <w:szCs w:val="20"/>
              </w:rPr>
            </w:pPr>
            <w:r>
              <w:rPr>
                <w:noProof/>
                <w:color w:val="000000"/>
                <w:sz w:val="20"/>
                <w:szCs w:val="20"/>
              </w:rPr>
              <w:t>21/02/2014</w:t>
            </w:r>
          </w:p>
        </w:tc>
      </w:tr>
      <w:tr>
        <w:trPr>
          <w:trHeight w:val="255"/>
          <w:jc w:val="center"/>
        </w:trPr>
        <w:tc>
          <w:tcPr>
            <w:tcW w:w="1586" w:type="dxa"/>
            <w:shd w:val="clear" w:color="auto" w:fill="auto"/>
            <w:noWrap/>
            <w:vAlign w:val="bottom"/>
            <w:hideMark/>
          </w:tcPr>
          <w:p>
            <w:pPr>
              <w:rPr>
                <w:bCs/>
                <w:noProof/>
                <w:color w:val="000000"/>
                <w:sz w:val="20"/>
                <w:szCs w:val="20"/>
              </w:rPr>
            </w:pPr>
            <w:r>
              <w:rPr>
                <w:bCs/>
                <w:noProof/>
                <w:color w:val="000000"/>
                <w:sz w:val="20"/>
                <w:szCs w:val="20"/>
              </w:rPr>
              <w:t>T-661/14</w:t>
            </w:r>
          </w:p>
        </w:tc>
        <w:tc>
          <w:tcPr>
            <w:tcW w:w="0" w:type="auto"/>
            <w:shd w:val="clear" w:color="auto" w:fill="auto"/>
            <w:noWrap/>
            <w:vAlign w:val="bottom"/>
            <w:hideMark/>
          </w:tcPr>
          <w:p>
            <w:pPr>
              <w:rPr>
                <w:bCs/>
                <w:noProof/>
                <w:color w:val="000000"/>
                <w:sz w:val="20"/>
                <w:szCs w:val="20"/>
              </w:rPr>
            </w:pPr>
            <w:r>
              <w:rPr>
                <w:bCs/>
                <w:noProof/>
                <w:color w:val="000000"/>
                <w:sz w:val="20"/>
                <w:szCs w:val="20"/>
              </w:rPr>
              <w:t>LV</w:t>
            </w:r>
          </w:p>
        </w:tc>
        <w:tc>
          <w:tcPr>
            <w:tcW w:w="0" w:type="auto"/>
            <w:shd w:val="clear" w:color="auto" w:fill="auto"/>
            <w:noWrap/>
            <w:vAlign w:val="bottom"/>
            <w:hideMark/>
          </w:tcPr>
          <w:p>
            <w:pPr>
              <w:jc w:val="right"/>
              <w:rPr>
                <w:noProof/>
                <w:color w:val="000000"/>
                <w:sz w:val="20"/>
                <w:szCs w:val="20"/>
              </w:rPr>
            </w:pPr>
            <w:r>
              <w:rPr>
                <w:noProof/>
                <w:color w:val="000000"/>
                <w:sz w:val="20"/>
                <w:szCs w:val="20"/>
              </w:rPr>
              <w:t>14/07/2016</w:t>
            </w:r>
          </w:p>
        </w:tc>
        <w:tc>
          <w:tcPr>
            <w:tcW w:w="0" w:type="auto"/>
            <w:shd w:val="clear" w:color="auto" w:fill="auto"/>
            <w:noWrap/>
            <w:vAlign w:val="bottom"/>
            <w:hideMark/>
          </w:tcPr>
          <w:p>
            <w:pPr>
              <w:rPr>
                <w:bCs/>
                <w:noProof/>
                <w:color w:val="000000"/>
                <w:sz w:val="20"/>
                <w:szCs w:val="20"/>
              </w:rPr>
            </w:pPr>
            <w:r>
              <w:rPr>
                <w:bCs/>
                <w:noProof/>
                <w:color w:val="000000"/>
                <w:sz w:val="20"/>
                <w:szCs w:val="20"/>
              </w:rPr>
              <w:t>45</w:t>
            </w:r>
          </w:p>
        </w:tc>
        <w:tc>
          <w:tcPr>
            <w:tcW w:w="0" w:type="auto"/>
            <w:shd w:val="clear" w:color="auto" w:fill="auto"/>
            <w:noWrap/>
            <w:vAlign w:val="bottom"/>
            <w:hideMark/>
          </w:tcPr>
          <w:p>
            <w:pPr>
              <w:jc w:val="right"/>
              <w:rPr>
                <w:noProof/>
                <w:color w:val="000000"/>
                <w:sz w:val="20"/>
                <w:szCs w:val="20"/>
              </w:rPr>
            </w:pPr>
            <w:r>
              <w:rPr>
                <w:noProof/>
                <w:color w:val="000000"/>
                <w:sz w:val="20"/>
                <w:szCs w:val="20"/>
              </w:rPr>
              <w:t>11/09/2014</w:t>
            </w:r>
          </w:p>
        </w:tc>
      </w:tr>
      <w:tr>
        <w:trPr>
          <w:trHeight w:val="255"/>
          <w:jc w:val="center"/>
        </w:trPr>
        <w:tc>
          <w:tcPr>
            <w:tcW w:w="1586" w:type="dxa"/>
            <w:shd w:val="clear" w:color="auto" w:fill="auto"/>
            <w:noWrap/>
            <w:vAlign w:val="bottom"/>
            <w:hideMark/>
          </w:tcPr>
          <w:p>
            <w:pPr>
              <w:rPr>
                <w:bCs/>
                <w:noProof/>
                <w:color w:val="000000"/>
                <w:sz w:val="20"/>
                <w:szCs w:val="20"/>
              </w:rPr>
            </w:pPr>
            <w:r>
              <w:rPr>
                <w:bCs/>
                <w:noProof/>
                <w:color w:val="000000"/>
                <w:sz w:val="20"/>
                <w:szCs w:val="20"/>
              </w:rPr>
              <w:t>T-12/16</w:t>
            </w:r>
          </w:p>
        </w:tc>
        <w:tc>
          <w:tcPr>
            <w:tcW w:w="0" w:type="auto"/>
            <w:shd w:val="clear" w:color="auto" w:fill="auto"/>
            <w:noWrap/>
            <w:vAlign w:val="bottom"/>
            <w:hideMark/>
          </w:tcPr>
          <w:p>
            <w:pPr>
              <w:rPr>
                <w:bCs/>
                <w:noProof/>
                <w:color w:val="000000"/>
                <w:sz w:val="20"/>
                <w:szCs w:val="20"/>
              </w:rPr>
            </w:pPr>
            <w:r>
              <w:rPr>
                <w:bCs/>
                <w:noProof/>
                <w:color w:val="000000"/>
                <w:sz w:val="20"/>
                <w:szCs w:val="20"/>
              </w:rPr>
              <w:t>SI</w:t>
            </w:r>
          </w:p>
        </w:tc>
        <w:tc>
          <w:tcPr>
            <w:tcW w:w="0" w:type="auto"/>
            <w:shd w:val="clear" w:color="auto" w:fill="auto"/>
            <w:noWrap/>
            <w:vAlign w:val="bottom"/>
            <w:hideMark/>
          </w:tcPr>
          <w:p>
            <w:pPr>
              <w:jc w:val="right"/>
              <w:rPr>
                <w:noProof/>
                <w:color w:val="000000"/>
                <w:sz w:val="20"/>
                <w:szCs w:val="20"/>
              </w:rPr>
            </w:pPr>
            <w:r>
              <w:rPr>
                <w:noProof/>
                <w:color w:val="000000"/>
                <w:sz w:val="20"/>
                <w:szCs w:val="20"/>
              </w:rPr>
              <w:t>07/10/2016</w:t>
            </w:r>
          </w:p>
        </w:tc>
        <w:tc>
          <w:tcPr>
            <w:tcW w:w="0" w:type="auto"/>
            <w:shd w:val="clear" w:color="auto" w:fill="auto"/>
            <w:noWrap/>
            <w:vAlign w:val="bottom"/>
            <w:hideMark/>
          </w:tcPr>
          <w:p>
            <w:pPr>
              <w:rPr>
                <w:bCs/>
                <w:noProof/>
                <w:color w:val="000000"/>
                <w:sz w:val="20"/>
                <w:szCs w:val="20"/>
              </w:rPr>
            </w:pPr>
            <w:r>
              <w:rPr>
                <w:bCs/>
                <w:noProof/>
                <w:color w:val="000000"/>
                <w:sz w:val="20"/>
                <w:szCs w:val="20"/>
              </w:rPr>
              <w:t>49</w:t>
            </w:r>
          </w:p>
        </w:tc>
        <w:tc>
          <w:tcPr>
            <w:tcW w:w="0" w:type="auto"/>
            <w:shd w:val="clear" w:color="auto" w:fill="auto"/>
            <w:noWrap/>
            <w:vAlign w:val="bottom"/>
            <w:hideMark/>
          </w:tcPr>
          <w:p>
            <w:pPr>
              <w:jc w:val="right"/>
              <w:rPr>
                <w:noProof/>
                <w:color w:val="000000"/>
                <w:sz w:val="20"/>
                <w:szCs w:val="20"/>
              </w:rPr>
            </w:pPr>
            <w:r>
              <w:rPr>
                <w:noProof/>
                <w:color w:val="000000"/>
                <w:sz w:val="20"/>
                <w:szCs w:val="20"/>
              </w:rPr>
              <w:t>15/01/2016</w:t>
            </w:r>
          </w:p>
        </w:tc>
      </w:tr>
    </w:tbl>
    <w:p>
      <w:pPr>
        <w:rPr>
          <w:noProof/>
        </w:rPr>
      </w:pPr>
    </w:p>
    <w:p>
      <w:pPr>
        <w:pStyle w:val="Text1"/>
      </w:pPr>
      <w:r>
        <w:t>In financial year 2016, the Court rejected appeals brought in the following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6"/>
        <w:gridCol w:w="1739"/>
        <w:gridCol w:w="1955"/>
        <w:gridCol w:w="1378"/>
      </w:tblGrid>
      <w:tr>
        <w:trPr>
          <w:trHeight w:val="255"/>
          <w:jc w:val="center"/>
        </w:trPr>
        <w:tc>
          <w:tcPr>
            <w:tcW w:w="0" w:type="auto"/>
            <w:shd w:val="clear" w:color="DCE6F1" w:fill="DCE6F1"/>
            <w:noWrap/>
            <w:vAlign w:val="bottom"/>
            <w:hideMark/>
          </w:tcPr>
          <w:p>
            <w:pPr>
              <w:rPr>
                <w:b/>
                <w:bCs/>
                <w:noProof/>
                <w:color w:val="000000"/>
                <w:sz w:val="20"/>
                <w:szCs w:val="20"/>
              </w:rPr>
            </w:pPr>
            <w:r>
              <w:rPr>
                <w:b/>
                <w:bCs/>
                <w:noProof/>
                <w:color w:val="000000"/>
                <w:sz w:val="20"/>
                <w:szCs w:val="20"/>
              </w:rPr>
              <w:t>Case Number</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MS</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Date of Judgment</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Challenged Decision</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Lodging Date</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T-550/13</w:t>
            </w:r>
          </w:p>
        </w:tc>
        <w:tc>
          <w:tcPr>
            <w:tcW w:w="0" w:type="auto"/>
            <w:shd w:val="clear" w:color="auto" w:fill="auto"/>
            <w:noWrap/>
            <w:vAlign w:val="bottom"/>
            <w:hideMark/>
          </w:tcPr>
          <w:p>
            <w:pPr>
              <w:rPr>
                <w:bCs/>
                <w:noProof/>
                <w:color w:val="000000"/>
                <w:sz w:val="20"/>
                <w:szCs w:val="20"/>
              </w:rPr>
            </w:pPr>
            <w:r>
              <w:rPr>
                <w:bCs/>
                <w:noProof/>
                <w:color w:val="000000"/>
                <w:sz w:val="20"/>
                <w:szCs w:val="20"/>
              </w:rPr>
              <w:t>EL</w:t>
            </w:r>
          </w:p>
        </w:tc>
        <w:tc>
          <w:tcPr>
            <w:tcW w:w="0" w:type="auto"/>
            <w:shd w:val="clear" w:color="auto" w:fill="auto"/>
            <w:noWrap/>
            <w:vAlign w:val="bottom"/>
            <w:hideMark/>
          </w:tcPr>
          <w:p>
            <w:pPr>
              <w:jc w:val="right"/>
              <w:rPr>
                <w:noProof/>
                <w:color w:val="000000"/>
                <w:sz w:val="20"/>
                <w:szCs w:val="20"/>
              </w:rPr>
            </w:pPr>
            <w:r>
              <w:rPr>
                <w:noProof/>
                <w:color w:val="000000"/>
                <w:sz w:val="20"/>
                <w:szCs w:val="20"/>
              </w:rPr>
              <w:t>11/11/2015</w:t>
            </w:r>
          </w:p>
        </w:tc>
        <w:tc>
          <w:tcPr>
            <w:tcW w:w="0" w:type="auto"/>
            <w:shd w:val="clear" w:color="auto" w:fill="auto"/>
            <w:noWrap/>
            <w:vAlign w:val="bottom"/>
            <w:hideMark/>
          </w:tcPr>
          <w:p>
            <w:pPr>
              <w:rPr>
                <w:bCs/>
                <w:noProof/>
                <w:color w:val="000000"/>
                <w:sz w:val="20"/>
                <w:szCs w:val="20"/>
              </w:rPr>
            </w:pPr>
            <w:r>
              <w:rPr>
                <w:bCs/>
                <w:noProof/>
                <w:color w:val="000000"/>
                <w:sz w:val="20"/>
                <w:szCs w:val="20"/>
              </w:rPr>
              <w:t>42</w:t>
            </w:r>
          </w:p>
        </w:tc>
        <w:tc>
          <w:tcPr>
            <w:tcW w:w="0" w:type="auto"/>
            <w:shd w:val="clear" w:color="auto" w:fill="auto"/>
            <w:noWrap/>
            <w:vAlign w:val="bottom"/>
            <w:hideMark/>
          </w:tcPr>
          <w:p>
            <w:pPr>
              <w:jc w:val="right"/>
              <w:rPr>
                <w:noProof/>
                <w:color w:val="000000"/>
                <w:sz w:val="20"/>
                <w:szCs w:val="20"/>
              </w:rPr>
            </w:pPr>
            <w:r>
              <w:rPr>
                <w:noProof/>
                <w:color w:val="000000"/>
                <w:sz w:val="20"/>
                <w:szCs w:val="20"/>
              </w:rPr>
              <w:t>15/10/2013</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T-255/13</w:t>
            </w:r>
          </w:p>
        </w:tc>
        <w:tc>
          <w:tcPr>
            <w:tcW w:w="0" w:type="auto"/>
            <w:shd w:val="clear" w:color="auto" w:fill="auto"/>
            <w:noWrap/>
            <w:vAlign w:val="bottom"/>
            <w:hideMark/>
          </w:tcPr>
          <w:p>
            <w:pPr>
              <w:rPr>
                <w:bCs/>
                <w:noProof/>
                <w:color w:val="000000"/>
                <w:sz w:val="20"/>
                <w:szCs w:val="20"/>
              </w:rPr>
            </w:pPr>
            <w:r>
              <w:rPr>
                <w:bCs/>
                <w:noProof/>
                <w:color w:val="000000"/>
                <w:sz w:val="20"/>
                <w:szCs w:val="20"/>
              </w:rPr>
              <w:t>IT</w:t>
            </w:r>
          </w:p>
        </w:tc>
        <w:tc>
          <w:tcPr>
            <w:tcW w:w="0" w:type="auto"/>
            <w:shd w:val="clear" w:color="auto" w:fill="auto"/>
            <w:noWrap/>
            <w:vAlign w:val="bottom"/>
            <w:hideMark/>
          </w:tcPr>
          <w:p>
            <w:pPr>
              <w:jc w:val="right"/>
              <w:rPr>
                <w:noProof/>
                <w:color w:val="000000"/>
                <w:sz w:val="20"/>
                <w:szCs w:val="20"/>
              </w:rPr>
            </w:pPr>
            <w:r>
              <w:rPr>
                <w:noProof/>
                <w:color w:val="000000"/>
                <w:sz w:val="20"/>
                <w:szCs w:val="20"/>
              </w:rPr>
              <w:t>12/11/2015</w:t>
            </w:r>
          </w:p>
        </w:tc>
        <w:tc>
          <w:tcPr>
            <w:tcW w:w="0" w:type="auto"/>
            <w:shd w:val="clear" w:color="auto" w:fill="auto"/>
            <w:noWrap/>
            <w:vAlign w:val="bottom"/>
            <w:hideMark/>
          </w:tcPr>
          <w:p>
            <w:pPr>
              <w:rPr>
                <w:bCs/>
                <w:noProof/>
                <w:color w:val="000000"/>
                <w:sz w:val="20"/>
                <w:szCs w:val="20"/>
              </w:rPr>
            </w:pPr>
            <w:r>
              <w:rPr>
                <w:bCs/>
                <w:noProof/>
                <w:color w:val="000000"/>
                <w:sz w:val="20"/>
                <w:szCs w:val="20"/>
              </w:rPr>
              <w:t>40</w:t>
            </w:r>
          </w:p>
        </w:tc>
        <w:tc>
          <w:tcPr>
            <w:tcW w:w="0" w:type="auto"/>
            <w:shd w:val="clear" w:color="auto" w:fill="auto"/>
            <w:noWrap/>
            <w:vAlign w:val="bottom"/>
            <w:hideMark/>
          </w:tcPr>
          <w:p>
            <w:pPr>
              <w:jc w:val="right"/>
              <w:rPr>
                <w:noProof/>
                <w:color w:val="000000"/>
                <w:sz w:val="20"/>
                <w:szCs w:val="20"/>
              </w:rPr>
            </w:pPr>
            <w:r>
              <w:rPr>
                <w:noProof/>
                <w:color w:val="000000"/>
                <w:sz w:val="20"/>
                <w:szCs w:val="20"/>
              </w:rPr>
              <w:t>07/05/2013</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T-118/15</w:t>
            </w:r>
          </w:p>
        </w:tc>
        <w:tc>
          <w:tcPr>
            <w:tcW w:w="0" w:type="auto"/>
            <w:shd w:val="clear" w:color="auto" w:fill="auto"/>
            <w:noWrap/>
            <w:vAlign w:val="bottom"/>
            <w:hideMark/>
          </w:tcPr>
          <w:p>
            <w:pPr>
              <w:rPr>
                <w:bCs/>
                <w:noProof/>
                <w:color w:val="000000"/>
                <w:sz w:val="20"/>
                <w:szCs w:val="20"/>
              </w:rPr>
            </w:pPr>
            <w:r>
              <w:rPr>
                <w:bCs/>
                <w:noProof/>
                <w:color w:val="000000"/>
                <w:sz w:val="20"/>
                <w:szCs w:val="20"/>
              </w:rPr>
              <w:t>SI</w:t>
            </w:r>
          </w:p>
        </w:tc>
        <w:tc>
          <w:tcPr>
            <w:tcW w:w="0" w:type="auto"/>
            <w:shd w:val="clear" w:color="auto" w:fill="auto"/>
            <w:noWrap/>
            <w:vAlign w:val="bottom"/>
            <w:hideMark/>
          </w:tcPr>
          <w:p>
            <w:pPr>
              <w:jc w:val="right"/>
              <w:rPr>
                <w:noProof/>
                <w:color w:val="000000"/>
                <w:sz w:val="20"/>
                <w:szCs w:val="20"/>
              </w:rPr>
            </w:pPr>
            <w:r>
              <w:rPr>
                <w:noProof/>
                <w:color w:val="000000"/>
                <w:sz w:val="20"/>
                <w:szCs w:val="20"/>
              </w:rPr>
              <w:t>23/11/2015</w:t>
            </w:r>
          </w:p>
        </w:tc>
        <w:tc>
          <w:tcPr>
            <w:tcW w:w="0" w:type="auto"/>
            <w:shd w:val="clear" w:color="auto" w:fill="auto"/>
            <w:noWrap/>
            <w:vAlign w:val="bottom"/>
            <w:hideMark/>
          </w:tcPr>
          <w:p>
            <w:pPr>
              <w:rPr>
                <w:bCs/>
                <w:noProof/>
                <w:color w:val="000000"/>
                <w:sz w:val="20"/>
                <w:szCs w:val="20"/>
              </w:rPr>
            </w:pPr>
            <w:r>
              <w:rPr>
                <w:bCs/>
                <w:noProof/>
                <w:color w:val="000000"/>
                <w:sz w:val="20"/>
                <w:szCs w:val="20"/>
              </w:rPr>
              <w:t>46</w:t>
            </w:r>
          </w:p>
        </w:tc>
        <w:tc>
          <w:tcPr>
            <w:tcW w:w="0" w:type="auto"/>
            <w:shd w:val="clear" w:color="auto" w:fill="auto"/>
            <w:noWrap/>
            <w:vAlign w:val="bottom"/>
            <w:hideMark/>
          </w:tcPr>
          <w:p>
            <w:pPr>
              <w:jc w:val="right"/>
              <w:rPr>
                <w:noProof/>
                <w:color w:val="000000"/>
                <w:sz w:val="20"/>
                <w:szCs w:val="20"/>
              </w:rPr>
            </w:pPr>
            <w:r>
              <w:rPr>
                <w:noProof/>
                <w:color w:val="000000"/>
                <w:sz w:val="20"/>
                <w:szCs w:val="20"/>
              </w:rPr>
              <w:t>06/03/2015</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T-563/13</w:t>
            </w:r>
          </w:p>
        </w:tc>
        <w:tc>
          <w:tcPr>
            <w:tcW w:w="0" w:type="auto"/>
            <w:shd w:val="clear" w:color="auto" w:fill="auto"/>
            <w:noWrap/>
            <w:vAlign w:val="bottom"/>
            <w:hideMark/>
          </w:tcPr>
          <w:p>
            <w:pPr>
              <w:rPr>
                <w:bCs/>
                <w:noProof/>
                <w:color w:val="000000"/>
                <w:sz w:val="20"/>
                <w:szCs w:val="20"/>
              </w:rPr>
            </w:pPr>
            <w:r>
              <w:rPr>
                <w:bCs/>
                <w:noProof/>
                <w:color w:val="000000"/>
                <w:sz w:val="20"/>
                <w:szCs w:val="20"/>
              </w:rPr>
              <w:t>BE</w:t>
            </w:r>
          </w:p>
        </w:tc>
        <w:tc>
          <w:tcPr>
            <w:tcW w:w="0" w:type="auto"/>
            <w:shd w:val="clear" w:color="auto" w:fill="auto"/>
            <w:noWrap/>
            <w:vAlign w:val="bottom"/>
            <w:hideMark/>
          </w:tcPr>
          <w:p>
            <w:pPr>
              <w:jc w:val="right"/>
              <w:rPr>
                <w:noProof/>
                <w:color w:val="000000"/>
                <w:sz w:val="20"/>
                <w:szCs w:val="20"/>
              </w:rPr>
            </w:pPr>
            <w:r>
              <w:rPr>
                <w:noProof/>
                <w:color w:val="000000"/>
                <w:sz w:val="20"/>
                <w:szCs w:val="20"/>
              </w:rPr>
              <w:t>10/12/2015</w:t>
            </w:r>
          </w:p>
        </w:tc>
        <w:tc>
          <w:tcPr>
            <w:tcW w:w="0" w:type="auto"/>
            <w:shd w:val="clear" w:color="auto" w:fill="auto"/>
            <w:noWrap/>
            <w:vAlign w:val="bottom"/>
            <w:hideMark/>
          </w:tcPr>
          <w:p>
            <w:pPr>
              <w:rPr>
                <w:bCs/>
                <w:noProof/>
                <w:color w:val="000000"/>
                <w:sz w:val="20"/>
                <w:szCs w:val="20"/>
              </w:rPr>
            </w:pPr>
            <w:r>
              <w:rPr>
                <w:bCs/>
                <w:noProof/>
                <w:color w:val="000000"/>
                <w:sz w:val="20"/>
                <w:szCs w:val="20"/>
              </w:rPr>
              <w:t>42</w:t>
            </w:r>
          </w:p>
        </w:tc>
        <w:tc>
          <w:tcPr>
            <w:tcW w:w="0" w:type="auto"/>
            <w:shd w:val="clear" w:color="auto" w:fill="auto"/>
            <w:noWrap/>
            <w:vAlign w:val="bottom"/>
            <w:hideMark/>
          </w:tcPr>
          <w:p>
            <w:pPr>
              <w:jc w:val="right"/>
              <w:rPr>
                <w:noProof/>
                <w:color w:val="000000"/>
                <w:sz w:val="20"/>
                <w:szCs w:val="20"/>
              </w:rPr>
            </w:pPr>
            <w:r>
              <w:rPr>
                <w:noProof/>
                <w:color w:val="000000"/>
                <w:sz w:val="20"/>
                <w:szCs w:val="20"/>
              </w:rPr>
              <w:t>24/10/2013</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T-686/14</w:t>
            </w:r>
          </w:p>
        </w:tc>
        <w:tc>
          <w:tcPr>
            <w:tcW w:w="0" w:type="auto"/>
            <w:shd w:val="clear" w:color="auto" w:fill="auto"/>
            <w:noWrap/>
            <w:vAlign w:val="bottom"/>
            <w:hideMark/>
          </w:tcPr>
          <w:p>
            <w:pPr>
              <w:rPr>
                <w:bCs/>
                <w:noProof/>
                <w:color w:val="000000"/>
                <w:sz w:val="20"/>
                <w:szCs w:val="20"/>
              </w:rPr>
            </w:pPr>
            <w:r>
              <w:rPr>
                <w:bCs/>
                <w:noProof/>
                <w:color w:val="000000"/>
                <w:sz w:val="20"/>
                <w:szCs w:val="20"/>
              </w:rPr>
              <w:t>IT</w:t>
            </w:r>
          </w:p>
        </w:tc>
        <w:tc>
          <w:tcPr>
            <w:tcW w:w="0" w:type="auto"/>
            <w:shd w:val="clear" w:color="auto" w:fill="auto"/>
            <w:noWrap/>
            <w:vAlign w:val="bottom"/>
            <w:hideMark/>
          </w:tcPr>
          <w:p>
            <w:pPr>
              <w:jc w:val="right"/>
              <w:rPr>
                <w:noProof/>
                <w:color w:val="000000"/>
                <w:sz w:val="20"/>
                <w:szCs w:val="20"/>
              </w:rPr>
            </w:pPr>
            <w:r>
              <w:rPr>
                <w:noProof/>
                <w:color w:val="000000"/>
                <w:sz w:val="20"/>
                <w:szCs w:val="20"/>
              </w:rPr>
              <w:t>04/02/2016</w:t>
            </w:r>
          </w:p>
        </w:tc>
        <w:tc>
          <w:tcPr>
            <w:tcW w:w="0" w:type="auto"/>
            <w:shd w:val="clear" w:color="auto" w:fill="auto"/>
            <w:noWrap/>
            <w:vAlign w:val="bottom"/>
            <w:hideMark/>
          </w:tcPr>
          <w:p>
            <w:pPr>
              <w:rPr>
                <w:bCs/>
                <w:noProof/>
                <w:color w:val="000000"/>
                <w:sz w:val="20"/>
                <w:szCs w:val="20"/>
              </w:rPr>
            </w:pPr>
            <w:r>
              <w:rPr>
                <w:bCs/>
                <w:noProof/>
                <w:color w:val="000000"/>
                <w:sz w:val="20"/>
                <w:szCs w:val="20"/>
              </w:rPr>
              <w:t>45</w:t>
            </w:r>
          </w:p>
        </w:tc>
        <w:tc>
          <w:tcPr>
            <w:tcW w:w="0" w:type="auto"/>
            <w:shd w:val="clear" w:color="auto" w:fill="auto"/>
            <w:noWrap/>
            <w:vAlign w:val="bottom"/>
            <w:hideMark/>
          </w:tcPr>
          <w:p>
            <w:pPr>
              <w:jc w:val="right"/>
              <w:rPr>
                <w:noProof/>
                <w:color w:val="000000"/>
                <w:sz w:val="20"/>
                <w:szCs w:val="20"/>
              </w:rPr>
            </w:pPr>
            <w:r>
              <w:rPr>
                <w:noProof/>
                <w:color w:val="000000"/>
                <w:sz w:val="20"/>
                <w:szCs w:val="20"/>
              </w:rPr>
              <w:t>22/09/2014</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T-675/14</w:t>
            </w:r>
          </w:p>
        </w:tc>
        <w:tc>
          <w:tcPr>
            <w:tcW w:w="0" w:type="auto"/>
            <w:shd w:val="clear" w:color="auto" w:fill="auto"/>
            <w:noWrap/>
            <w:vAlign w:val="bottom"/>
            <w:hideMark/>
          </w:tcPr>
          <w:p>
            <w:pPr>
              <w:rPr>
                <w:bCs/>
                <w:noProof/>
                <w:color w:val="000000"/>
                <w:sz w:val="20"/>
                <w:szCs w:val="20"/>
              </w:rPr>
            </w:pPr>
            <w:r>
              <w:rPr>
                <w:bCs/>
                <w:noProof/>
                <w:color w:val="000000"/>
                <w:sz w:val="20"/>
                <w:szCs w:val="20"/>
              </w:rPr>
              <w:t>ES</w:t>
            </w:r>
          </w:p>
        </w:tc>
        <w:tc>
          <w:tcPr>
            <w:tcW w:w="0" w:type="auto"/>
            <w:shd w:val="clear" w:color="auto" w:fill="auto"/>
            <w:noWrap/>
            <w:vAlign w:val="bottom"/>
            <w:hideMark/>
          </w:tcPr>
          <w:p>
            <w:pPr>
              <w:jc w:val="right"/>
              <w:rPr>
                <w:noProof/>
                <w:color w:val="000000"/>
                <w:sz w:val="20"/>
                <w:szCs w:val="20"/>
              </w:rPr>
            </w:pPr>
            <w:r>
              <w:rPr>
                <w:noProof/>
                <w:color w:val="000000"/>
                <w:sz w:val="20"/>
                <w:szCs w:val="20"/>
              </w:rPr>
              <w:t>03/03/2016</w:t>
            </w:r>
          </w:p>
        </w:tc>
        <w:tc>
          <w:tcPr>
            <w:tcW w:w="0" w:type="auto"/>
            <w:shd w:val="clear" w:color="auto" w:fill="auto"/>
            <w:noWrap/>
            <w:vAlign w:val="bottom"/>
            <w:hideMark/>
          </w:tcPr>
          <w:p>
            <w:pPr>
              <w:rPr>
                <w:bCs/>
                <w:noProof/>
                <w:color w:val="000000"/>
                <w:sz w:val="20"/>
                <w:szCs w:val="20"/>
              </w:rPr>
            </w:pPr>
            <w:r>
              <w:rPr>
                <w:bCs/>
                <w:noProof/>
                <w:color w:val="000000"/>
                <w:sz w:val="20"/>
                <w:szCs w:val="20"/>
              </w:rPr>
              <w:t>45</w:t>
            </w:r>
          </w:p>
        </w:tc>
        <w:tc>
          <w:tcPr>
            <w:tcW w:w="0" w:type="auto"/>
            <w:shd w:val="clear" w:color="auto" w:fill="auto"/>
            <w:noWrap/>
            <w:vAlign w:val="bottom"/>
            <w:hideMark/>
          </w:tcPr>
          <w:p>
            <w:pPr>
              <w:jc w:val="right"/>
              <w:rPr>
                <w:noProof/>
                <w:color w:val="000000"/>
                <w:sz w:val="20"/>
                <w:szCs w:val="20"/>
              </w:rPr>
            </w:pPr>
            <w:r>
              <w:rPr>
                <w:noProof/>
                <w:color w:val="000000"/>
                <w:sz w:val="20"/>
                <w:szCs w:val="20"/>
              </w:rPr>
              <w:t>22/09/2014</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T-550/15</w:t>
            </w:r>
          </w:p>
        </w:tc>
        <w:tc>
          <w:tcPr>
            <w:tcW w:w="0" w:type="auto"/>
            <w:shd w:val="clear" w:color="auto" w:fill="auto"/>
            <w:noWrap/>
            <w:vAlign w:val="bottom"/>
            <w:hideMark/>
          </w:tcPr>
          <w:p>
            <w:pPr>
              <w:rPr>
                <w:bCs/>
                <w:noProof/>
                <w:color w:val="000000"/>
                <w:sz w:val="20"/>
                <w:szCs w:val="20"/>
              </w:rPr>
            </w:pPr>
            <w:r>
              <w:rPr>
                <w:bCs/>
                <w:noProof/>
                <w:color w:val="000000"/>
                <w:sz w:val="20"/>
                <w:szCs w:val="20"/>
              </w:rPr>
              <w:t>PT</w:t>
            </w:r>
          </w:p>
        </w:tc>
        <w:tc>
          <w:tcPr>
            <w:tcW w:w="0" w:type="auto"/>
            <w:shd w:val="clear" w:color="auto" w:fill="auto"/>
            <w:noWrap/>
            <w:vAlign w:val="bottom"/>
            <w:hideMark/>
          </w:tcPr>
          <w:p>
            <w:pPr>
              <w:jc w:val="right"/>
              <w:rPr>
                <w:noProof/>
                <w:color w:val="000000"/>
                <w:sz w:val="20"/>
                <w:szCs w:val="20"/>
              </w:rPr>
            </w:pPr>
            <w:r>
              <w:rPr>
                <w:noProof/>
                <w:color w:val="000000"/>
                <w:sz w:val="20"/>
                <w:szCs w:val="20"/>
              </w:rPr>
              <w:t>19/04/2016</w:t>
            </w:r>
          </w:p>
        </w:tc>
        <w:tc>
          <w:tcPr>
            <w:tcW w:w="0" w:type="auto"/>
            <w:shd w:val="clear" w:color="auto" w:fill="auto"/>
            <w:noWrap/>
            <w:vAlign w:val="bottom"/>
            <w:hideMark/>
          </w:tcPr>
          <w:p>
            <w:pPr>
              <w:rPr>
                <w:bCs/>
                <w:noProof/>
                <w:color w:val="000000"/>
                <w:sz w:val="20"/>
                <w:szCs w:val="20"/>
              </w:rPr>
            </w:pPr>
            <w:r>
              <w:rPr>
                <w:bCs/>
                <w:noProof/>
                <w:color w:val="000000"/>
                <w:sz w:val="20"/>
                <w:szCs w:val="20"/>
              </w:rPr>
              <w:t>48</w:t>
            </w:r>
          </w:p>
        </w:tc>
        <w:tc>
          <w:tcPr>
            <w:tcW w:w="0" w:type="auto"/>
            <w:shd w:val="clear" w:color="auto" w:fill="auto"/>
            <w:noWrap/>
            <w:vAlign w:val="bottom"/>
            <w:hideMark/>
          </w:tcPr>
          <w:p>
            <w:pPr>
              <w:jc w:val="right"/>
              <w:rPr>
                <w:noProof/>
                <w:color w:val="000000"/>
                <w:sz w:val="20"/>
                <w:szCs w:val="20"/>
              </w:rPr>
            </w:pPr>
            <w:r>
              <w:rPr>
                <w:noProof/>
                <w:color w:val="000000"/>
                <w:sz w:val="20"/>
                <w:szCs w:val="20"/>
              </w:rPr>
              <w:t>23/09/2015</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T-551/15</w:t>
            </w:r>
          </w:p>
        </w:tc>
        <w:tc>
          <w:tcPr>
            <w:tcW w:w="0" w:type="auto"/>
            <w:shd w:val="clear" w:color="auto" w:fill="auto"/>
            <w:noWrap/>
            <w:vAlign w:val="bottom"/>
            <w:hideMark/>
          </w:tcPr>
          <w:p>
            <w:pPr>
              <w:rPr>
                <w:bCs/>
                <w:noProof/>
                <w:color w:val="000000"/>
                <w:sz w:val="20"/>
                <w:szCs w:val="20"/>
              </w:rPr>
            </w:pPr>
            <w:r>
              <w:rPr>
                <w:bCs/>
                <w:noProof/>
                <w:color w:val="000000"/>
                <w:sz w:val="20"/>
                <w:szCs w:val="20"/>
              </w:rPr>
              <w:t>PT</w:t>
            </w:r>
          </w:p>
        </w:tc>
        <w:tc>
          <w:tcPr>
            <w:tcW w:w="0" w:type="auto"/>
            <w:shd w:val="clear" w:color="auto" w:fill="auto"/>
            <w:noWrap/>
            <w:vAlign w:val="bottom"/>
            <w:hideMark/>
          </w:tcPr>
          <w:p>
            <w:pPr>
              <w:jc w:val="right"/>
              <w:rPr>
                <w:noProof/>
                <w:color w:val="000000"/>
                <w:sz w:val="20"/>
                <w:szCs w:val="20"/>
              </w:rPr>
            </w:pPr>
            <w:r>
              <w:rPr>
                <w:noProof/>
                <w:color w:val="000000"/>
                <w:sz w:val="20"/>
                <w:szCs w:val="20"/>
              </w:rPr>
              <w:t>19/04/2016</w:t>
            </w:r>
          </w:p>
        </w:tc>
        <w:tc>
          <w:tcPr>
            <w:tcW w:w="0" w:type="auto"/>
            <w:shd w:val="clear" w:color="auto" w:fill="auto"/>
            <w:noWrap/>
            <w:vAlign w:val="bottom"/>
            <w:hideMark/>
          </w:tcPr>
          <w:p>
            <w:pPr>
              <w:rPr>
                <w:bCs/>
                <w:noProof/>
                <w:color w:val="000000"/>
                <w:sz w:val="20"/>
                <w:szCs w:val="20"/>
              </w:rPr>
            </w:pPr>
            <w:r>
              <w:rPr>
                <w:bCs/>
                <w:noProof/>
                <w:color w:val="000000"/>
                <w:sz w:val="20"/>
                <w:szCs w:val="20"/>
              </w:rPr>
              <w:t>48</w:t>
            </w:r>
          </w:p>
        </w:tc>
        <w:tc>
          <w:tcPr>
            <w:tcW w:w="0" w:type="auto"/>
            <w:shd w:val="clear" w:color="auto" w:fill="auto"/>
            <w:noWrap/>
            <w:vAlign w:val="bottom"/>
            <w:hideMark/>
          </w:tcPr>
          <w:p>
            <w:pPr>
              <w:jc w:val="right"/>
              <w:rPr>
                <w:noProof/>
                <w:color w:val="000000"/>
                <w:sz w:val="20"/>
                <w:szCs w:val="20"/>
              </w:rPr>
            </w:pPr>
            <w:r>
              <w:rPr>
                <w:noProof/>
                <w:color w:val="000000"/>
                <w:sz w:val="20"/>
                <w:szCs w:val="20"/>
              </w:rPr>
              <w:t>25/09/2015</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T-556/15</w:t>
            </w:r>
          </w:p>
        </w:tc>
        <w:tc>
          <w:tcPr>
            <w:tcW w:w="0" w:type="auto"/>
            <w:shd w:val="clear" w:color="auto" w:fill="auto"/>
            <w:noWrap/>
            <w:vAlign w:val="bottom"/>
            <w:hideMark/>
          </w:tcPr>
          <w:p>
            <w:pPr>
              <w:rPr>
                <w:bCs/>
                <w:noProof/>
                <w:color w:val="000000"/>
                <w:sz w:val="20"/>
                <w:szCs w:val="20"/>
              </w:rPr>
            </w:pPr>
            <w:r>
              <w:rPr>
                <w:bCs/>
                <w:noProof/>
                <w:color w:val="000000"/>
                <w:sz w:val="20"/>
                <w:szCs w:val="20"/>
              </w:rPr>
              <w:t>PT</w:t>
            </w:r>
          </w:p>
        </w:tc>
        <w:tc>
          <w:tcPr>
            <w:tcW w:w="0" w:type="auto"/>
            <w:shd w:val="clear" w:color="auto" w:fill="auto"/>
            <w:noWrap/>
            <w:vAlign w:val="bottom"/>
            <w:hideMark/>
          </w:tcPr>
          <w:p>
            <w:pPr>
              <w:jc w:val="right"/>
              <w:rPr>
                <w:noProof/>
                <w:color w:val="000000"/>
                <w:sz w:val="20"/>
                <w:szCs w:val="20"/>
              </w:rPr>
            </w:pPr>
            <w:r>
              <w:rPr>
                <w:noProof/>
                <w:color w:val="000000"/>
                <w:sz w:val="20"/>
                <w:szCs w:val="20"/>
              </w:rPr>
              <w:t>19/04/2016</w:t>
            </w:r>
          </w:p>
        </w:tc>
        <w:tc>
          <w:tcPr>
            <w:tcW w:w="0" w:type="auto"/>
            <w:shd w:val="clear" w:color="auto" w:fill="auto"/>
            <w:noWrap/>
            <w:vAlign w:val="bottom"/>
            <w:hideMark/>
          </w:tcPr>
          <w:p>
            <w:pPr>
              <w:rPr>
                <w:bCs/>
                <w:noProof/>
                <w:color w:val="000000"/>
                <w:sz w:val="20"/>
                <w:szCs w:val="20"/>
              </w:rPr>
            </w:pPr>
            <w:r>
              <w:rPr>
                <w:bCs/>
                <w:noProof/>
                <w:color w:val="000000"/>
                <w:sz w:val="20"/>
                <w:szCs w:val="20"/>
              </w:rPr>
              <w:t>48</w:t>
            </w:r>
          </w:p>
        </w:tc>
        <w:tc>
          <w:tcPr>
            <w:tcW w:w="0" w:type="auto"/>
            <w:shd w:val="clear" w:color="auto" w:fill="auto"/>
            <w:noWrap/>
            <w:vAlign w:val="bottom"/>
            <w:hideMark/>
          </w:tcPr>
          <w:p>
            <w:pPr>
              <w:jc w:val="right"/>
              <w:rPr>
                <w:noProof/>
                <w:color w:val="000000"/>
                <w:sz w:val="20"/>
                <w:szCs w:val="20"/>
              </w:rPr>
            </w:pPr>
            <w:r>
              <w:rPr>
                <w:noProof/>
                <w:color w:val="000000"/>
                <w:sz w:val="20"/>
                <w:szCs w:val="20"/>
              </w:rPr>
              <w:t>25/09/2015</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T-384/14</w:t>
            </w:r>
          </w:p>
        </w:tc>
        <w:tc>
          <w:tcPr>
            <w:tcW w:w="0" w:type="auto"/>
            <w:shd w:val="clear" w:color="auto" w:fill="auto"/>
            <w:noWrap/>
            <w:vAlign w:val="bottom"/>
            <w:hideMark/>
          </w:tcPr>
          <w:p>
            <w:pPr>
              <w:rPr>
                <w:bCs/>
                <w:noProof/>
                <w:color w:val="000000"/>
                <w:sz w:val="20"/>
                <w:szCs w:val="20"/>
              </w:rPr>
            </w:pPr>
            <w:r>
              <w:rPr>
                <w:bCs/>
                <w:noProof/>
                <w:color w:val="000000"/>
                <w:sz w:val="20"/>
                <w:szCs w:val="20"/>
              </w:rPr>
              <w:t>IT</w:t>
            </w:r>
          </w:p>
        </w:tc>
        <w:tc>
          <w:tcPr>
            <w:tcW w:w="0" w:type="auto"/>
            <w:shd w:val="clear" w:color="auto" w:fill="auto"/>
            <w:noWrap/>
            <w:vAlign w:val="bottom"/>
            <w:hideMark/>
          </w:tcPr>
          <w:p>
            <w:pPr>
              <w:jc w:val="right"/>
              <w:rPr>
                <w:noProof/>
                <w:color w:val="000000"/>
                <w:sz w:val="20"/>
                <w:szCs w:val="20"/>
              </w:rPr>
            </w:pPr>
            <w:r>
              <w:rPr>
                <w:noProof/>
                <w:color w:val="000000"/>
                <w:sz w:val="20"/>
                <w:szCs w:val="20"/>
              </w:rPr>
              <w:t>12/05/2016</w:t>
            </w:r>
          </w:p>
        </w:tc>
        <w:tc>
          <w:tcPr>
            <w:tcW w:w="0" w:type="auto"/>
            <w:shd w:val="clear" w:color="auto" w:fill="auto"/>
            <w:noWrap/>
            <w:vAlign w:val="bottom"/>
            <w:hideMark/>
          </w:tcPr>
          <w:p>
            <w:pPr>
              <w:rPr>
                <w:bCs/>
                <w:noProof/>
                <w:color w:val="000000"/>
                <w:sz w:val="20"/>
                <w:szCs w:val="20"/>
              </w:rPr>
            </w:pPr>
            <w:r>
              <w:rPr>
                <w:bCs/>
                <w:noProof/>
                <w:color w:val="000000"/>
                <w:sz w:val="20"/>
                <w:szCs w:val="20"/>
              </w:rPr>
              <w:t>44</w:t>
            </w:r>
          </w:p>
        </w:tc>
        <w:tc>
          <w:tcPr>
            <w:tcW w:w="0" w:type="auto"/>
            <w:shd w:val="clear" w:color="auto" w:fill="auto"/>
            <w:noWrap/>
            <w:vAlign w:val="bottom"/>
            <w:hideMark/>
          </w:tcPr>
          <w:p>
            <w:pPr>
              <w:jc w:val="right"/>
              <w:rPr>
                <w:noProof/>
                <w:color w:val="000000"/>
                <w:sz w:val="20"/>
                <w:szCs w:val="20"/>
              </w:rPr>
            </w:pPr>
            <w:r>
              <w:rPr>
                <w:noProof/>
                <w:color w:val="000000"/>
                <w:sz w:val="20"/>
                <w:szCs w:val="20"/>
              </w:rPr>
              <w:t>03/06/2014</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T-437/14</w:t>
            </w:r>
          </w:p>
        </w:tc>
        <w:tc>
          <w:tcPr>
            <w:tcW w:w="0" w:type="auto"/>
            <w:shd w:val="clear" w:color="auto" w:fill="auto"/>
            <w:noWrap/>
            <w:vAlign w:val="bottom"/>
            <w:hideMark/>
          </w:tcPr>
          <w:p>
            <w:pPr>
              <w:rPr>
                <w:bCs/>
                <w:noProof/>
                <w:color w:val="000000"/>
                <w:sz w:val="20"/>
                <w:szCs w:val="20"/>
              </w:rPr>
            </w:pPr>
            <w:r>
              <w:rPr>
                <w:bCs/>
                <w:noProof/>
                <w:color w:val="000000"/>
                <w:sz w:val="20"/>
                <w:szCs w:val="20"/>
              </w:rPr>
              <w:t>UK</w:t>
            </w:r>
          </w:p>
        </w:tc>
        <w:tc>
          <w:tcPr>
            <w:tcW w:w="0" w:type="auto"/>
            <w:shd w:val="clear" w:color="auto" w:fill="auto"/>
            <w:noWrap/>
            <w:vAlign w:val="bottom"/>
            <w:hideMark/>
          </w:tcPr>
          <w:p>
            <w:pPr>
              <w:jc w:val="right"/>
              <w:rPr>
                <w:noProof/>
                <w:color w:val="000000"/>
                <w:sz w:val="20"/>
                <w:szCs w:val="20"/>
              </w:rPr>
            </w:pPr>
            <w:r>
              <w:rPr>
                <w:noProof/>
                <w:color w:val="000000"/>
                <w:sz w:val="20"/>
                <w:szCs w:val="20"/>
              </w:rPr>
              <w:t>28/09/2016</w:t>
            </w:r>
          </w:p>
        </w:tc>
        <w:tc>
          <w:tcPr>
            <w:tcW w:w="0" w:type="auto"/>
            <w:shd w:val="clear" w:color="auto" w:fill="auto"/>
            <w:noWrap/>
            <w:vAlign w:val="bottom"/>
            <w:hideMark/>
          </w:tcPr>
          <w:p>
            <w:pPr>
              <w:rPr>
                <w:bCs/>
                <w:noProof/>
                <w:color w:val="000000"/>
                <w:sz w:val="20"/>
                <w:szCs w:val="20"/>
              </w:rPr>
            </w:pPr>
            <w:r>
              <w:rPr>
                <w:bCs/>
                <w:noProof/>
                <w:color w:val="000000"/>
                <w:sz w:val="20"/>
                <w:szCs w:val="20"/>
              </w:rPr>
              <w:t>44</w:t>
            </w:r>
          </w:p>
        </w:tc>
        <w:tc>
          <w:tcPr>
            <w:tcW w:w="0" w:type="auto"/>
            <w:shd w:val="clear" w:color="auto" w:fill="auto"/>
            <w:noWrap/>
            <w:vAlign w:val="bottom"/>
            <w:hideMark/>
          </w:tcPr>
          <w:p>
            <w:pPr>
              <w:jc w:val="right"/>
              <w:rPr>
                <w:noProof/>
                <w:color w:val="000000"/>
                <w:sz w:val="20"/>
                <w:szCs w:val="20"/>
              </w:rPr>
            </w:pPr>
            <w:r>
              <w:rPr>
                <w:noProof/>
                <w:color w:val="000000"/>
                <w:sz w:val="20"/>
                <w:szCs w:val="20"/>
              </w:rPr>
              <w:t>16/06/2014</w:t>
            </w:r>
          </w:p>
        </w:tc>
      </w:tr>
    </w:tbl>
    <w:p>
      <w:pPr>
        <w:pStyle w:val="ManualHeading3"/>
        <w:rPr>
          <w:bCs/>
          <w:noProof/>
        </w:rPr>
      </w:pPr>
      <w:bookmarkStart w:id="142" w:name="_Toc484783959"/>
      <w:r>
        <w:t>6.3.2.</w:t>
      </w:r>
      <w:r>
        <w:tab/>
      </w:r>
      <w:r>
        <w:rPr>
          <w:noProof/>
        </w:rPr>
        <w:t>New appeals</w:t>
      </w:r>
      <w:bookmarkEnd w:id="141"/>
      <w:bookmarkEnd w:id="142"/>
    </w:p>
    <w:p>
      <w:pPr>
        <w:pStyle w:val="Text1"/>
      </w:pPr>
      <w:bookmarkStart w:id="143" w:name="_Toc322938657"/>
      <w:r>
        <w:t>In the financial year 2016, 12 new appeals were brought by the Member States against clearance decisions:</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6"/>
        <w:gridCol w:w="1378"/>
        <w:gridCol w:w="1955"/>
      </w:tblGrid>
      <w:tr>
        <w:trPr>
          <w:trHeight w:val="255"/>
          <w:jc w:val="center"/>
        </w:trPr>
        <w:tc>
          <w:tcPr>
            <w:tcW w:w="0" w:type="auto"/>
            <w:shd w:val="clear" w:color="DCE6F1" w:fill="DCE6F1"/>
            <w:noWrap/>
            <w:vAlign w:val="bottom"/>
            <w:hideMark/>
          </w:tcPr>
          <w:p>
            <w:pPr>
              <w:rPr>
                <w:b/>
                <w:bCs/>
                <w:noProof/>
                <w:color w:val="000000"/>
                <w:sz w:val="20"/>
                <w:szCs w:val="20"/>
              </w:rPr>
            </w:pPr>
            <w:r>
              <w:rPr>
                <w:b/>
                <w:bCs/>
                <w:noProof/>
                <w:color w:val="000000"/>
                <w:sz w:val="20"/>
                <w:szCs w:val="20"/>
              </w:rPr>
              <w:t>Case Number</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MS</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Lodging Date</w:t>
            </w:r>
          </w:p>
        </w:tc>
        <w:tc>
          <w:tcPr>
            <w:tcW w:w="0" w:type="auto"/>
            <w:shd w:val="clear" w:color="DCE6F1" w:fill="DCE6F1"/>
            <w:noWrap/>
            <w:vAlign w:val="bottom"/>
            <w:hideMark/>
          </w:tcPr>
          <w:p>
            <w:pPr>
              <w:rPr>
                <w:b/>
                <w:bCs/>
                <w:noProof/>
                <w:color w:val="000000"/>
                <w:sz w:val="20"/>
                <w:szCs w:val="20"/>
              </w:rPr>
            </w:pPr>
            <w:r>
              <w:rPr>
                <w:b/>
                <w:bCs/>
                <w:noProof/>
                <w:color w:val="000000"/>
                <w:sz w:val="20"/>
                <w:szCs w:val="20"/>
              </w:rPr>
              <w:t>Challenged Decision</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T-26/16</w:t>
            </w:r>
          </w:p>
        </w:tc>
        <w:tc>
          <w:tcPr>
            <w:tcW w:w="0" w:type="auto"/>
            <w:shd w:val="clear" w:color="auto" w:fill="auto"/>
            <w:noWrap/>
            <w:vAlign w:val="bottom"/>
            <w:hideMark/>
          </w:tcPr>
          <w:p>
            <w:pPr>
              <w:rPr>
                <w:bCs/>
                <w:noProof/>
                <w:color w:val="000000"/>
                <w:sz w:val="20"/>
                <w:szCs w:val="20"/>
              </w:rPr>
            </w:pPr>
            <w:r>
              <w:rPr>
                <w:bCs/>
                <w:noProof/>
                <w:color w:val="000000"/>
                <w:sz w:val="20"/>
                <w:szCs w:val="20"/>
              </w:rPr>
              <w:t>EL</w:t>
            </w:r>
          </w:p>
        </w:tc>
        <w:tc>
          <w:tcPr>
            <w:tcW w:w="0" w:type="auto"/>
            <w:shd w:val="clear" w:color="auto" w:fill="auto"/>
            <w:noWrap/>
            <w:vAlign w:val="bottom"/>
            <w:hideMark/>
          </w:tcPr>
          <w:p>
            <w:pPr>
              <w:jc w:val="right"/>
              <w:rPr>
                <w:noProof/>
                <w:color w:val="000000"/>
                <w:sz w:val="20"/>
                <w:szCs w:val="20"/>
              </w:rPr>
            </w:pPr>
            <w:r>
              <w:rPr>
                <w:noProof/>
                <w:color w:val="000000"/>
                <w:sz w:val="20"/>
                <w:szCs w:val="20"/>
              </w:rPr>
              <w:t>22/01/2016</w:t>
            </w:r>
          </w:p>
        </w:tc>
        <w:tc>
          <w:tcPr>
            <w:tcW w:w="0" w:type="auto"/>
            <w:shd w:val="clear" w:color="auto" w:fill="auto"/>
            <w:noWrap/>
            <w:vAlign w:val="bottom"/>
            <w:hideMark/>
          </w:tcPr>
          <w:p>
            <w:pPr>
              <w:rPr>
                <w:noProof/>
                <w:color w:val="000000"/>
                <w:sz w:val="20"/>
                <w:szCs w:val="20"/>
              </w:rPr>
            </w:pPr>
            <w:r>
              <w:rPr>
                <w:noProof/>
                <w:color w:val="000000"/>
                <w:sz w:val="20"/>
                <w:szCs w:val="20"/>
              </w:rPr>
              <w:t>49</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T-27/16</w:t>
            </w:r>
          </w:p>
        </w:tc>
        <w:tc>
          <w:tcPr>
            <w:tcW w:w="0" w:type="auto"/>
            <w:shd w:val="clear" w:color="auto" w:fill="auto"/>
            <w:noWrap/>
            <w:vAlign w:val="bottom"/>
            <w:hideMark/>
          </w:tcPr>
          <w:p>
            <w:pPr>
              <w:rPr>
                <w:bCs/>
                <w:noProof/>
                <w:color w:val="000000"/>
                <w:sz w:val="20"/>
                <w:szCs w:val="20"/>
              </w:rPr>
            </w:pPr>
            <w:r>
              <w:rPr>
                <w:bCs/>
                <w:noProof/>
                <w:color w:val="000000"/>
                <w:sz w:val="20"/>
                <w:szCs w:val="20"/>
              </w:rPr>
              <w:t>UK</w:t>
            </w:r>
          </w:p>
        </w:tc>
        <w:tc>
          <w:tcPr>
            <w:tcW w:w="0" w:type="auto"/>
            <w:shd w:val="clear" w:color="auto" w:fill="auto"/>
            <w:noWrap/>
            <w:vAlign w:val="bottom"/>
            <w:hideMark/>
          </w:tcPr>
          <w:p>
            <w:pPr>
              <w:jc w:val="right"/>
              <w:rPr>
                <w:noProof/>
                <w:color w:val="000000"/>
                <w:sz w:val="20"/>
                <w:szCs w:val="20"/>
              </w:rPr>
            </w:pPr>
            <w:r>
              <w:rPr>
                <w:noProof/>
                <w:color w:val="000000"/>
                <w:sz w:val="20"/>
                <w:szCs w:val="20"/>
              </w:rPr>
              <w:t>25/01/2016</w:t>
            </w:r>
          </w:p>
        </w:tc>
        <w:tc>
          <w:tcPr>
            <w:tcW w:w="0" w:type="auto"/>
            <w:shd w:val="clear" w:color="auto" w:fill="auto"/>
            <w:noWrap/>
            <w:vAlign w:val="bottom"/>
            <w:hideMark/>
          </w:tcPr>
          <w:p>
            <w:pPr>
              <w:rPr>
                <w:noProof/>
                <w:color w:val="000000"/>
                <w:sz w:val="20"/>
                <w:szCs w:val="20"/>
              </w:rPr>
            </w:pPr>
            <w:r>
              <w:rPr>
                <w:noProof/>
                <w:color w:val="000000"/>
                <w:sz w:val="20"/>
                <w:szCs w:val="20"/>
              </w:rPr>
              <w:t>49</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T-34/16</w:t>
            </w:r>
          </w:p>
        </w:tc>
        <w:tc>
          <w:tcPr>
            <w:tcW w:w="0" w:type="auto"/>
            <w:shd w:val="clear" w:color="auto" w:fill="auto"/>
            <w:noWrap/>
            <w:vAlign w:val="bottom"/>
            <w:hideMark/>
          </w:tcPr>
          <w:p>
            <w:pPr>
              <w:rPr>
                <w:bCs/>
                <w:noProof/>
                <w:color w:val="000000"/>
                <w:sz w:val="20"/>
                <w:szCs w:val="20"/>
              </w:rPr>
            </w:pPr>
            <w:r>
              <w:rPr>
                <w:bCs/>
                <w:noProof/>
                <w:color w:val="000000"/>
                <w:sz w:val="20"/>
                <w:szCs w:val="20"/>
              </w:rPr>
              <w:t>LT</w:t>
            </w:r>
          </w:p>
        </w:tc>
        <w:tc>
          <w:tcPr>
            <w:tcW w:w="0" w:type="auto"/>
            <w:shd w:val="clear" w:color="auto" w:fill="auto"/>
            <w:noWrap/>
            <w:vAlign w:val="bottom"/>
            <w:hideMark/>
          </w:tcPr>
          <w:p>
            <w:pPr>
              <w:jc w:val="right"/>
              <w:rPr>
                <w:noProof/>
                <w:color w:val="000000"/>
                <w:sz w:val="20"/>
                <w:szCs w:val="20"/>
              </w:rPr>
            </w:pPr>
            <w:r>
              <w:rPr>
                <w:noProof/>
                <w:color w:val="000000"/>
                <w:sz w:val="20"/>
                <w:szCs w:val="20"/>
              </w:rPr>
              <w:t>26/01/2016</w:t>
            </w:r>
          </w:p>
        </w:tc>
        <w:tc>
          <w:tcPr>
            <w:tcW w:w="0" w:type="auto"/>
            <w:shd w:val="clear" w:color="auto" w:fill="auto"/>
            <w:noWrap/>
            <w:vAlign w:val="bottom"/>
            <w:hideMark/>
          </w:tcPr>
          <w:p>
            <w:pPr>
              <w:rPr>
                <w:noProof/>
                <w:color w:val="000000"/>
                <w:sz w:val="20"/>
                <w:szCs w:val="20"/>
              </w:rPr>
            </w:pPr>
            <w:r>
              <w:rPr>
                <w:noProof/>
                <w:color w:val="000000"/>
                <w:sz w:val="20"/>
                <w:szCs w:val="20"/>
              </w:rPr>
              <w:t>49</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C-279/16P</w:t>
            </w:r>
          </w:p>
        </w:tc>
        <w:tc>
          <w:tcPr>
            <w:tcW w:w="0" w:type="auto"/>
            <w:shd w:val="clear" w:color="auto" w:fill="auto"/>
            <w:noWrap/>
            <w:vAlign w:val="bottom"/>
            <w:hideMark/>
          </w:tcPr>
          <w:p>
            <w:pPr>
              <w:rPr>
                <w:bCs/>
                <w:noProof/>
                <w:color w:val="000000"/>
                <w:sz w:val="20"/>
                <w:szCs w:val="20"/>
              </w:rPr>
            </w:pPr>
            <w:r>
              <w:rPr>
                <w:bCs/>
                <w:noProof/>
                <w:color w:val="000000"/>
                <w:sz w:val="20"/>
                <w:szCs w:val="20"/>
              </w:rPr>
              <w:t>ES</w:t>
            </w:r>
          </w:p>
        </w:tc>
        <w:tc>
          <w:tcPr>
            <w:tcW w:w="0" w:type="auto"/>
            <w:shd w:val="clear" w:color="auto" w:fill="auto"/>
            <w:noWrap/>
            <w:vAlign w:val="bottom"/>
            <w:hideMark/>
          </w:tcPr>
          <w:p>
            <w:pPr>
              <w:jc w:val="right"/>
              <w:rPr>
                <w:noProof/>
                <w:color w:val="000000"/>
                <w:sz w:val="20"/>
                <w:szCs w:val="20"/>
              </w:rPr>
            </w:pPr>
            <w:r>
              <w:rPr>
                <w:noProof/>
                <w:color w:val="000000"/>
                <w:sz w:val="20"/>
                <w:szCs w:val="20"/>
              </w:rPr>
              <w:t>19/05/2016</w:t>
            </w:r>
          </w:p>
        </w:tc>
        <w:tc>
          <w:tcPr>
            <w:tcW w:w="0" w:type="auto"/>
            <w:shd w:val="clear" w:color="auto" w:fill="auto"/>
            <w:noWrap/>
            <w:vAlign w:val="bottom"/>
            <w:hideMark/>
          </w:tcPr>
          <w:p>
            <w:pPr>
              <w:rPr>
                <w:noProof/>
                <w:color w:val="000000"/>
                <w:sz w:val="20"/>
                <w:szCs w:val="20"/>
              </w:rPr>
            </w:pPr>
            <w:r>
              <w:rPr>
                <w:noProof/>
                <w:color w:val="000000"/>
                <w:sz w:val="20"/>
                <w:szCs w:val="20"/>
              </w:rPr>
              <w:t>45</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T-260/16</w:t>
            </w:r>
          </w:p>
        </w:tc>
        <w:tc>
          <w:tcPr>
            <w:tcW w:w="0" w:type="auto"/>
            <w:shd w:val="clear" w:color="auto" w:fill="auto"/>
            <w:noWrap/>
            <w:vAlign w:val="bottom"/>
            <w:hideMark/>
          </w:tcPr>
          <w:p>
            <w:pPr>
              <w:rPr>
                <w:bCs/>
                <w:noProof/>
                <w:color w:val="000000"/>
                <w:sz w:val="20"/>
                <w:szCs w:val="20"/>
              </w:rPr>
            </w:pPr>
            <w:r>
              <w:rPr>
                <w:bCs/>
                <w:noProof/>
                <w:color w:val="000000"/>
                <w:sz w:val="20"/>
                <w:szCs w:val="20"/>
              </w:rPr>
              <w:t>SE</w:t>
            </w:r>
          </w:p>
        </w:tc>
        <w:tc>
          <w:tcPr>
            <w:tcW w:w="0" w:type="auto"/>
            <w:shd w:val="clear" w:color="auto" w:fill="auto"/>
            <w:noWrap/>
            <w:vAlign w:val="bottom"/>
            <w:hideMark/>
          </w:tcPr>
          <w:p>
            <w:pPr>
              <w:jc w:val="right"/>
              <w:rPr>
                <w:noProof/>
                <w:color w:val="000000"/>
                <w:sz w:val="20"/>
                <w:szCs w:val="20"/>
              </w:rPr>
            </w:pPr>
            <w:r>
              <w:rPr>
                <w:noProof/>
                <w:color w:val="000000"/>
                <w:sz w:val="20"/>
                <w:szCs w:val="20"/>
              </w:rPr>
              <w:t>24/05/2016</w:t>
            </w:r>
          </w:p>
        </w:tc>
        <w:tc>
          <w:tcPr>
            <w:tcW w:w="0" w:type="auto"/>
            <w:shd w:val="clear" w:color="auto" w:fill="auto"/>
            <w:noWrap/>
            <w:vAlign w:val="bottom"/>
            <w:hideMark/>
          </w:tcPr>
          <w:p>
            <w:pPr>
              <w:rPr>
                <w:noProof/>
                <w:color w:val="000000"/>
                <w:sz w:val="20"/>
                <w:szCs w:val="20"/>
              </w:rPr>
            </w:pPr>
            <w:r>
              <w:rPr>
                <w:noProof/>
                <w:color w:val="000000"/>
                <w:sz w:val="20"/>
                <w:szCs w:val="20"/>
              </w:rPr>
              <w:t>50</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T-261/16</w:t>
            </w:r>
          </w:p>
        </w:tc>
        <w:tc>
          <w:tcPr>
            <w:tcW w:w="0" w:type="auto"/>
            <w:shd w:val="clear" w:color="auto" w:fill="auto"/>
            <w:noWrap/>
            <w:vAlign w:val="bottom"/>
            <w:hideMark/>
          </w:tcPr>
          <w:p>
            <w:pPr>
              <w:rPr>
                <w:bCs/>
                <w:noProof/>
                <w:color w:val="000000"/>
                <w:sz w:val="20"/>
                <w:szCs w:val="20"/>
              </w:rPr>
            </w:pPr>
            <w:r>
              <w:rPr>
                <w:bCs/>
                <w:noProof/>
                <w:color w:val="000000"/>
                <w:sz w:val="20"/>
                <w:szCs w:val="20"/>
              </w:rPr>
              <w:t>PT</w:t>
            </w:r>
          </w:p>
        </w:tc>
        <w:tc>
          <w:tcPr>
            <w:tcW w:w="0" w:type="auto"/>
            <w:shd w:val="clear" w:color="auto" w:fill="auto"/>
            <w:noWrap/>
            <w:vAlign w:val="bottom"/>
            <w:hideMark/>
          </w:tcPr>
          <w:p>
            <w:pPr>
              <w:jc w:val="right"/>
              <w:rPr>
                <w:noProof/>
                <w:color w:val="000000"/>
                <w:sz w:val="20"/>
                <w:szCs w:val="20"/>
              </w:rPr>
            </w:pPr>
            <w:r>
              <w:rPr>
                <w:noProof/>
                <w:color w:val="000000"/>
                <w:sz w:val="20"/>
                <w:szCs w:val="20"/>
              </w:rPr>
              <w:t>25/05/2016</w:t>
            </w:r>
          </w:p>
        </w:tc>
        <w:tc>
          <w:tcPr>
            <w:tcW w:w="0" w:type="auto"/>
            <w:shd w:val="clear" w:color="auto" w:fill="auto"/>
            <w:noWrap/>
            <w:vAlign w:val="bottom"/>
            <w:hideMark/>
          </w:tcPr>
          <w:p>
            <w:pPr>
              <w:rPr>
                <w:noProof/>
                <w:color w:val="000000"/>
                <w:sz w:val="20"/>
                <w:szCs w:val="20"/>
              </w:rPr>
            </w:pPr>
            <w:r>
              <w:rPr>
                <w:noProof/>
                <w:color w:val="000000"/>
                <w:sz w:val="20"/>
                <w:szCs w:val="20"/>
              </w:rPr>
              <w:t>50</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T-272/16</w:t>
            </w:r>
          </w:p>
        </w:tc>
        <w:tc>
          <w:tcPr>
            <w:tcW w:w="0" w:type="auto"/>
            <w:shd w:val="clear" w:color="auto" w:fill="auto"/>
            <w:noWrap/>
            <w:vAlign w:val="bottom"/>
            <w:hideMark/>
          </w:tcPr>
          <w:p>
            <w:pPr>
              <w:rPr>
                <w:bCs/>
                <w:noProof/>
                <w:color w:val="000000"/>
                <w:sz w:val="20"/>
                <w:szCs w:val="20"/>
              </w:rPr>
            </w:pPr>
            <w:r>
              <w:rPr>
                <w:bCs/>
                <w:noProof/>
                <w:color w:val="000000"/>
                <w:sz w:val="20"/>
                <w:szCs w:val="20"/>
              </w:rPr>
              <w:t>EL</w:t>
            </w:r>
          </w:p>
        </w:tc>
        <w:tc>
          <w:tcPr>
            <w:tcW w:w="0" w:type="auto"/>
            <w:shd w:val="clear" w:color="auto" w:fill="auto"/>
            <w:noWrap/>
            <w:vAlign w:val="bottom"/>
            <w:hideMark/>
          </w:tcPr>
          <w:p>
            <w:pPr>
              <w:jc w:val="right"/>
              <w:rPr>
                <w:noProof/>
                <w:color w:val="000000"/>
                <w:sz w:val="20"/>
                <w:szCs w:val="20"/>
              </w:rPr>
            </w:pPr>
            <w:r>
              <w:rPr>
                <w:noProof/>
                <w:color w:val="000000"/>
                <w:sz w:val="20"/>
                <w:szCs w:val="20"/>
              </w:rPr>
              <w:t>25/05/2016</w:t>
            </w:r>
          </w:p>
        </w:tc>
        <w:tc>
          <w:tcPr>
            <w:tcW w:w="0" w:type="auto"/>
            <w:shd w:val="clear" w:color="auto" w:fill="auto"/>
            <w:noWrap/>
            <w:vAlign w:val="bottom"/>
            <w:hideMark/>
          </w:tcPr>
          <w:p>
            <w:pPr>
              <w:rPr>
                <w:noProof/>
                <w:color w:val="000000"/>
                <w:sz w:val="20"/>
                <w:szCs w:val="20"/>
              </w:rPr>
            </w:pPr>
            <w:r>
              <w:rPr>
                <w:noProof/>
                <w:color w:val="000000"/>
                <w:sz w:val="20"/>
                <w:szCs w:val="20"/>
              </w:rPr>
              <w:t>50</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T-287/16</w:t>
            </w:r>
          </w:p>
        </w:tc>
        <w:tc>
          <w:tcPr>
            <w:tcW w:w="0" w:type="auto"/>
            <w:shd w:val="clear" w:color="auto" w:fill="auto"/>
            <w:noWrap/>
            <w:vAlign w:val="bottom"/>
            <w:hideMark/>
          </w:tcPr>
          <w:p>
            <w:pPr>
              <w:rPr>
                <w:bCs/>
                <w:noProof/>
                <w:color w:val="000000"/>
                <w:sz w:val="20"/>
                <w:szCs w:val="20"/>
              </w:rPr>
            </w:pPr>
            <w:r>
              <w:rPr>
                <w:bCs/>
                <w:noProof/>
                <w:color w:val="000000"/>
                <w:sz w:val="20"/>
                <w:szCs w:val="20"/>
              </w:rPr>
              <w:t>BE</w:t>
            </w:r>
          </w:p>
        </w:tc>
        <w:tc>
          <w:tcPr>
            <w:tcW w:w="0" w:type="auto"/>
            <w:shd w:val="clear" w:color="auto" w:fill="auto"/>
            <w:noWrap/>
            <w:vAlign w:val="bottom"/>
            <w:hideMark/>
          </w:tcPr>
          <w:p>
            <w:pPr>
              <w:jc w:val="right"/>
              <w:rPr>
                <w:noProof/>
                <w:color w:val="000000"/>
                <w:sz w:val="20"/>
                <w:szCs w:val="20"/>
              </w:rPr>
            </w:pPr>
            <w:r>
              <w:rPr>
                <w:noProof/>
                <w:color w:val="000000"/>
                <w:sz w:val="20"/>
                <w:szCs w:val="20"/>
              </w:rPr>
              <w:t>30/05/2016</w:t>
            </w:r>
          </w:p>
        </w:tc>
        <w:tc>
          <w:tcPr>
            <w:tcW w:w="0" w:type="auto"/>
            <w:shd w:val="clear" w:color="auto" w:fill="auto"/>
            <w:noWrap/>
            <w:vAlign w:val="bottom"/>
            <w:hideMark/>
          </w:tcPr>
          <w:p>
            <w:pPr>
              <w:rPr>
                <w:noProof/>
                <w:color w:val="000000"/>
                <w:sz w:val="20"/>
                <w:szCs w:val="20"/>
              </w:rPr>
            </w:pPr>
            <w:r>
              <w:rPr>
                <w:noProof/>
                <w:color w:val="000000"/>
                <w:sz w:val="20"/>
                <w:szCs w:val="20"/>
              </w:rPr>
              <w:t>50</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T-459/16</w:t>
            </w:r>
          </w:p>
        </w:tc>
        <w:tc>
          <w:tcPr>
            <w:tcW w:w="0" w:type="auto"/>
            <w:shd w:val="clear" w:color="auto" w:fill="auto"/>
            <w:noWrap/>
            <w:vAlign w:val="bottom"/>
            <w:hideMark/>
          </w:tcPr>
          <w:p>
            <w:pPr>
              <w:rPr>
                <w:bCs/>
                <w:noProof/>
                <w:color w:val="000000"/>
                <w:sz w:val="20"/>
                <w:szCs w:val="20"/>
              </w:rPr>
            </w:pPr>
            <w:r>
              <w:rPr>
                <w:bCs/>
                <w:noProof/>
                <w:color w:val="000000"/>
                <w:sz w:val="20"/>
                <w:szCs w:val="20"/>
              </w:rPr>
              <w:t>ES</w:t>
            </w:r>
          </w:p>
        </w:tc>
        <w:tc>
          <w:tcPr>
            <w:tcW w:w="0" w:type="auto"/>
            <w:shd w:val="clear" w:color="auto" w:fill="auto"/>
            <w:noWrap/>
            <w:vAlign w:val="bottom"/>
            <w:hideMark/>
          </w:tcPr>
          <w:p>
            <w:pPr>
              <w:jc w:val="right"/>
              <w:rPr>
                <w:noProof/>
                <w:color w:val="000000"/>
                <w:sz w:val="20"/>
                <w:szCs w:val="20"/>
              </w:rPr>
            </w:pPr>
            <w:r>
              <w:rPr>
                <w:noProof/>
                <w:color w:val="000000"/>
                <w:sz w:val="20"/>
                <w:szCs w:val="20"/>
              </w:rPr>
              <w:t>19/08/2016</w:t>
            </w:r>
          </w:p>
        </w:tc>
        <w:tc>
          <w:tcPr>
            <w:tcW w:w="0" w:type="auto"/>
            <w:shd w:val="clear" w:color="auto" w:fill="auto"/>
            <w:noWrap/>
            <w:vAlign w:val="bottom"/>
            <w:hideMark/>
          </w:tcPr>
          <w:p>
            <w:pPr>
              <w:rPr>
                <w:noProof/>
                <w:color w:val="000000"/>
                <w:sz w:val="20"/>
                <w:szCs w:val="20"/>
              </w:rPr>
            </w:pPr>
            <w:r>
              <w:rPr>
                <w:noProof/>
                <w:color w:val="000000"/>
                <w:sz w:val="20"/>
                <w:szCs w:val="20"/>
              </w:rPr>
              <w:t>51</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T-462/16</w:t>
            </w:r>
          </w:p>
        </w:tc>
        <w:tc>
          <w:tcPr>
            <w:tcW w:w="0" w:type="auto"/>
            <w:shd w:val="clear" w:color="auto" w:fill="auto"/>
            <w:noWrap/>
            <w:vAlign w:val="bottom"/>
            <w:hideMark/>
          </w:tcPr>
          <w:p>
            <w:pPr>
              <w:rPr>
                <w:bCs/>
                <w:noProof/>
                <w:color w:val="000000"/>
                <w:sz w:val="20"/>
                <w:szCs w:val="20"/>
              </w:rPr>
            </w:pPr>
            <w:r>
              <w:rPr>
                <w:bCs/>
                <w:noProof/>
                <w:color w:val="000000"/>
                <w:sz w:val="20"/>
                <w:szCs w:val="20"/>
              </w:rPr>
              <w:t>PT</w:t>
            </w:r>
          </w:p>
        </w:tc>
        <w:tc>
          <w:tcPr>
            <w:tcW w:w="0" w:type="auto"/>
            <w:shd w:val="clear" w:color="auto" w:fill="auto"/>
            <w:noWrap/>
            <w:vAlign w:val="bottom"/>
            <w:hideMark/>
          </w:tcPr>
          <w:p>
            <w:pPr>
              <w:jc w:val="right"/>
              <w:rPr>
                <w:noProof/>
                <w:color w:val="000000"/>
                <w:sz w:val="20"/>
                <w:szCs w:val="20"/>
              </w:rPr>
            </w:pPr>
            <w:r>
              <w:rPr>
                <w:noProof/>
                <w:color w:val="000000"/>
                <w:sz w:val="20"/>
                <w:szCs w:val="20"/>
              </w:rPr>
              <w:t>22/08/2016</w:t>
            </w:r>
          </w:p>
        </w:tc>
        <w:tc>
          <w:tcPr>
            <w:tcW w:w="0" w:type="auto"/>
            <w:shd w:val="clear" w:color="auto" w:fill="auto"/>
            <w:noWrap/>
            <w:vAlign w:val="bottom"/>
            <w:hideMark/>
          </w:tcPr>
          <w:p>
            <w:pPr>
              <w:rPr>
                <w:noProof/>
                <w:color w:val="000000"/>
                <w:sz w:val="20"/>
                <w:szCs w:val="20"/>
              </w:rPr>
            </w:pPr>
            <w:r>
              <w:rPr>
                <w:noProof/>
                <w:color w:val="000000"/>
                <w:sz w:val="20"/>
                <w:szCs w:val="20"/>
              </w:rPr>
              <w:t>51</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T-463/16</w:t>
            </w:r>
          </w:p>
        </w:tc>
        <w:tc>
          <w:tcPr>
            <w:tcW w:w="0" w:type="auto"/>
            <w:shd w:val="clear" w:color="auto" w:fill="auto"/>
            <w:noWrap/>
            <w:vAlign w:val="bottom"/>
            <w:hideMark/>
          </w:tcPr>
          <w:p>
            <w:pPr>
              <w:rPr>
                <w:bCs/>
                <w:noProof/>
                <w:color w:val="000000"/>
                <w:sz w:val="20"/>
                <w:szCs w:val="20"/>
              </w:rPr>
            </w:pPr>
            <w:r>
              <w:rPr>
                <w:bCs/>
                <w:noProof/>
                <w:color w:val="000000"/>
                <w:sz w:val="20"/>
                <w:szCs w:val="20"/>
              </w:rPr>
              <w:t>PT</w:t>
            </w:r>
          </w:p>
        </w:tc>
        <w:tc>
          <w:tcPr>
            <w:tcW w:w="0" w:type="auto"/>
            <w:shd w:val="clear" w:color="auto" w:fill="auto"/>
            <w:noWrap/>
            <w:vAlign w:val="bottom"/>
            <w:hideMark/>
          </w:tcPr>
          <w:p>
            <w:pPr>
              <w:jc w:val="right"/>
              <w:rPr>
                <w:noProof/>
                <w:color w:val="000000"/>
                <w:sz w:val="20"/>
                <w:szCs w:val="20"/>
              </w:rPr>
            </w:pPr>
            <w:r>
              <w:rPr>
                <w:noProof/>
                <w:color w:val="000000"/>
                <w:sz w:val="20"/>
                <w:szCs w:val="20"/>
              </w:rPr>
              <w:t>22/08/2016</w:t>
            </w:r>
          </w:p>
        </w:tc>
        <w:tc>
          <w:tcPr>
            <w:tcW w:w="0" w:type="auto"/>
            <w:shd w:val="clear" w:color="auto" w:fill="auto"/>
            <w:noWrap/>
            <w:vAlign w:val="bottom"/>
            <w:hideMark/>
          </w:tcPr>
          <w:p>
            <w:pPr>
              <w:rPr>
                <w:noProof/>
                <w:color w:val="000000"/>
                <w:sz w:val="20"/>
                <w:szCs w:val="20"/>
              </w:rPr>
            </w:pPr>
            <w:r>
              <w:rPr>
                <w:noProof/>
                <w:color w:val="000000"/>
                <w:sz w:val="20"/>
                <w:szCs w:val="20"/>
              </w:rPr>
              <w:t>51</w:t>
            </w:r>
          </w:p>
        </w:tc>
      </w:tr>
      <w:tr>
        <w:trPr>
          <w:trHeight w:val="255"/>
          <w:jc w:val="center"/>
        </w:trPr>
        <w:tc>
          <w:tcPr>
            <w:tcW w:w="0" w:type="auto"/>
            <w:shd w:val="clear" w:color="auto" w:fill="auto"/>
            <w:noWrap/>
            <w:vAlign w:val="bottom"/>
            <w:hideMark/>
          </w:tcPr>
          <w:p>
            <w:pPr>
              <w:rPr>
                <w:bCs/>
                <w:noProof/>
                <w:color w:val="000000"/>
                <w:sz w:val="20"/>
                <w:szCs w:val="20"/>
              </w:rPr>
            </w:pPr>
            <w:r>
              <w:rPr>
                <w:bCs/>
                <w:noProof/>
                <w:color w:val="000000"/>
                <w:sz w:val="20"/>
                <w:szCs w:val="20"/>
              </w:rPr>
              <w:t>T-627/16</w:t>
            </w:r>
          </w:p>
        </w:tc>
        <w:tc>
          <w:tcPr>
            <w:tcW w:w="0" w:type="auto"/>
            <w:shd w:val="clear" w:color="auto" w:fill="auto"/>
            <w:noWrap/>
            <w:vAlign w:val="bottom"/>
            <w:hideMark/>
          </w:tcPr>
          <w:p>
            <w:pPr>
              <w:rPr>
                <w:bCs/>
                <w:noProof/>
                <w:color w:val="000000"/>
                <w:sz w:val="20"/>
                <w:szCs w:val="20"/>
              </w:rPr>
            </w:pPr>
            <w:r>
              <w:rPr>
                <w:bCs/>
                <w:noProof/>
                <w:color w:val="000000"/>
                <w:sz w:val="20"/>
                <w:szCs w:val="20"/>
              </w:rPr>
              <w:t>CZ</w:t>
            </w:r>
          </w:p>
        </w:tc>
        <w:tc>
          <w:tcPr>
            <w:tcW w:w="0" w:type="auto"/>
            <w:shd w:val="clear" w:color="auto" w:fill="auto"/>
            <w:noWrap/>
            <w:vAlign w:val="bottom"/>
            <w:hideMark/>
          </w:tcPr>
          <w:p>
            <w:pPr>
              <w:jc w:val="right"/>
              <w:rPr>
                <w:noProof/>
                <w:color w:val="000000"/>
                <w:sz w:val="20"/>
                <w:szCs w:val="20"/>
              </w:rPr>
            </w:pPr>
            <w:r>
              <w:rPr>
                <w:noProof/>
                <w:color w:val="000000"/>
                <w:sz w:val="20"/>
                <w:szCs w:val="20"/>
              </w:rPr>
              <w:t>31/08/2016</w:t>
            </w:r>
          </w:p>
        </w:tc>
        <w:tc>
          <w:tcPr>
            <w:tcW w:w="0" w:type="auto"/>
            <w:shd w:val="clear" w:color="auto" w:fill="auto"/>
            <w:noWrap/>
            <w:vAlign w:val="bottom"/>
            <w:hideMark/>
          </w:tcPr>
          <w:p>
            <w:pPr>
              <w:rPr>
                <w:noProof/>
                <w:color w:val="000000"/>
                <w:sz w:val="20"/>
                <w:szCs w:val="20"/>
              </w:rPr>
            </w:pPr>
            <w:r>
              <w:rPr>
                <w:noProof/>
                <w:color w:val="000000"/>
                <w:sz w:val="20"/>
                <w:szCs w:val="20"/>
              </w:rPr>
              <w:t>51</w:t>
            </w:r>
          </w:p>
        </w:tc>
      </w:tr>
    </w:tbl>
    <w:p>
      <w:pPr>
        <w:pStyle w:val="ManualHeading3"/>
        <w:rPr>
          <w:bCs/>
          <w:noProof/>
        </w:rPr>
      </w:pPr>
      <w:bookmarkStart w:id="144" w:name="_Toc484783960"/>
      <w:r>
        <w:t>6.3.3.</w:t>
      </w:r>
      <w:r>
        <w:tab/>
      </w:r>
      <w:r>
        <w:rPr>
          <w:noProof/>
        </w:rPr>
        <w:t>Appeals pending</w:t>
      </w:r>
      <w:bookmarkEnd w:id="143"/>
      <w:bookmarkEnd w:id="144"/>
    </w:p>
    <w:p>
      <w:pPr>
        <w:pStyle w:val="Text1"/>
        <w:rPr>
          <w:color w:val="FF0000"/>
        </w:rPr>
      </w:pPr>
      <w:bookmarkStart w:id="145" w:name="_Toc322938658"/>
      <w:r>
        <w:t xml:space="preserve">The situation as at 15 October 2016 with regard to appeals pending together with the amounts concerned is shown in annex 15. </w:t>
      </w:r>
    </w:p>
    <w:p>
      <w:pPr>
        <w:pStyle w:val="ManualHeading1"/>
        <w:rPr>
          <w:noProof/>
        </w:rPr>
      </w:pPr>
      <w:bookmarkStart w:id="146" w:name="_Toc484783961"/>
      <w:r>
        <w:t>7.</w:t>
      </w:r>
      <w:r>
        <w:tab/>
      </w:r>
      <w:r>
        <w:rPr>
          <w:noProof/>
        </w:rPr>
        <w:t>RELATIONS WITH PARLIAMENT AND WITH THE EUROPEAN COURT OF AUDITORS</w:t>
      </w:r>
      <w:bookmarkEnd w:id="145"/>
      <w:bookmarkEnd w:id="146"/>
      <w:r>
        <w:rPr>
          <w:noProof/>
        </w:rPr>
        <w:t xml:space="preserve"> </w:t>
      </w:r>
    </w:p>
    <w:p>
      <w:pPr>
        <w:pStyle w:val="ManualHeading2"/>
        <w:rPr>
          <w:noProof/>
        </w:rPr>
      </w:pPr>
      <w:bookmarkStart w:id="147" w:name="_Toc322938659"/>
      <w:bookmarkStart w:id="148" w:name="_Toc484783962"/>
      <w:r>
        <w:t>7.1.</w:t>
      </w:r>
      <w:r>
        <w:tab/>
      </w:r>
      <w:r>
        <w:rPr>
          <w:noProof/>
        </w:rPr>
        <w:t>Relations with Parliament</w:t>
      </w:r>
      <w:bookmarkEnd w:id="147"/>
      <w:bookmarkEnd w:id="148"/>
      <w:r>
        <w:rPr>
          <w:noProof/>
        </w:rPr>
        <w:t xml:space="preserve"> </w:t>
      </w:r>
    </w:p>
    <w:p>
      <w:pPr>
        <w:pStyle w:val="Text1"/>
      </w:pPr>
      <w:r>
        <w:t>The European Parliament is, together with the Council, part of the EU’s Budgetary Authority. It is, thus, one of the most important discussion partners of the Commission on budgetary matters and, therefore, on the EAGF.</w:t>
      </w:r>
    </w:p>
    <w:p>
      <w:pPr>
        <w:pStyle w:val="Text1"/>
      </w:pPr>
      <w:r>
        <w:t>Three EP committees are involved in the discussions and the preparation for the plenary on agricultural budgetary matters. These are the Committee on Agriculture and Rural Development, the Committee on Budgets and the Committee on Budgetary Control.</w:t>
      </w:r>
    </w:p>
    <w:p>
      <w:pPr>
        <w:pStyle w:val="Text1"/>
      </w:pPr>
      <w:r>
        <w:t>Since 2014 the Committee on Agriculture and Rural Development provides an opinion on the discharge procedure to the Committee on Budgetary Control.</w:t>
      </w:r>
    </w:p>
    <w:p>
      <w:pPr>
        <w:pStyle w:val="Text1"/>
      </w:pPr>
      <w:r>
        <w:t xml:space="preserve">The Committee on Budgetary Control monitored the correct implementation of the budget. </w:t>
      </w:r>
    </w:p>
    <w:p>
      <w:pPr>
        <w:pStyle w:val="Text1"/>
      </w:pPr>
      <w:r>
        <w:t>The European Parliament granted discharge in relation to the execution of the 2014 budget by a vote in plenary, which took place on 26 April 2016.</w:t>
      </w:r>
    </w:p>
    <w:p>
      <w:pPr>
        <w:pStyle w:val="Text1"/>
      </w:pPr>
      <w:r>
        <w:t>The European Parliament granted discharge to the Commission, in respect to the implementation of the general budget of the European Union for the 2015 financial year, by a vote in plenary on a Parliamentary Decision which took place on 27 April 2017.</w:t>
      </w:r>
    </w:p>
    <w:p>
      <w:pPr>
        <w:pStyle w:val="Text1"/>
      </w:pPr>
      <w:r>
        <w:t>The same procedure will apply in relation with financial year 2016 and a decision on discharge to the Commission will be submitted to a vote in plenary in 2018.</w:t>
      </w:r>
    </w:p>
    <w:p>
      <w:pPr>
        <w:pStyle w:val="Text1"/>
      </w:pPr>
    </w:p>
    <w:p>
      <w:pPr>
        <w:pStyle w:val="ManualHeading2"/>
        <w:rPr>
          <w:noProof/>
        </w:rPr>
      </w:pPr>
      <w:bookmarkStart w:id="149" w:name="_Toc322938660"/>
      <w:bookmarkStart w:id="150" w:name="_Toc484783963"/>
      <w:r>
        <w:t>7.2.</w:t>
      </w:r>
      <w:r>
        <w:tab/>
      </w:r>
      <w:r>
        <w:rPr>
          <w:noProof/>
        </w:rPr>
        <w:t>Relations with the European Court of Auditors</w:t>
      </w:r>
      <w:bookmarkEnd w:id="149"/>
      <w:bookmarkEnd w:id="150"/>
    </w:p>
    <w:p>
      <w:pPr>
        <w:pStyle w:val="ManualHeading3"/>
        <w:rPr>
          <w:noProof/>
        </w:rPr>
      </w:pPr>
      <w:bookmarkStart w:id="151" w:name="_Toc484783964"/>
      <w:r>
        <w:t>7.2.1.</w:t>
      </w:r>
      <w:r>
        <w:tab/>
      </w:r>
      <w:r>
        <w:rPr>
          <w:noProof/>
        </w:rPr>
        <w:t>Mission of the European Court of Auditors</w:t>
      </w:r>
      <w:bookmarkEnd w:id="151"/>
      <w:r>
        <w:rPr>
          <w:noProof/>
        </w:rPr>
        <w:t xml:space="preserve"> </w:t>
      </w:r>
    </w:p>
    <w:p>
      <w:pPr>
        <w:spacing w:before="120" w:after="120"/>
        <w:ind w:left="851"/>
        <w:jc w:val="both"/>
        <w:rPr>
          <w:noProof/>
        </w:rPr>
      </w:pPr>
      <w:r>
        <w:rPr>
          <w:noProof/>
        </w:rPr>
        <w:t>The European Court of Auditors is the external auditor of the European Union. Articles 285 to 287 of the Treaty on the Functioning of the European Union provide that the Court shall audit the Union finances with a view to improving financial management and reporting on the use of public funds. The Court of Auditors should provide the European Parliament and the Council with a statement of assurance as to the reliability of the accounts and the legality and regularity of the underlying transactions. This statement, which can be complemented by specific assessments for various policy areas, is of prime importance to the European Parliament in its deliberations on granting discharge to the Commission for the implementation of the budget.</w:t>
      </w:r>
    </w:p>
    <w:p>
      <w:pPr>
        <w:pStyle w:val="Text1"/>
        <w:rPr>
          <w:lang w:eastAsia="zh-CN"/>
        </w:rPr>
      </w:pPr>
      <w:r>
        <w:t>As part of its work, the Court carries out numerous audits within the Commission services. Court officials frequently visit the Directorate-General for Agriculture and Rural Development to gather facts and figures needed for the Court's opinions, as well as for its annual and special reports. In the light of these investigations the Court frequently makes suggestions and recommendations to the Commission on how to improve its financial management and make supervisory and control systems more effective.</w:t>
      </w:r>
    </w:p>
    <w:p>
      <w:pPr>
        <w:pStyle w:val="ManualHeading3"/>
        <w:rPr>
          <w:bCs/>
          <w:noProof/>
        </w:rPr>
      </w:pPr>
      <w:bookmarkStart w:id="152" w:name="_Toc484783965"/>
      <w:r>
        <w:t>7.2.2.</w:t>
      </w:r>
      <w:r>
        <w:tab/>
      </w:r>
      <w:r>
        <w:rPr>
          <w:noProof/>
        </w:rPr>
        <w:t>Annual Report for financial year 2015</w:t>
      </w:r>
      <w:bookmarkEnd w:id="152"/>
    </w:p>
    <w:p>
      <w:pPr>
        <w:pStyle w:val="Text1"/>
      </w:pPr>
      <w:bookmarkStart w:id="153" w:name="_Toc322938663"/>
      <w:r>
        <w:t>Every year the Court of Auditors publishes its Annual report on the implementation of the EU budget in which it gives a statement of assurance on the reliability of the consolidated accounts of the EU as well as on the legality and regularity of transactions. This is supplemented with specific assessments of each major area of EU activity. The report is published along with the Institutions' replies and is presented to the European Parliament in November.</w:t>
      </w:r>
    </w:p>
    <w:p>
      <w:pPr>
        <w:pStyle w:val="Text1"/>
      </w:pPr>
      <w:r>
        <w:t>In line with International Audit Standards, contradictory meetings take place between the auditor (the Court of auditors) and the auditee (the Commission and the other Institutions and bodies) before the report is published. In these meetings, the Court's findings and conclusions are discussed to ensure agreement on the underlying facts. The wording of the auditee's replies is also discussed.</w:t>
      </w:r>
    </w:p>
    <w:p>
      <w:pPr>
        <w:pStyle w:val="Text1"/>
      </w:pPr>
      <w:r>
        <w:t>In the Annual report for financial year 2015, the activities of the Directorate-General for Agriculture and Rural development are considered under one single chapter, Chapter 7 – Natural Resources. However, transactions financed under the EAGF are assessed separately from those financed under the EAFRD which are considered along with other policies (environment, climate action and fisheries).</w:t>
      </w:r>
    </w:p>
    <w:p>
      <w:pPr>
        <w:pStyle w:val="Text1"/>
      </w:pPr>
      <w:r>
        <w:t>For</w:t>
      </w:r>
      <w:r>
        <w:rPr>
          <w:b/>
        </w:rPr>
        <w:t xml:space="preserve"> EAGF - Market and direct support</w:t>
      </w:r>
      <w:r>
        <w:t xml:space="preserve">, based on the results of the testing of 180 transactions, the Court estimates the level of error to be 2.2% (para 7.13). For 2014, the error rate for this policy group was 2.9%, including cross-compliance infringements which accounted for 0.7 percentage points. As previously announced, the Court did not include cross-compliance infringements in its error rate in financial year 2015, instead the Court provided an assessment of Member States' systems related to implementation of the cross-compliance obligations (para 7.46 – 7.47). </w:t>
      </w:r>
    </w:p>
    <w:p>
      <w:pPr>
        <w:pStyle w:val="Text1"/>
      </w:pPr>
      <w:r>
        <w:t>As it has done in the past, the Court stressed that, in many cases, Member States had sufficient information to detect and correct errors before declaring the expenditure to the Commission. Had they acted on this information, the error rate would have been 0.3 percentage point lower. In addition, the Court reported on the errors made by national authorities. The Court estimate that for this policy area, their impact was 0.6 percentage point (para 7.15).</w:t>
      </w:r>
    </w:p>
    <w:p>
      <w:pPr>
        <w:pStyle w:val="Text1"/>
      </w:pPr>
      <w:r>
        <w:t xml:space="preserve">In total, 29% of transactions audited were affected by error (para 7.13), a substantial decrease from 51% in 2014. Most of the errors (97%) related to overstatement in the number of eligible hectares (figure 7.3). The Court clarified that around half of the quantified errors were smaller than 2%, while a further quarter was between 2% and 5% (para 7.16). The Court also underlined that small errors are, to a large extent, impossible to avoid at a reasonable cost. </w:t>
      </w:r>
    </w:p>
    <w:p>
      <w:pPr>
        <w:pStyle w:val="Text1"/>
      </w:pPr>
      <w:r>
        <w:t>In its assessment of the control systems for EAGF, the Court reviewed IACS in six Paying Agencies (Germany – Schleswig-Holstein, Spain – Catalonia, Lithuania, Malta, Finland, UK – Northern Ireland). The Court concluded that some of the control functions were affected by weaknesses but did not flag any major problem in particular (para 7.41).</w:t>
      </w:r>
    </w:p>
    <w:p>
      <w:pPr>
        <w:pStyle w:val="Text1"/>
      </w:pPr>
      <w:r>
        <w:t>The Court makes a positive assessment of the Commission's work in the framework of the clearance of accounts procedure (para 7.31) as well as on the Commission's audit work (para 7.33).</w:t>
      </w:r>
    </w:p>
    <w:p>
      <w:pPr>
        <w:pStyle w:val="Text1"/>
        <w:rPr>
          <w:b/>
        </w:rPr>
      </w:pPr>
      <w:r>
        <w:rPr>
          <w:b/>
        </w:rPr>
        <w:t>The recommendations addressed to the Commission are (para 7.67):</w:t>
      </w:r>
    </w:p>
    <w:p>
      <w:pPr>
        <w:pStyle w:val="Text1"/>
        <w:rPr>
          <w:u w:val="single"/>
        </w:rPr>
      </w:pPr>
      <w:r>
        <w:rPr>
          <w:u w:val="single"/>
        </w:rPr>
        <w:t xml:space="preserve">For EAGF: </w:t>
      </w:r>
    </w:p>
    <w:p>
      <w:pPr>
        <w:pStyle w:val="Tiret1"/>
        <w:rPr>
          <w:noProof/>
          <w:u w:val="single"/>
        </w:rPr>
      </w:pPr>
      <w:r>
        <w:rPr>
          <w:noProof/>
        </w:rPr>
        <w:t>continue the efforts to follow up on cases where national legislation is not compliant with EU legislation;</w:t>
      </w:r>
      <w:r>
        <w:rPr>
          <w:noProof/>
          <w:u w:val="single"/>
        </w:rPr>
        <w:t xml:space="preserve"> </w:t>
      </w:r>
    </w:p>
    <w:p>
      <w:pPr>
        <w:pStyle w:val="Tiret1"/>
        <w:rPr>
          <w:noProof/>
        </w:rPr>
      </w:pPr>
      <w:r>
        <w:rPr>
          <w:noProof/>
        </w:rPr>
        <w:t>annually monitor the results of the Land Parcel Identification System (LPIS) quality assessment performed by Member States.</w:t>
      </w:r>
    </w:p>
    <w:p>
      <w:pPr>
        <w:pStyle w:val="Text1"/>
        <w:rPr>
          <w:u w:val="single"/>
        </w:rPr>
      </w:pPr>
      <w:r>
        <w:rPr>
          <w:u w:val="single"/>
        </w:rPr>
        <w:t xml:space="preserve">For both EAGF and rural development: </w:t>
      </w:r>
    </w:p>
    <w:p>
      <w:pPr>
        <w:pStyle w:val="Tiret1"/>
        <w:rPr>
          <w:noProof/>
        </w:rPr>
      </w:pPr>
      <w:r>
        <w:rPr>
          <w:noProof/>
        </w:rPr>
        <w:t xml:space="preserve">monitor and actively support certification bodies in improving their work and methodology on the legality and regularity of expenditure; </w:t>
      </w:r>
    </w:p>
    <w:p>
      <w:pPr>
        <w:pStyle w:val="Tiret1"/>
        <w:rPr>
          <w:noProof/>
        </w:rPr>
      </w:pPr>
      <w:r>
        <w:rPr>
          <w:noProof/>
        </w:rPr>
        <w:t xml:space="preserve">update DG AGRI's audit manual by including detailed audit procedures and documentation requirements for the verification of the data supplied by Member States and used for calculation of financial corrections. </w:t>
      </w:r>
    </w:p>
    <w:p>
      <w:pPr>
        <w:spacing w:before="120" w:after="120"/>
        <w:ind w:left="851"/>
        <w:jc w:val="both"/>
        <w:rPr>
          <w:noProof/>
          <w:lang w:eastAsia="zh-CN"/>
        </w:rPr>
      </w:pPr>
      <w:r>
        <w:rPr>
          <w:noProof/>
        </w:rPr>
        <w:t>The Commission has accepted all recommendations</w:t>
      </w:r>
      <w:r>
        <w:rPr>
          <w:noProof/>
          <w:lang w:eastAsia="zh-CN"/>
        </w:rPr>
        <w:t>.</w:t>
      </w:r>
    </w:p>
    <w:p>
      <w:pPr>
        <w:pStyle w:val="ManualHeading3"/>
        <w:rPr>
          <w:bCs/>
          <w:noProof/>
        </w:rPr>
      </w:pPr>
      <w:bookmarkStart w:id="154" w:name="_Toc484783966"/>
      <w:r>
        <w:t>7.2.3.</w:t>
      </w:r>
      <w:r>
        <w:tab/>
      </w:r>
      <w:r>
        <w:rPr>
          <w:noProof/>
        </w:rPr>
        <w:t>Special Reports by the Court of Auditors</w:t>
      </w:r>
      <w:bookmarkEnd w:id="153"/>
      <w:bookmarkEnd w:id="154"/>
      <w:r>
        <w:rPr>
          <w:noProof/>
        </w:rPr>
        <w:t xml:space="preserve"> </w:t>
      </w:r>
    </w:p>
    <w:p>
      <w:pPr>
        <w:spacing w:before="120" w:after="120"/>
        <w:ind w:left="850"/>
        <w:jc w:val="both"/>
        <w:rPr>
          <w:noProof/>
          <w:lang w:eastAsia="zh-CN"/>
        </w:rPr>
      </w:pPr>
      <w:bookmarkStart w:id="155" w:name="_Toc322938664"/>
      <w:r>
        <w:rPr>
          <w:noProof/>
          <w:lang w:eastAsia="zh-CN"/>
        </w:rPr>
        <w:t>In calendar year 2016, the Court published seven special reports covering DG AGRI's activities:</w:t>
      </w:r>
    </w:p>
    <w:p>
      <w:pPr>
        <w:numPr>
          <w:ilvl w:val="0"/>
          <w:numId w:val="35"/>
        </w:numPr>
        <w:spacing w:before="120" w:after="120"/>
        <w:jc w:val="both"/>
        <w:rPr>
          <w:noProof/>
          <w:lang w:eastAsia="zh-CN"/>
        </w:rPr>
      </w:pPr>
      <w:r>
        <w:rPr>
          <w:noProof/>
          <w:lang w:eastAsia="zh-CN"/>
        </w:rPr>
        <w:t>Special Report No 1/2016: Is the Commission’s system for performance measurement in relation to farmers’ incomes well designed and based on sound data? (published on 7 April 2016);</w:t>
      </w:r>
    </w:p>
    <w:p>
      <w:pPr>
        <w:numPr>
          <w:ilvl w:val="0"/>
          <w:numId w:val="35"/>
        </w:numPr>
        <w:spacing w:before="120" w:after="120"/>
        <w:jc w:val="both"/>
        <w:rPr>
          <w:noProof/>
          <w:lang w:eastAsia="zh-CN"/>
        </w:rPr>
      </w:pPr>
      <w:r>
        <w:rPr>
          <w:noProof/>
          <w:lang w:eastAsia="zh-CN"/>
        </w:rPr>
        <w:t>Special Report No 03/2016: Combating eutrophication in the Baltic Sea: further and more effective action needed (published on 12 April 2016);</w:t>
      </w:r>
    </w:p>
    <w:p>
      <w:pPr>
        <w:numPr>
          <w:ilvl w:val="0"/>
          <w:numId w:val="35"/>
        </w:numPr>
        <w:spacing w:before="120" w:after="120"/>
        <w:jc w:val="both"/>
        <w:rPr>
          <w:noProof/>
          <w:lang w:eastAsia="zh-CN"/>
        </w:rPr>
      </w:pPr>
      <w:r>
        <w:rPr>
          <w:noProof/>
          <w:lang w:eastAsia="zh-CN"/>
        </w:rPr>
        <w:t>Special Report No 19/2016: Implementing the EU budget through financial instruments – lessons to be learnt from the 2007-2013 programme period (published on 7 July 2016);</w:t>
      </w:r>
    </w:p>
    <w:p>
      <w:pPr>
        <w:numPr>
          <w:ilvl w:val="0"/>
          <w:numId w:val="35"/>
        </w:numPr>
        <w:spacing w:before="120" w:after="120"/>
        <w:jc w:val="both"/>
        <w:rPr>
          <w:noProof/>
          <w:lang w:eastAsia="zh-CN"/>
        </w:rPr>
      </w:pPr>
      <w:r>
        <w:rPr>
          <w:noProof/>
          <w:lang w:eastAsia="zh-CN"/>
        </w:rPr>
        <w:t>Special Report No 18/2016: The EU system for the certification of sustainable biofuels (published on 21 July 2016);</w:t>
      </w:r>
    </w:p>
    <w:p>
      <w:pPr>
        <w:numPr>
          <w:ilvl w:val="0"/>
          <w:numId w:val="35"/>
        </w:numPr>
        <w:spacing w:before="120" w:after="120"/>
        <w:jc w:val="both"/>
        <w:rPr>
          <w:noProof/>
          <w:lang w:eastAsia="zh-CN"/>
        </w:rPr>
      </w:pPr>
      <w:r>
        <w:rPr>
          <w:noProof/>
          <w:lang w:eastAsia="zh-CN"/>
        </w:rPr>
        <w:t>Special Report No 25/2016: The Land Parcel Identification System: a useful tool to determine the eligibility of agricultural land – but its management could be further improved (published on 25 October 2016);</w:t>
      </w:r>
    </w:p>
    <w:p>
      <w:pPr>
        <w:numPr>
          <w:ilvl w:val="0"/>
          <w:numId w:val="35"/>
        </w:numPr>
        <w:spacing w:before="120" w:after="120"/>
        <w:jc w:val="both"/>
        <w:rPr>
          <w:noProof/>
          <w:lang w:eastAsia="zh-CN"/>
        </w:rPr>
      </w:pPr>
      <w:r>
        <w:rPr>
          <w:noProof/>
          <w:lang w:eastAsia="zh-CN"/>
        </w:rPr>
        <w:t>Special Report No 26/2016: Making cross</w:t>
      </w:r>
      <w:r>
        <w:rPr>
          <w:rFonts w:ascii="MS Mincho" w:eastAsia="MS Mincho" w:hAnsi="MS Mincho" w:cs="MS Mincho" w:hint="eastAsia"/>
          <w:noProof/>
          <w:lang w:eastAsia="zh-CN"/>
        </w:rPr>
        <w:t>‑</w:t>
      </w:r>
      <w:r>
        <w:rPr>
          <w:noProof/>
          <w:lang w:eastAsia="zh-CN"/>
        </w:rPr>
        <w:t>compliance more effective and achieving simplification remains challenging (published on 27 October 2016);</w:t>
      </w:r>
    </w:p>
    <w:p>
      <w:pPr>
        <w:numPr>
          <w:ilvl w:val="0"/>
          <w:numId w:val="35"/>
        </w:numPr>
        <w:spacing w:before="120" w:after="120"/>
        <w:jc w:val="both"/>
        <w:rPr>
          <w:noProof/>
          <w:lang w:eastAsia="zh-CN"/>
        </w:rPr>
      </w:pPr>
      <w:r>
        <w:rPr>
          <w:noProof/>
          <w:lang w:eastAsia="zh-CN"/>
        </w:rPr>
        <w:t>Special Report No 31/2016: Spending at least one euro in every five from the EU budget on climate action: ambitious work underway, but at serious risk of falling short (published on 22 November 2016).</w:t>
      </w:r>
    </w:p>
    <w:p>
      <w:pPr>
        <w:pStyle w:val="ManualHeading1"/>
        <w:rPr>
          <w:noProof/>
        </w:rPr>
      </w:pPr>
      <w:bookmarkStart w:id="156" w:name="_Toc322938668"/>
      <w:bookmarkStart w:id="157" w:name="_Toc484783967"/>
      <w:bookmarkEnd w:id="155"/>
      <w:r>
        <w:t>8.</w:t>
      </w:r>
      <w:r>
        <w:tab/>
      </w:r>
      <w:r>
        <w:rPr>
          <w:noProof/>
        </w:rPr>
        <w:t>ANNEXES</w:t>
      </w:r>
      <w:bookmarkEnd w:id="156"/>
      <w:bookmarkEnd w:id="157"/>
    </w:p>
    <w:p>
      <w:pPr>
        <w:pStyle w:val="Annexetitre"/>
        <w:rPr>
          <w:noProof/>
          <w:color w:val="FF0000"/>
        </w:rPr>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pPr>
    </w:p>
    <w:p>
      <w:pPr>
        <w:pStyle w:val="Annexetitre"/>
        <w:rPr>
          <w:noProof/>
          <w:color w:val="FF0000"/>
        </w:rPr>
      </w:pPr>
      <w:r>
        <w:rPr>
          <w:noProof/>
        </w:rPr>
        <w:t>ANNEXES</w:t>
      </w:r>
    </w:p>
    <w:p>
      <w:pPr>
        <w:pStyle w:val="Text1"/>
        <w:rPr>
          <w:b/>
        </w:rPr>
      </w:pPr>
      <w:r>
        <w:rPr>
          <w:b/>
        </w:rPr>
        <w:t>General</w:t>
      </w:r>
    </w:p>
    <w:p>
      <w:pPr>
        <w:pStyle w:val="Text1"/>
        <w:spacing w:before="60" w:after="0"/>
        <w:jc w:val="left"/>
        <w:rPr>
          <w:sz w:val="20"/>
        </w:rPr>
      </w:pPr>
      <w:r>
        <w:rPr>
          <w:sz w:val="20"/>
          <w:szCs w:val="20"/>
        </w:rPr>
        <w:t>1.</w:t>
      </w:r>
      <w:r>
        <w:tab/>
      </w:r>
      <w:r>
        <w:rPr>
          <w:sz w:val="20"/>
        </w:rPr>
        <w:t>EAGF budgetary procedure for 2016</w:t>
      </w:r>
    </w:p>
    <w:p>
      <w:pPr>
        <w:pStyle w:val="Text1"/>
        <w:rPr>
          <w:b/>
        </w:rPr>
      </w:pPr>
      <w:r>
        <w:rPr>
          <w:b/>
        </w:rPr>
        <w:t>Cash position and management of appropriations</w:t>
      </w:r>
    </w:p>
    <w:p>
      <w:pPr>
        <w:pStyle w:val="Text1"/>
        <w:spacing w:before="60" w:after="0"/>
        <w:jc w:val="left"/>
        <w:rPr>
          <w:sz w:val="20"/>
        </w:rPr>
      </w:pPr>
      <w:r>
        <w:rPr>
          <w:sz w:val="20"/>
        </w:rPr>
        <w:t>2.</w:t>
      </w:r>
      <w:r>
        <w:rPr>
          <w:sz w:val="20"/>
        </w:rPr>
        <w:tab/>
        <w:t xml:space="preserve">Monthly reimbursements </w:t>
      </w:r>
      <w:r>
        <w:rPr>
          <w:snapToGrid w:val="0"/>
          <w:sz w:val="20"/>
        </w:rPr>
        <w:t xml:space="preserve">to Member States decided for the </w:t>
      </w:r>
      <w:r>
        <w:rPr>
          <w:sz w:val="20"/>
        </w:rPr>
        <w:t xml:space="preserve">2016 </w:t>
      </w:r>
      <w:r>
        <w:rPr>
          <w:snapToGrid w:val="0"/>
          <w:sz w:val="20"/>
        </w:rPr>
        <w:t>financial year</w:t>
      </w:r>
    </w:p>
    <w:p>
      <w:pPr>
        <w:pStyle w:val="Text1"/>
        <w:spacing w:before="60" w:after="0"/>
        <w:ind w:left="1440" w:hanging="590"/>
        <w:jc w:val="left"/>
        <w:rPr>
          <w:snapToGrid w:val="0"/>
          <w:sz w:val="20"/>
        </w:rPr>
      </w:pPr>
      <w:r>
        <w:rPr>
          <w:sz w:val="20"/>
        </w:rPr>
        <w:t>3.</w:t>
      </w:r>
      <w:r>
        <w:rPr>
          <w:sz w:val="20"/>
        </w:rPr>
        <w:tab/>
        <w:t>P</w:t>
      </w:r>
      <w:r>
        <w:rPr>
          <w:snapToGrid w:val="0"/>
          <w:sz w:val="20"/>
        </w:rPr>
        <w:t xml:space="preserve">ayments under direct management by the European Commission in the </w:t>
      </w:r>
      <w:r>
        <w:rPr>
          <w:sz w:val="20"/>
        </w:rPr>
        <w:t xml:space="preserve">2016 </w:t>
      </w:r>
      <w:r>
        <w:rPr>
          <w:snapToGrid w:val="0"/>
          <w:sz w:val="20"/>
        </w:rPr>
        <w:t>financial year (Differentiated Appropriations)</w:t>
      </w:r>
    </w:p>
    <w:p>
      <w:pPr>
        <w:pStyle w:val="Text1"/>
        <w:spacing w:before="60" w:after="0"/>
        <w:ind w:left="1440" w:hanging="590"/>
        <w:jc w:val="left"/>
        <w:rPr>
          <w:snapToGrid w:val="0"/>
          <w:sz w:val="20"/>
        </w:rPr>
      </w:pPr>
      <w:r>
        <w:rPr>
          <w:sz w:val="20"/>
        </w:rPr>
        <w:t>4.</w:t>
      </w:r>
      <w:r>
        <w:rPr>
          <w:sz w:val="20"/>
        </w:rPr>
        <w:tab/>
        <w:t>P</w:t>
      </w:r>
      <w:r>
        <w:rPr>
          <w:snapToGrid w:val="0"/>
          <w:sz w:val="20"/>
        </w:rPr>
        <w:t xml:space="preserve">ayments under direct management by the European Commission in the </w:t>
      </w:r>
      <w:r>
        <w:rPr>
          <w:sz w:val="20"/>
        </w:rPr>
        <w:t xml:space="preserve">2016 </w:t>
      </w:r>
      <w:r>
        <w:rPr>
          <w:snapToGrid w:val="0"/>
          <w:sz w:val="20"/>
        </w:rPr>
        <w:t>financial year (Non-Differentiated Appropriations)</w:t>
      </w:r>
    </w:p>
    <w:p>
      <w:pPr>
        <w:pStyle w:val="Text1"/>
        <w:ind w:left="851"/>
        <w:rPr>
          <w:b/>
        </w:rPr>
      </w:pPr>
      <w:r>
        <w:rPr>
          <w:b/>
        </w:rPr>
        <w:t>Budget outturn</w:t>
      </w:r>
    </w:p>
    <w:p>
      <w:pPr>
        <w:pStyle w:val="Text1"/>
        <w:spacing w:before="60" w:after="0"/>
        <w:jc w:val="left"/>
        <w:rPr>
          <w:sz w:val="20"/>
        </w:rPr>
      </w:pPr>
      <w:r>
        <w:rPr>
          <w:sz w:val="20"/>
        </w:rPr>
        <w:t>5.</w:t>
      </w:r>
      <w:r>
        <w:rPr>
          <w:sz w:val="20"/>
        </w:rPr>
        <w:tab/>
        <w:t xml:space="preserve">EAGF 2016 Analysis of budget execution </w:t>
      </w:r>
    </w:p>
    <w:p>
      <w:pPr>
        <w:pStyle w:val="Text1"/>
        <w:spacing w:before="60" w:after="0"/>
        <w:jc w:val="left"/>
        <w:rPr>
          <w:sz w:val="20"/>
        </w:rPr>
      </w:pPr>
      <w:r>
        <w:rPr>
          <w:snapToGrid w:val="0"/>
          <w:sz w:val="20"/>
        </w:rPr>
        <w:t>6.</w:t>
      </w:r>
      <w:r>
        <w:rPr>
          <w:snapToGrid w:val="0"/>
          <w:sz w:val="20"/>
        </w:rPr>
        <w:tab/>
      </w:r>
      <w:r>
        <w:rPr>
          <w:sz w:val="20"/>
        </w:rPr>
        <w:t>EAGF 2016 Analysis of execution of assigned revenue C4</w:t>
      </w:r>
    </w:p>
    <w:p>
      <w:pPr>
        <w:pStyle w:val="Text1"/>
        <w:spacing w:before="60" w:after="0"/>
        <w:jc w:val="left"/>
        <w:rPr>
          <w:sz w:val="20"/>
        </w:rPr>
      </w:pPr>
      <w:r>
        <w:rPr>
          <w:sz w:val="20"/>
        </w:rPr>
        <w:t>7.</w:t>
      </w:r>
      <w:r>
        <w:rPr>
          <w:sz w:val="20"/>
        </w:rPr>
        <w:tab/>
        <w:t xml:space="preserve">EAGF 2016 Analysis of execution of assigned revenue C5 </w:t>
      </w:r>
    </w:p>
    <w:p>
      <w:pPr>
        <w:pStyle w:val="Text1"/>
        <w:spacing w:before="60" w:after="0"/>
        <w:jc w:val="left"/>
        <w:rPr>
          <w:sz w:val="20"/>
        </w:rPr>
      </w:pPr>
      <w:r>
        <w:rPr>
          <w:sz w:val="20"/>
        </w:rPr>
        <w:t>8.</w:t>
      </w:r>
      <w:r>
        <w:rPr>
          <w:sz w:val="20"/>
        </w:rPr>
        <w:tab/>
        <w:t>EAGF 2016 Expenditure for intervention in storage</w:t>
      </w:r>
    </w:p>
    <w:p>
      <w:pPr>
        <w:pStyle w:val="Text1"/>
        <w:spacing w:before="60" w:after="0"/>
        <w:jc w:val="left"/>
        <w:rPr>
          <w:sz w:val="20"/>
        </w:rPr>
      </w:pPr>
      <w:r>
        <w:rPr>
          <w:sz w:val="20"/>
        </w:rPr>
        <w:t>9.</w:t>
      </w:r>
      <w:r>
        <w:rPr>
          <w:sz w:val="20"/>
        </w:rPr>
        <w:tab/>
        <w:t xml:space="preserve">EAGF 2016 Expenditure by Member State and by item </w:t>
      </w:r>
    </w:p>
    <w:p>
      <w:pPr>
        <w:pStyle w:val="Text1"/>
        <w:spacing w:before="60" w:after="0"/>
        <w:jc w:val="left"/>
        <w:rPr>
          <w:sz w:val="20"/>
        </w:rPr>
      </w:pPr>
      <w:r>
        <w:rPr>
          <w:sz w:val="20"/>
        </w:rPr>
        <w:t>10.</w:t>
      </w:r>
      <w:r>
        <w:rPr>
          <w:sz w:val="20"/>
        </w:rPr>
        <w:tab/>
        <w:t>Evolution of EAGF Expenditure by article of the budget. Financial years 2010 to 2016</w:t>
      </w:r>
    </w:p>
    <w:p>
      <w:pPr>
        <w:pStyle w:val="Text1"/>
        <w:spacing w:before="60" w:after="0"/>
        <w:jc w:val="left"/>
        <w:rPr>
          <w:sz w:val="20"/>
        </w:rPr>
      </w:pPr>
      <w:r>
        <w:rPr>
          <w:sz w:val="20"/>
        </w:rPr>
        <w:t>11.</w:t>
      </w:r>
      <w:r>
        <w:rPr>
          <w:sz w:val="20"/>
        </w:rPr>
        <w:tab/>
        <w:t>Evolution of EAGF Expenditure by Member State &amp; in % terms. Financial years 2010 to 2016</w:t>
      </w:r>
    </w:p>
    <w:p>
      <w:pPr>
        <w:pStyle w:val="Text1"/>
        <w:spacing w:before="60" w:after="0"/>
        <w:jc w:val="left"/>
        <w:rPr>
          <w:sz w:val="20"/>
        </w:rPr>
      </w:pPr>
      <w:r>
        <w:rPr>
          <w:sz w:val="20"/>
        </w:rPr>
        <w:t>12.</w:t>
      </w:r>
      <w:r>
        <w:rPr>
          <w:sz w:val="20"/>
        </w:rPr>
        <w:tab/>
        <w:t>Evolution of EAGF Direct payments</w:t>
      </w:r>
      <w:r>
        <w:rPr>
          <w:color w:val="FF0000"/>
          <w:sz w:val="20"/>
        </w:rPr>
        <w:t xml:space="preserve"> </w:t>
      </w:r>
      <w:r>
        <w:rPr>
          <w:sz w:val="20"/>
        </w:rPr>
        <w:t>expenditure by measure. Financial years 2010 to 2016</w:t>
      </w:r>
    </w:p>
    <w:p>
      <w:pPr>
        <w:pStyle w:val="Text1"/>
        <w:spacing w:before="60" w:after="0"/>
        <w:jc w:val="left"/>
        <w:rPr>
          <w:sz w:val="20"/>
        </w:rPr>
      </w:pPr>
      <w:r>
        <w:rPr>
          <w:sz w:val="20"/>
        </w:rPr>
        <w:t>13.</w:t>
      </w:r>
      <w:r>
        <w:rPr>
          <w:sz w:val="20"/>
        </w:rPr>
        <w:tab/>
        <w:t>Evolution of EAGF Storage expenditure. Financial years 2009 to 2016</w:t>
      </w:r>
    </w:p>
    <w:p>
      <w:pPr>
        <w:pStyle w:val="Text1"/>
        <w:spacing w:before="60" w:after="0"/>
        <w:jc w:val="left"/>
        <w:rPr>
          <w:sz w:val="20"/>
        </w:rPr>
      </w:pPr>
      <w:r>
        <w:rPr>
          <w:sz w:val="20"/>
        </w:rPr>
        <w:t>14.</w:t>
      </w:r>
      <w:r>
        <w:rPr>
          <w:sz w:val="20"/>
        </w:rPr>
        <w:tab/>
        <w:t>Evolution of the breakdown of EAGF expenditure. Financial years 2010 to 2016</w:t>
      </w:r>
    </w:p>
    <w:p>
      <w:pPr>
        <w:pStyle w:val="Text1"/>
        <w:ind w:left="851"/>
        <w:rPr>
          <w:b/>
        </w:rPr>
      </w:pPr>
      <w:r>
        <w:rPr>
          <w:b/>
        </w:rPr>
        <w:t>Clearance of accounts</w:t>
      </w:r>
    </w:p>
    <w:p>
      <w:pPr>
        <w:pStyle w:val="Text1"/>
        <w:spacing w:before="0" w:after="0"/>
        <w:rPr>
          <w:sz w:val="20"/>
        </w:rPr>
      </w:pPr>
      <w:r>
        <w:rPr>
          <w:sz w:val="20"/>
        </w:rPr>
        <w:t>15.</w:t>
      </w:r>
      <w:r>
        <w:rPr>
          <w:sz w:val="20"/>
        </w:rPr>
        <w:tab/>
        <w:t>Appeals against Clearance of Accounts Decisions pending on 15 October 2016</w:t>
      </w:r>
    </w:p>
    <w:p>
      <w:pPr>
        <w:pStyle w:val="Text1"/>
        <w:spacing w:before="60" w:after="0"/>
        <w:jc w:val="left"/>
        <w:rPr>
          <w:sz w:val="20"/>
          <w:szCs w:val="20"/>
        </w:rPr>
      </w:pPr>
      <w:r>
        <w:rPr>
          <w:sz w:val="20"/>
          <w:szCs w:val="20"/>
        </w:rPr>
        <w:t>16.</w:t>
      </w:r>
      <w:r>
        <w:rPr>
          <w:sz w:val="20"/>
          <w:szCs w:val="20"/>
        </w:rPr>
        <w:tab/>
        <w:t>Financial corrections (Decisions 1 - 51) by decision and financial year</w:t>
      </w:r>
    </w:p>
    <w:p>
      <w:pPr>
        <w:pStyle w:val="Annexetitre"/>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816" w:right="720" w:bottom="902" w:left="720" w:header="709" w:footer="709" w:gutter="0"/>
          <w:cols w:space="708"/>
          <w:docGrid w:linePitch="360"/>
        </w:sectPr>
      </w:pPr>
    </w:p>
    <w:bookmarkEnd w:id="0"/>
    <w:bookmarkEnd w:id="1"/>
    <w:bookmarkEnd w:id="2"/>
    <w:p>
      <w:pPr>
        <w:jc w:val="center"/>
        <w:rPr>
          <w:noProof/>
        </w:rPr>
      </w:pPr>
      <w:r>
        <w:rPr>
          <w:noProof/>
          <w:lang w:val="en-US" w:eastAsia="en-US"/>
        </w:rPr>
        <w:drawing>
          <wp:inline distT="0" distB="0" distL="0" distR="0">
            <wp:extent cx="7059519" cy="6133972"/>
            <wp:effectExtent l="0" t="0" r="8255"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78069" cy="6150090"/>
                    </a:xfrm>
                    <a:prstGeom prst="rect">
                      <a:avLst/>
                    </a:prstGeom>
                    <a:noFill/>
                    <a:ln>
                      <a:noFill/>
                    </a:ln>
                  </pic:spPr>
                </pic:pic>
              </a:graphicData>
            </a:graphic>
          </wp:inline>
        </w:drawing>
      </w:r>
      <w:r>
        <w:rPr>
          <w:noProof/>
        </w:rPr>
        <w:t xml:space="preserve"> </w:t>
      </w:r>
    </w:p>
    <w:p>
      <w:pPr>
        <w:jc w:val="center"/>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426" w:right="818" w:bottom="284" w:left="900" w:header="709" w:footer="709" w:gutter="0"/>
          <w:cols w:space="708"/>
          <w:docGrid w:linePitch="360"/>
        </w:sectPr>
      </w:pPr>
      <w:r>
        <w:rPr>
          <w:noProof/>
          <w:lang w:val="en-US" w:eastAsia="en-US"/>
        </w:rPr>
        <w:drawing>
          <wp:inline distT="0" distB="0" distL="0" distR="0">
            <wp:extent cx="8810046" cy="6138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13665" cy="6141410"/>
                    </a:xfrm>
                    <a:prstGeom prst="rect">
                      <a:avLst/>
                    </a:prstGeom>
                    <a:noFill/>
                    <a:ln>
                      <a:noFill/>
                    </a:ln>
                  </pic:spPr>
                </pic:pic>
              </a:graphicData>
            </a:graphic>
          </wp:inline>
        </w:drawing>
      </w:r>
      <w:r>
        <w:rPr>
          <w:noProof/>
        </w:rPr>
        <w:t xml:space="preserve"> </w:t>
      </w:r>
      <w:r>
        <w:rPr>
          <w:noProof/>
        </w:rPr>
        <w:br w:type="page"/>
      </w:r>
    </w:p>
    <w:p>
      <w:pPr>
        <w:ind w:right="-38"/>
        <w:jc w:val="center"/>
        <w:rPr>
          <w:noProof/>
        </w:rPr>
        <w:sectPr>
          <w:headerReference w:type="even" r:id="rId42"/>
          <w:headerReference w:type="default" r:id="rId43"/>
          <w:footerReference w:type="even" r:id="rId44"/>
          <w:footerReference w:type="default" r:id="rId45"/>
          <w:headerReference w:type="first" r:id="rId46"/>
          <w:footerReference w:type="first" r:id="rId47"/>
          <w:pgSz w:w="16838" w:h="11906" w:orient="landscape"/>
          <w:pgMar w:top="719" w:right="818" w:bottom="719" w:left="900" w:header="709" w:footer="709" w:gutter="0"/>
          <w:cols w:space="708"/>
          <w:docGrid w:linePitch="360"/>
        </w:sectPr>
      </w:pPr>
      <w:r>
        <w:rPr>
          <w:noProof/>
          <w:lang w:val="en-US" w:eastAsia="en-US"/>
        </w:rPr>
        <w:drawing>
          <wp:inline distT="0" distB="0" distL="0" distR="0">
            <wp:extent cx="7386718" cy="49552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386709" cy="4955279"/>
                    </a:xfrm>
                    <a:prstGeom prst="rect">
                      <a:avLst/>
                    </a:prstGeom>
                    <a:noFill/>
                    <a:ln>
                      <a:noFill/>
                    </a:ln>
                  </pic:spPr>
                </pic:pic>
              </a:graphicData>
            </a:graphic>
          </wp:inline>
        </w:drawing>
      </w:r>
    </w:p>
    <w:p>
      <w:pPr>
        <w:ind w:right="-38"/>
        <w:jc w:val="center"/>
        <w:rPr>
          <w:noProof/>
        </w:rPr>
      </w:pPr>
      <w:r>
        <w:rPr>
          <w:noProof/>
          <w:lang w:val="en-US" w:eastAsia="en-US"/>
        </w:rPr>
        <w:drawing>
          <wp:inline distT="0" distB="0" distL="0" distR="0">
            <wp:extent cx="6718852" cy="592973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18630" cy="5929539"/>
                    </a:xfrm>
                    <a:prstGeom prst="rect">
                      <a:avLst/>
                    </a:prstGeom>
                    <a:noFill/>
                    <a:ln>
                      <a:noFill/>
                    </a:ln>
                  </pic:spPr>
                </pic:pic>
              </a:graphicData>
            </a:graphic>
          </wp:inline>
        </w:drawing>
      </w:r>
    </w:p>
    <w:p>
      <w:pPr>
        <w:jc w:val="center"/>
        <w:rPr>
          <w:noProof/>
        </w:rPr>
        <w:sectPr>
          <w:headerReference w:type="even" r:id="rId50"/>
          <w:headerReference w:type="default" r:id="rId51"/>
          <w:footerReference w:type="even" r:id="rId52"/>
          <w:footerReference w:type="default" r:id="rId53"/>
          <w:headerReference w:type="first" r:id="rId54"/>
          <w:footerReference w:type="first" r:id="rId55"/>
          <w:pgSz w:w="16838" w:h="11906" w:orient="landscape"/>
          <w:pgMar w:top="720" w:right="816" w:bottom="720" w:left="902" w:header="709" w:footer="709" w:gutter="0"/>
          <w:cols w:space="708"/>
          <w:vAlign w:val="center"/>
          <w:docGrid w:linePitch="360"/>
        </w:sectPr>
      </w:pPr>
      <w:r>
        <w:rPr>
          <w:noProof/>
        </w:rPr>
        <w:br w:type="page"/>
      </w:r>
      <w:r>
        <w:rPr>
          <w:noProof/>
          <w:lang w:val="en-US" w:eastAsia="en-US"/>
        </w:rPr>
        <w:drawing>
          <wp:inline distT="0" distB="0" distL="0" distR="0">
            <wp:extent cx="8876951" cy="6035040"/>
            <wp:effectExtent l="0" t="0" r="63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877307" cy="6035282"/>
                    </a:xfrm>
                    <a:prstGeom prst="rect">
                      <a:avLst/>
                    </a:prstGeom>
                    <a:noFill/>
                    <a:ln>
                      <a:noFill/>
                    </a:ln>
                  </pic:spPr>
                </pic:pic>
              </a:graphicData>
            </a:graphic>
          </wp:inline>
        </w:drawing>
      </w:r>
    </w:p>
    <w:p>
      <w:pPr>
        <w:jc w:val="center"/>
        <w:rPr>
          <w:noProof/>
        </w:rPr>
      </w:pPr>
      <w:r>
        <w:rPr>
          <w:noProof/>
          <w:lang w:val="en-US" w:eastAsia="en-US"/>
        </w:rPr>
        <w:drawing>
          <wp:inline distT="0" distB="0" distL="0" distR="0">
            <wp:extent cx="8855536" cy="6134719"/>
            <wp:effectExtent l="0" t="0" r="317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76863" cy="6149494"/>
                    </a:xfrm>
                    <a:prstGeom prst="rect">
                      <a:avLst/>
                    </a:prstGeom>
                    <a:noFill/>
                    <a:ln>
                      <a:noFill/>
                    </a:ln>
                  </pic:spPr>
                </pic:pic>
              </a:graphicData>
            </a:graphic>
          </wp:inline>
        </w:drawing>
      </w:r>
    </w:p>
    <w:p>
      <w:pPr>
        <w:jc w:val="center"/>
        <w:rPr>
          <w:noProof/>
        </w:rPr>
      </w:pPr>
      <w:r>
        <w:rPr>
          <w:noProof/>
          <w:lang w:val="en-US" w:eastAsia="en-US"/>
        </w:rPr>
        <w:drawing>
          <wp:inline distT="0" distB="0" distL="0" distR="0">
            <wp:extent cx="9374323" cy="594774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78502" cy="5950392"/>
                    </a:xfrm>
                    <a:prstGeom prst="rect">
                      <a:avLst/>
                    </a:prstGeom>
                    <a:noFill/>
                    <a:ln>
                      <a:noFill/>
                    </a:ln>
                  </pic:spPr>
                </pic:pic>
              </a:graphicData>
            </a:graphic>
          </wp:inline>
        </w:drawing>
      </w:r>
    </w:p>
    <w:p>
      <w:pPr>
        <w:jc w:val="center"/>
        <w:rPr>
          <w:noProof/>
        </w:rPr>
      </w:pPr>
    </w:p>
    <w:p>
      <w:pPr>
        <w:jc w:val="center"/>
        <w:rPr>
          <w:noProof/>
        </w:rPr>
      </w:pPr>
      <w:r>
        <w:rPr>
          <w:noProof/>
          <w:lang w:val="en-US" w:eastAsia="en-US"/>
        </w:rPr>
        <w:drawing>
          <wp:inline distT="0" distB="0" distL="0" distR="0">
            <wp:extent cx="9060557" cy="6042983"/>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064303" cy="6045481"/>
                    </a:xfrm>
                    <a:prstGeom prst="rect">
                      <a:avLst/>
                    </a:prstGeom>
                    <a:noFill/>
                    <a:ln>
                      <a:noFill/>
                    </a:ln>
                  </pic:spPr>
                </pic:pic>
              </a:graphicData>
            </a:graphic>
          </wp:inline>
        </w:drawing>
      </w:r>
    </w:p>
    <w:p>
      <w:pPr>
        <w:jc w:val="center"/>
        <w:rPr>
          <w:noProof/>
        </w:rPr>
      </w:pPr>
      <w:r>
        <w:rPr>
          <w:noProof/>
        </w:rPr>
        <w:br w:type="page"/>
      </w:r>
      <w:r>
        <w:rPr>
          <w:noProof/>
          <w:lang w:val="en-US" w:eastAsia="en-US"/>
        </w:rPr>
        <w:drawing>
          <wp:inline distT="0" distB="0" distL="0" distR="0">
            <wp:extent cx="9358685" cy="5408564"/>
            <wp:effectExtent l="0" t="0" r="0"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358598" cy="5408514"/>
                    </a:xfrm>
                    <a:prstGeom prst="rect">
                      <a:avLst/>
                    </a:prstGeom>
                    <a:noFill/>
                    <a:ln>
                      <a:noFill/>
                    </a:ln>
                  </pic:spPr>
                </pic:pic>
              </a:graphicData>
            </a:graphic>
          </wp:inline>
        </w:drawing>
      </w:r>
      <w:r>
        <w:rPr>
          <w:noProof/>
        </w:rPr>
        <w:t xml:space="preserve"> </w:t>
      </w:r>
      <w:r>
        <w:rPr>
          <w:noProof/>
        </w:rPr>
        <w:br w:type="page"/>
      </w:r>
    </w:p>
    <w:p>
      <w:pPr>
        <w:jc w:val="center"/>
        <w:rPr>
          <w:noProof/>
        </w:rPr>
      </w:pPr>
      <w:r>
        <w:rPr>
          <w:noProof/>
          <w:lang w:val="en-US" w:eastAsia="en-US"/>
        </w:rPr>
        <w:drawing>
          <wp:inline distT="0" distB="0" distL="0" distR="0">
            <wp:extent cx="9443139" cy="5237316"/>
            <wp:effectExtent l="0" t="0" r="5715"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462701" cy="5248165"/>
                    </a:xfrm>
                    <a:prstGeom prst="rect">
                      <a:avLst/>
                    </a:prstGeom>
                    <a:noFill/>
                    <a:ln>
                      <a:noFill/>
                    </a:ln>
                  </pic:spPr>
                </pic:pic>
              </a:graphicData>
            </a:graphic>
          </wp:inline>
        </w:drawing>
      </w:r>
      <w:r>
        <w:rPr>
          <w:noProof/>
        </w:rPr>
        <w:t xml:space="preserve"> </w:t>
      </w:r>
    </w:p>
    <w:p>
      <w:pPr>
        <w:rPr>
          <w:noProof/>
        </w:rPr>
      </w:pPr>
      <w:r>
        <w:rPr>
          <w:noProof/>
        </w:rPr>
        <w:br w:type="page"/>
      </w:r>
    </w:p>
    <w:p>
      <w:pPr>
        <w:jc w:val="center"/>
        <w:rPr>
          <w:noProof/>
        </w:rPr>
      </w:pPr>
      <w:r>
        <w:rPr>
          <w:noProof/>
          <w:lang w:val="en-US" w:eastAsia="en-US"/>
        </w:rPr>
        <w:drawing>
          <wp:inline distT="0" distB="0" distL="0" distR="0">
            <wp:extent cx="9358580" cy="5653377"/>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360118" cy="5654306"/>
                    </a:xfrm>
                    <a:prstGeom prst="rect">
                      <a:avLst/>
                    </a:prstGeom>
                    <a:noFill/>
                    <a:ln>
                      <a:noFill/>
                    </a:ln>
                  </pic:spPr>
                </pic:pic>
              </a:graphicData>
            </a:graphic>
          </wp:inline>
        </w:drawing>
      </w:r>
      <w:r>
        <w:rPr>
          <w:noProof/>
        </w:rPr>
        <w:t xml:space="preserve"> </w:t>
      </w:r>
      <w:r>
        <w:rPr>
          <w:noProof/>
        </w:rPr>
        <w:br w:type="page"/>
      </w:r>
    </w:p>
    <w:p>
      <w:pPr>
        <w:jc w:val="center"/>
        <w:rPr>
          <w:noProof/>
        </w:rPr>
      </w:pPr>
      <w:r>
        <w:rPr>
          <w:noProof/>
          <w:lang w:val="en-US" w:eastAsia="en-US"/>
        </w:rPr>
        <w:drawing>
          <wp:inline distT="0" distB="0" distL="0" distR="0">
            <wp:extent cx="9422296" cy="6072792"/>
            <wp:effectExtent l="0" t="0" r="762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418396" cy="6070279"/>
                    </a:xfrm>
                    <a:prstGeom prst="rect">
                      <a:avLst/>
                    </a:prstGeom>
                    <a:noFill/>
                    <a:ln>
                      <a:noFill/>
                    </a:ln>
                  </pic:spPr>
                </pic:pic>
              </a:graphicData>
            </a:graphic>
          </wp:inline>
        </w:drawing>
      </w:r>
    </w:p>
    <w:p>
      <w:pPr>
        <w:jc w:val="center"/>
        <w:rPr>
          <w:noProof/>
        </w:rPr>
      </w:pPr>
      <w:r>
        <w:rPr>
          <w:noProof/>
        </w:rPr>
        <w:br w:type="page"/>
      </w:r>
      <w:r>
        <w:rPr>
          <w:noProof/>
          <w:lang w:val="en-US" w:eastAsia="en-US"/>
        </w:rPr>
        <w:drawing>
          <wp:inline distT="0" distB="0" distL="0" distR="0">
            <wp:extent cx="9309388" cy="6133909"/>
            <wp:effectExtent l="0" t="0" r="635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307105" cy="6132405"/>
                    </a:xfrm>
                    <a:prstGeom prst="rect">
                      <a:avLst/>
                    </a:prstGeom>
                    <a:noFill/>
                    <a:ln>
                      <a:noFill/>
                    </a:ln>
                  </pic:spPr>
                </pic:pic>
              </a:graphicData>
            </a:graphic>
          </wp:inline>
        </w:drawing>
      </w:r>
      <w:r>
        <w:rPr>
          <w:noProof/>
        </w:rPr>
        <w:t xml:space="preserve"> </w:t>
      </w:r>
      <w:r>
        <w:rPr>
          <w:noProof/>
        </w:rPr>
        <w:br w:type="page"/>
      </w:r>
    </w:p>
    <w:p>
      <w:pPr>
        <w:jc w:val="center"/>
        <w:rPr>
          <w:noProof/>
        </w:rPr>
      </w:pPr>
      <w:r>
        <w:rPr>
          <w:noProof/>
          <w:lang w:val="en-US" w:eastAsia="en-US"/>
        </w:rPr>
        <w:drawing>
          <wp:inline distT="0" distB="0" distL="0" distR="0">
            <wp:extent cx="9446816" cy="5235693"/>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450073" cy="5237498"/>
                    </a:xfrm>
                    <a:prstGeom prst="rect">
                      <a:avLst/>
                    </a:prstGeom>
                    <a:noFill/>
                    <a:ln>
                      <a:noFill/>
                    </a:ln>
                  </pic:spPr>
                </pic:pic>
              </a:graphicData>
            </a:graphic>
          </wp:inline>
        </w:drawing>
      </w:r>
      <w:r>
        <w:rPr>
          <w:noProof/>
        </w:rPr>
        <w:t xml:space="preserve"> </w:t>
      </w:r>
    </w:p>
    <w:p>
      <w:pPr>
        <w:rPr>
          <w:noProof/>
        </w:rPr>
      </w:pPr>
      <w:r>
        <w:rPr>
          <w:noProof/>
        </w:rPr>
        <w:br w:type="page"/>
      </w:r>
    </w:p>
    <w:p>
      <w:pPr>
        <w:jc w:val="center"/>
        <w:rPr>
          <w:noProof/>
        </w:rPr>
      </w:pPr>
      <w:r>
        <w:rPr>
          <w:noProof/>
          <w:lang w:val="en-US" w:eastAsia="en-US"/>
        </w:rPr>
        <w:drawing>
          <wp:inline distT="0" distB="0" distL="0" distR="0">
            <wp:extent cx="9318929" cy="61202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322871" cy="6122875"/>
                    </a:xfrm>
                    <a:prstGeom prst="rect">
                      <a:avLst/>
                    </a:prstGeom>
                    <a:noFill/>
                    <a:ln>
                      <a:noFill/>
                    </a:ln>
                  </pic:spPr>
                </pic:pic>
              </a:graphicData>
            </a:graphic>
          </wp:inline>
        </w:drawing>
      </w:r>
      <w:r>
        <w:rPr>
          <w:noProof/>
        </w:rPr>
        <w:t xml:space="preserve"> </w:t>
      </w:r>
      <w:r>
        <w:rPr>
          <w:noProof/>
        </w:rPr>
        <w:br w:type="page"/>
      </w:r>
    </w:p>
    <w:p>
      <w:pPr>
        <w:jc w:val="center"/>
        <w:rPr>
          <w:noProof/>
        </w:rPr>
      </w:pPr>
      <w:r>
        <w:rPr>
          <w:noProof/>
          <w:lang w:val="en-US" w:eastAsia="en-US"/>
        </w:rPr>
        <w:drawing>
          <wp:inline distT="0" distB="0" distL="0" distR="0">
            <wp:extent cx="9144000" cy="613940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8026" cy="6142111"/>
                    </a:xfrm>
                    <a:prstGeom prst="rect">
                      <a:avLst/>
                    </a:prstGeom>
                    <a:noFill/>
                    <a:ln>
                      <a:noFill/>
                    </a:ln>
                  </pic:spPr>
                </pic:pic>
              </a:graphicData>
            </a:graphic>
          </wp:inline>
        </w:drawing>
      </w:r>
    </w:p>
    <w:p>
      <w:pPr>
        <w:jc w:val="center"/>
        <w:rPr>
          <w:noProof/>
        </w:rPr>
      </w:pPr>
      <w:r>
        <w:rPr>
          <w:noProof/>
          <w:lang w:val="en-US" w:eastAsia="en-US"/>
        </w:rPr>
        <w:drawing>
          <wp:inline distT="0" distB="0" distL="0" distR="0">
            <wp:extent cx="9433009" cy="5327374"/>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439191" cy="5330865"/>
                    </a:xfrm>
                    <a:prstGeom prst="rect">
                      <a:avLst/>
                    </a:prstGeom>
                    <a:noFill/>
                    <a:ln>
                      <a:noFill/>
                    </a:ln>
                  </pic:spPr>
                </pic:pic>
              </a:graphicData>
            </a:graphic>
          </wp:inline>
        </w:drawing>
      </w:r>
      <w:r>
        <w:rPr>
          <w:noProof/>
        </w:rPr>
        <w:t xml:space="preserve"> </w:t>
      </w:r>
      <w:r>
        <w:rPr>
          <w:noProof/>
        </w:rPr>
        <w:br w:type="page"/>
      </w:r>
    </w:p>
    <w:p>
      <w:pPr>
        <w:jc w:val="center"/>
        <w:rPr>
          <w:noProof/>
        </w:rPr>
      </w:pPr>
      <w:r>
        <w:rPr>
          <w:noProof/>
          <w:lang w:val="en-US" w:eastAsia="en-US"/>
        </w:rPr>
        <w:drawing>
          <wp:inline distT="0" distB="0" distL="0" distR="0">
            <wp:extent cx="8555603" cy="6130456"/>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572794" cy="6142774"/>
                    </a:xfrm>
                    <a:prstGeom prst="rect">
                      <a:avLst/>
                    </a:prstGeom>
                    <a:noFill/>
                    <a:ln>
                      <a:noFill/>
                    </a:ln>
                  </pic:spPr>
                </pic:pic>
              </a:graphicData>
            </a:graphic>
          </wp:inline>
        </w:drawing>
      </w:r>
    </w:p>
    <w:p>
      <w:pPr>
        <w:jc w:val="center"/>
        <w:rPr>
          <w:noProof/>
        </w:rPr>
      </w:pPr>
      <w:r>
        <w:rPr>
          <w:noProof/>
          <w:lang w:val="en-US" w:eastAsia="en-US"/>
        </w:rPr>
        <w:drawing>
          <wp:inline distT="0" distB="0" distL="0" distR="0">
            <wp:extent cx="7394713" cy="614849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405591" cy="6157539"/>
                    </a:xfrm>
                    <a:prstGeom prst="rect">
                      <a:avLst/>
                    </a:prstGeom>
                    <a:noFill/>
                    <a:ln>
                      <a:noFill/>
                    </a:ln>
                  </pic:spPr>
                </pic:pic>
              </a:graphicData>
            </a:graphic>
          </wp:inline>
        </w:drawing>
      </w:r>
    </w:p>
    <w:p>
      <w:pPr>
        <w:jc w:val="center"/>
        <w:rPr>
          <w:noProof/>
        </w:rPr>
      </w:pPr>
      <w:r>
        <w:rPr>
          <w:noProof/>
          <w:lang w:val="en-US" w:eastAsia="en-US"/>
        </w:rPr>
        <w:drawing>
          <wp:inline distT="0" distB="0" distL="0" distR="0">
            <wp:extent cx="8253454" cy="6130456"/>
            <wp:effectExtent l="0" t="0" r="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65957" cy="6139743"/>
                    </a:xfrm>
                    <a:prstGeom prst="rect">
                      <a:avLst/>
                    </a:prstGeom>
                    <a:noFill/>
                    <a:ln>
                      <a:noFill/>
                    </a:ln>
                  </pic:spPr>
                </pic:pic>
              </a:graphicData>
            </a:graphic>
          </wp:inline>
        </w:drawing>
      </w:r>
    </w:p>
    <w:p>
      <w:pPr>
        <w:jc w:val="center"/>
        <w:rPr>
          <w:noProof/>
        </w:rPr>
      </w:pPr>
      <w:r>
        <w:rPr>
          <w:noProof/>
          <w:lang w:val="en-US" w:eastAsia="en-US"/>
        </w:rPr>
        <w:drawing>
          <wp:inline distT="0" distB="0" distL="0" distR="0">
            <wp:extent cx="7983109" cy="6082748"/>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988906" cy="6087165"/>
                    </a:xfrm>
                    <a:prstGeom prst="rect">
                      <a:avLst/>
                    </a:prstGeom>
                    <a:noFill/>
                    <a:ln>
                      <a:noFill/>
                    </a:ln>
                  </pic:spPr>
                </pic:pic>
              </a:graphicData>
            </a:graphic>
          </wp:inline>
        </w:drawing>
      </w:r>
    </w:p>
    <w:p>
      <w:pPr>
        <w:jc w:val="center"/>
        <w:rPr>
          <w:noProof/>
        </w:rPr>
      </w:pPr>
      <w:r>
        <w:rPr>
          <w:noProof/>
        </w:rPr>
        <w:br w:type="page"/>
      </w:r>
      <w:r>
        <w:rPr>
          <w:noProof/>
          <w:lang w:val="en-US" w:eastAsia="en-US"/>
        </w:rPr>
        <w:drawing>
          <wp:inline distT="0" distB="0" distL="0" distR="0">
            <wp:extent cx="7266959" cy="3958547"/>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264355" cy="3957128"/>
                    </a:xfrm>
                    <a:prstGeom prst="rect">
                      <a:avLst/>
                    </a:prstGeom>
                    <a:noFill/>
                    <a:ln>
                      <a:noFill/>
                    </a:ln>
                  </pic:spPr>
                </pic:pic>
              </a:graphicData>
            </a:graphic>
          </wp:inline>
        </w:drawing>
      </w:r>
    </w:p>
    <w:p>
      <w:pPr>
        <w:jc w:val="center"/>
        <w:rPr>
          <w:noProof/>
        </w:rPr>
      </w:pPr>
    </w:p>
    <w:p>
      <w:pPr>
        <w:jc w:val="center"/>
        <w:rPr>
          <w:noProof/>
        </w:rPr>
        <w:sectPr>
          <w:headerReference w:type="even" r:id="rId74"/>
          <w:headerReference w:type="default" r:id="rId75"/>
          <w:footerReference w:type="even" r:id="rId76"/>
          <w:footerReference w:type="default" r:id="rId77"/>
          <w:headerReference w:type="first" r:id="rId78"/>
          <w:footerReference w:type="first" r:id="rId79"/>
          <w:pgSz w:w="16838" w:h="11906" w:orient="landscape"/>
          <w:pgMar w:top="719" w:right="818" w:bottom="719" w:left="900" w:header="709" w:footer="709" w:gutter="0"/>
          <w:cols w:space="708"/>
          <w:docGrid w:linePitch="360"/>
        </w:sectPr>
      </w:pPr>
      <w:r>
        <w:rPr>
          <w:noProof/>
        </w:rPr>
        <w:br w:type="page"/>
      </w:r>
    </w:p>
    <w:p>
      <w:pPr>
        <w:jc w:val="center"/>
        <w:rPr>
          <w:noProof/>
        </w:rPr>
        <w:sectPr>
          <w:headerReference w:type="even" r:id="rId80"/>
          <w:headerReference w:type="default" r:id="rId81"/>
          <w:footerReference w:type="even" r:id="rId82"/>
          <w:footerReference w:type="default" r:id="rId83"/>
          <w:headerReference w:type="first" r:id="rId84"/>
          <w:footerReference w:type="first" r:id="rId85"/>
          <w:pgSz w:w="11906" w:h="16838" w:code="9"/>
          <w:pgMar w:top="816" w:right="720" w:bottom="902" w:left="720" w:header="709" w:footer="709" w:gutter="0"/>
          <w:cols w:space="708"/>
          <w:vAlign w:val="center"/>
          <w:docGrid w:linePitch="360"/>
        </w:sectPr>
      </w:pPr>
      <w:r>
        <w:rPr>
          <w:noProof/>
          <w:lang w:val="en-US" w:eastAsia="en-US"/>
        </w:rPr>
        <w:drawing>
          <wp:inline distT="0" distB="0" distL="0" distR="0">
            <wp:extent cx="6011497" cy="5883966"/>
            <wp:effectExtent l="0" t="0" r="8890"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12194" cy="5884648"/>
                    </a:xfrm>
                    <a:prstGeom prst="rect">
                      <a:avLst/>
                    </a:prstGeom>
                    <a:noFill/>
                    <a:ln>
                      <a:noFill/>
                    </a:ln>
                  </pic:spPr>
                </pic:pic>
              </a:graphicData>
            </a:graphic>
          </wp:inline>
        </w:drawing>
      </w:r>
    </w:p>
    <w:p>
      <w:pPr>
        <w:jc w:val="center"/>
        <w:rPr>
          <w:noProof/>
        </w:rPr>
      </w:pPr>
      <w:r>
        <w:rPr>
          <w:noProof/>
          <w:lang w:val="en-US" w:eastAsia="en-US"/>
        </w:rPr>
        <w:drawing>
          <wp:inline distT="0" distB="0" distL="0" distR="0">
            <wp:extent cx="8969072" cy="6129362"/>
            <wp:effectExtent l="0" t="0" r="381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72876" cy="6131962"/>
                    </a:xfrm>
                    <a:prstGeom prst="rect">
                      <a:avLst/>
                    </a:prstGeom>
                    <a:noFill/>
                    <a:ln>
                      <a:noFill/>
                    </a:ln>
                  </pic:spPr>
                </pic:pic>
              </a:graphicData>
            </a:graphic>
          </wp:inline>
        </w:drawing>
      </w:r>
    </w:p>
    <w:sectPr>
      <w:headerReference w:type="even" r:id="rId88"/>
      <w:headerReference w:type="default" r:id="rId89"/>
      <w:footerReference w:type="even" r:id="rId90"/>
      <w:footerReference w:type="default" r:id="rId91"/>
      <w:headerReference w:type="first" r:id="rId92"/>
      <w:footerReference w:type="first" r:id="rId93"/>
      <w:pgSz w:w="16838" w:h="11906" w:orient="landscape"/>
      <w:pgMar w:top="719" w:right="818" w:bottom="719"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29</w:t>
    </w:r>
    <w:r>
      <w:rPr>
        <w:noProof/>
      </w:rPr>
      <w:fldChar w:fldCharType="end"/>
    </w:r>
  </w:p>
  <w:p>
    <w:pPr>
      <w:pStyle w:val="Footer"/>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31</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32</w:t>
    </w:r>
    <w:r>
      <w:rPr>
        <w:noProof/>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34</w:t>
    </w:r>
    <w:r>
      <w:rPr>
        <w:noProof/>
      </w:rPr>
      <w:fldChar w:fldCharType="end"/>
    </w:r>
  </w:p>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51</w:t>
    </w:r>
    <w:r>
      <w:rPr>
        <w:noProof/>
      </w:rPr>
      <w:fldChar w:fldCharType="end"/>
    </w:r>
  </w:p>
  <w:p>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52</w:t>
    </w:r>
    <w:r>
      <w:rPr>
        <w:noProof/>
      </w:rPr>
      <w:fldChar w:fldCharType="end"/>
    </w:r>
  </w:p>
  <w:p>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53</w:t>
    </w:r>
    <w:r>
      <w:rPr>
        <w:noProof/>
      </w:rPr>
      <w:fldChar w:fldCharType="end"/>
    </w: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28</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t>This procedure is presented in annex 1.</w:t>
      </w:r>
    </w:p>
  </w:footnote>
  <w:footnote w:id="2">
    <w:p>
      <w:pPr>
        <w:pStyle w:val="FootnoteText"/>
      </w:pPr>
      <w:r>
        <w:rPr>
          <w:rStyle w:val="FootnoteReference"/>
        </w:rPr>
        <w:footnoteRef/>
      </w:r>
      <w:r>
        <w:rPr>
          <w:rStyle w:val="FootnoteReference"/>
        </w:rPr>
        <w:tab/>
      </w:r>
      <w:r>
        <w:t>OJ L 108 of 11.4.2014, p. 13.</w:t>
      </w:r>
    </w:p>
  </w:footnote>
  <w:footnote w:id="3">
    <w:p>
      <w:pPr>
        <w:pStyle w:val="FootnoteText"/>
      </w:pPr>
      <w:r>
        <w:rPr>
          <w:rStyle w:val="FootnoteReference"/>
        </w:rPr>
        <w:footnoteRef/>
      </w:r>
      <w:r>
        <w:tab/>
      </w:r>
      <w:r>
        <w:rPr>
          <w:lang w:eastAsia="en-GB"/>
        </w:rPr>
        <w:t>These amounts are not entered in the revenue lines of the budget (article 670 for the revenue assigned to the EAGF), which mention "p.m." ("pro memoria"), but the forecast amount is mentioned in the budgetary remarks for this article.</w:t>
      </w:r>
    </w:p>
  </w:footnote>
  <w:footnote w:id="4">
    <w:p>
      <w:pPr>
        <w:pStyle w:val="FootnoteText"/>
      </w:pPr>
      <w:r>
        <w:rPr>
          <w:rStyle w:val="FootnoteReference"/>
        </w:rPr>
        <w:footnoteRef/>
      </w:r>
      <w:r>
        <w:rPr>
          <w:rStyle w:val="FootnoteReference"/>
        </w:rPr>
        <w:tab/>
      </w:r>
      <w:r>
        <w:t>OJ L 347 of 20.12.2013, p. 549.</w:t>
      </w:r>
    </w:p>
  </w:footnote>
  <w:footnote w:id="5">
    <w:p>
      <w:pPr>
        <w:pStyle w:val="FootnoteText"/>
      </w:pPr>
      <w:r>
        <w:rPr>
          <w:rStyle w:val="FootnoteReference"/>
        </w:rPr>
        <w:footnoteRef/>
      </w:r>
      <w:r>
        <w:rPr>
          <w:sz w:val="18"/>
          <w:szCs w:val="18"/>
        </w:rPr>
        <w:tab/>
      </w:r>
      <w:r>
        <w:t>These monthly declarations of expenditure are transmitted by the Member States by the declaration of the 12</w:t>
      </w:r>
      <w:r>
        <w:rPr>
          <w:vertAlign w:val="superscript"/>
        </w:rPr>
        <w:t>th</w:t>
      </w:r>
      <w:r>
        <w:t xml:space="preserve"> of the month N+1.</w:t>
      </w:r>
    </w:p>
  </w:footnote>
  <w:footnote w:id="6">
    <w:p>
      <w:pPr>
        <w:pStyle w:val="FootnoteText"/>
      </w:pPr>
      <w:r>
        <w:rPr>
          <w:rStyle w:val="FootnoteReference"/>
        </w:rPr>
        <w:footnoteRef/>
      </w:r>
      <w:r>
        <w:t xml:space="preserve"> </w:t>
      </w:r>
      <w:r>
        <w:tab/>
        <w:t>Commission Delegated Regulation (EU) 2015/1853</w:t>
      </w:r>
    </w:p>
  </w:footnote>
  <w:footnote w:id="7">
    <w:p>
      <w:pPr>
        <w:pStyle w:val="FootnoteText"/>
      </w:pPr>
      <w:r>
        <w:rPr>
          <w:rStyle w:val="FootnoteReference"/>
        </w:rPr>
        <w:footnoteRef/>
      </w:r>
      <w:r>
        <w:t xml:space="preserve"> </w:t>
      </w:r>
      <w:r>
        <w:tab/>
        <w:t>Commission Delegated Regulation (EU) 2016/1613</w:t>
      </w:r>
    </w:p>
  </w:footnote>
  <w:footnote w:id="8">
    <w:p>
      <w:pPr>
        <w:pStyle w:val="FootnoteText"/>
      </w:pPr>
      <w:r>
        <w:rPr>
          <w:rStyle w:val="FootnoteReference"/>
        </w:rPr>
        <w:footnoteRef/>
      </w:r>
      <w:r>
        <w:t xml:space="preserve"> </w:t>
      </w:r>
      <w:r>
        <w:tab/>
        <w:t xml:space="preserve">A Member State declared expenditure for the small farmers' scheme under the other direct payments schemes financing the small farmers' scheme. If this expenditure would have been declared under the small farmers' scheme, it would have increased the expenditure for that line by EUR 422.6 million but with a similar off-setting under other lines. </w:t>
      </w:r>
    </w:p>
  </w:footnote>
  <w:footnote w:id="9">
    <w:p>
      <w:pPr>
        <w:pStyle w:val="FootnoteText"/>
      </w:pPr>
      <w:r>
        <w:rPr>
          <w:rStyle w:val="FootnoteReference"/>
        </w:rPr>
        <w:footnoteRef/>
      </w:r>
      <w:r>
        <w:t xml:space="preserve"> </w:t>
      </w:r>
      <w:r>
        <w:tab/>
        <w:t>These appropriations may be carried over, in accordance with Article 169(3) of the Financial Regulation (EU, Euratom) No 966/2012, and in accordance with Article 26(5) of Regulation (EU) No 1306/2013, Member States shall reimburse the final recipients who are subject, in the financial year to which the appropriations are carried over, to the application of financial discipline in accordance with Article 26, paragraphs (1) to (4) thereof.</w:t>
      </w:r>
    </w:p>
  </w:footnote>
  <w:footnote w:id="10">
    <w:p>
      <w:pPr>
        <w:pStyle w:val="FootnoteText"/>
        <w:rPr>
          <w:lang w:val="pl-PL"/>
        </w:rPr>
      </w:pPr>
      <w:r>
        <w:rPr>
          <w:rStyle w:val="FootnoteReference"/>
        </w:rPr>
        <w:footnoteRef/>
      </w:r>
      <w:r>
        <w:rPr>
          <w:sz w:val="18"/>
          <w:szCs w:val="18"/>
          <w:lang w:val="pl-PL"/>
        </w:rPr>
        <w:tab/>
      </w:r>
      <w:r>
        <w:rPr>
          <w:lang w:val="pl-PL"/>
        </w:rPr>
        <w:t>OJ L 347, 20.12.2013, p.608</w:t>
      </w:r>
    </w:p>
  </w:footnote>
  <w:footnote w:id="11">
    <w:p>
      <w:pPr>
        <w:pStyle w:val="FootnoteText"/>
        <w:rPr>
          <w:lang w:val="pl-PL"/>
        </w:rPr>
      </w:pPr>
      <w:r>
        <w:rPr>
          <w:rStyle w:val="FootnoteReference"/>
        </w:rPr>
        <w:footnoteRef/>
      </w:r>
      <w:r>
        <w:rPr>
          <w:lang w:val="pl-PL"/>
        </w:rPr>
        <w:t xml:space="preserve"> </w:t>
      </w:r>
      <w:r>
        <w:rPr>
          <w:lang w:val="pl-PL"/>
        </w:rPr>
        <w:tab/>
        <w:t>OJ L 181, 20.6.2014, p. 1</w:t>
      </w:r>
    </w:p>
  </w:footnote>
  <w:footnote w:id="12">
    <w:p>
      <w:pPr>
        <w:pStyle w:val="FootnoteText"/>
        <w:rPr>
          <w:lang w:val="pl-PL"/>
        </w:rPr>
      </w:pPr>
      <w:r>
        <w:rPr>
          <w:rStyle w:val="FootnoteReference"/>
        </w:rPr>
        <w:footnoteRef/>
      </w:r>
      <w:r>
        <w:rPr>
          <w:lang w:val="pl-PL"/>
        </w:rPr>
        <w:tab/>
        <w:t>OJ L 181, 20.6.2014, p.48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0FA1BD3"/>
    <w:multiLevelType w:val="hybridMultilevel"/>
    <w:tmpl w:val="DD3CE7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4727C55"/>
    <w:multiLevelType w:val="multilevel"/>
    <w:tmpl w:val="7138FAA6"/>
    <w:lvl w:ilvl="0">
      <w:start w:val="1"/>
      <w:numFmt w:val="decimal"/>
      <w:lvlRestart w:val="0"/>
      <w:pStyle w:val="Heading1"/>
      <w:lvlText w:val="%1."/>
      <w:lvlJc w:val="left"/>
      <w:pPr>
        <w:tabs>
          <w:tab w:val="num" w:pos="850"/>
        </w:tabs>
        <w:ind w:left="850" w:hanging="850"/>
      </w:pPr>
      <w:rPr>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rPr>
        <w:i/>
      </w:r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49674C4"/>
    <w:multiLevelType w:val="singleLevel"/>
    <w:tmpl w:val="1C5C3756"/>
    <w:name w:val="0,6340992"/>
    <w:lvl w:ilvl="0">
      <w:start w:val="1"/>
      <w:numFmt w:val="bullet"/>
      <w:lvlRestart w:val="0"/>
      <w:pStyle w:val="Tiret1"/>
      <w:lvlText w:val="–"/>
      <w:lvlJc w:val="left"/>
      <w:pPr>
        <w:tabs>
          <w:tab w:val="num" w:pos="1417"/>
        </w:tabs>
        <w:ind w:left="1417" w:hanging="567"/>
      </w:pPr>
      <w:rPr>
        <w:lang w:val="en-GB"/>
      </w:rPr>
    </w:lvl>
  </w:abstractNum>
  <w:abstractNum w:abstractNumId="9">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5E64B9E"/>
    <w:multiLevelType w:val="hybridMultilevel"/>
    <w:tmpl w:val="DA7EA58E"/>
    <w:lvl w:ilvl="0" w:tplc="710C3BE8">
      <w:numFmt w:val="bullet"/>
      <w:lvlText w:val=""/>
      <w:lvlJc w:val="left"/>
      <w:pPr>
        <w:ind w:left="1435" w:hanging="585"/>
      </w:pPr>
      <w:rPr>
        <w:rFonts w:ascii="Symbol" w:eastAsia="MS PGothic" w:hAnsi="Symbol" w:cs="Times New Roman" w:hint="default"/>
      </w:rPr>
    </w:lvl>
    <w:lvl w:ilvl="1" w:tplc="4596E0CE">
      <w:numFmt w:val="bullet"/>
      <w:lvlText w:val="-"/>
      <w:lvlJc w:val="left"/>
      <w:pPr>
        <w:ind w:left="1930" w:hanging="360"/>
      </w:pPr>
      <w:rPr>
        <w:rFonts w:ascii="Times New Roman" w:eastAsia="MS PGothic" w:hAnsi="Times New Roman" w:cs="Times New Roman"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2">
    <w:nsid w:val="1978585D"/>
    <w:multiLevelType w:val="hybridMultilevel"/>
    <w:tmpl w:val="443413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4">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C8D5AD3"/>
    <w:multiLevelType w:val="singleLevel"/>
    <w:tmpl w:val="82EE6B70"/>
    <w:lvl w:ilvl="0">
      <w:start w:val="1"/>
      <w:numFmt w:val="bullet"/>
      <w:lvlText w:val=""/>
      <w:lvlJc w:val="left"/>
      <w:pPr>
        <w:tabs>
          <w:tab w:val="num" w:pos="1360"/>
        </w:tabs>
        <w:ind w:left="1360" w:hanging="283"/>
      </w:pPr>
      <w:rPr>
        <w:rFonts w:ascii="Symbol" w:hAnsi="Symbol"/>
      </w:rPr>
    </w:lvl>
  </w:abstractNum>
  <w:abstractNum w:abstractNumId="16">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7">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8">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6">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7">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6E5C21E3"/>
    <w:multiLevelType w:val="singleLevel"/>
    <w:tmpl w:val="91AE4CCA"/>
    <w:lvl w:ilvl="0">
      <w:start w:val="1"/>
      <w:numFmt w:val="bullet"/>
      <w:lvlText w:val="–"/>
      <w:lvlJc w:val="left"/>
      <w:pPr>
        <w:tabs>
          <w:tab w:val="num" w:pos="2199"/>
        </w:tabs>
        <w:ind w:left="2199" w:hanging="283"/>
      </w:pPr>
      <w:rPr>
        <w:rFonts w:ascii="Times New Roman" w:hAnsi="Times New Roman"/>
      </w:rPr>
    </w:lvl>
  </w:abstractNum>
  <w:abstractNum w:abstractNumId="29">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709674DB"/>
    <w:multiLevelType w:val="hybridMultilevel"/>
    <w:tmpl w:val="A9A4918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1">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32">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77A60009"/>
    <w:multiLevelType w:val="hybridMultilevel"/>
    <w:tmpl w:val="F380F9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4">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37">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8">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9">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8"/>
  </w:num>
  <w:num w:numId="2">
    <w:abstractNumId w:val="8"/>
  </w:num>
  <w:num w:numId="3">
    <w:abstractNumId w:val="13"/>
  </w:num>
  <w:num w:numId="4">
    <w:abstractNumId w:val="31"/>
  </w:num>
  <w:num w:numId="5">
    <w:abstractNumId w:val="36"/>
  </w:num>
  <w:num w:numId="6">
    <w:abstractNumId w:val="5"/>
  </w:num>
  <w:num w:numId="7">
    <w:abstractNumId w:val="16"/>
  </w:num>
  <w:num w:numId="8">
    <w:abstractNumId w:val="9"/>
  </w:num>
  <w:num w:numId="9">
    <w:abstractNumId w:val="20"/>
  </w:num>
  <w:num w:numId="10">
    <w:abstractNumId w:val="10"/>
  </w:num>
  <w:num w:numId="11">
    <w:abstractNumId w:val="32"/>
  </w:num>
  <w:num w:numId="12">
    <w:abstractNumId w:val="29"/>
  </w:num>
  <w:num w:numId="13">
    <w:abstractNumId w:val="25"/>
  </w:num>
  <w:num w:numId="14">
    <w:abstractNumId w:val="1"/>
  </w:num>
  <w:num w:numId="15">
    <w:abstractNumId w:val="0"/>
  </w:num>
  <w:num w:numId="16">
    <w:abstractNumId w:val="21"/>
  </w:num>
  <w:num w:numId="17">
    <w:abstractNumId w:val="23"/>
  </w:num>
  <w:num w:numId="18">
    <w:abstractNumId w:val="35"/>
  </w:num>
  <w:num w:numId="19">
    <w:abstractNumId w:val="14"/>
  </w:num>
  <w:num w:numId="20">
    <w:abstractNumId w:val="4"/>
  </w:num>
  <w:num w:numId="21">
    <w:abstractNumId w:val="2"/>
  </w:num>
  <w:num w:numId="22">
    <w:abstractNumId w:val="27"/>
  </w:num>
  <w:num w:numId="23">
    <w:abstractNumId w:val="26"/>
  </w:num>
  <w:num w:numId="24">
    <w:abstractNumId w:val="6"/>
  </w:num>
  <w:num w:numId="25">
    <w:abstractNumId w:val="18"/>
  </w:num>
  <w:num w:numId="26">
    <w:abstractNumId w:val="39"/>
  </w:num>
  <w:num w:numId="27">
    <w:abstractNumId w:val="19"/>
  </w:num>
  <w:num w:numId="28">
    <w:abstractNumId w:val="24"/>
  </w:num>
  <w:num w:numId="29">
    <w:abstractNumId w:val="22"/>
  </w:num>
  <w:num w:numId="30">
    <w:abstractNumId w:val="34"/>
  </w:num>
  <w:num w:numId="31">
    <w:abstractNumId w:val="37"/>
  </w:num>
  <w:num w:numId="32">
    <w:abstractNumId w:val="7"/>
  </w:num>
  <w:num w:numId="33">
    <w:abstractNumId w:val="33"/>
  </w:num>
  <w:num w:numId="34">
    <w:abstractNumId w:val="12"/>
  </w:num>
  <w:num w:numId="35">
    <w:abstractNumId w:val="3"/>
  </w:num>
  <w:num w:numId="36">
    <w:abstractNumId w:val="17"/>
  </w:num>
  <w:num w:numId="37">
    <w:abstractNumId w:val="15"/>
  </w:num>
  <w:num w:numId="38">
    <w:abstractNumId w:val="2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num>
  <w:num w:numId="42">
    <w:abstractNumId w:val="3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D866CCEAFA9F4D0CAFCE3CA25064C3CC"/>
    <w:docVar w:name="LW_CROSSREFERENCE" w:val="{COM(2017) 456 final}"/>
    <w:docVar w:name="LW_DocType" w:val="NORMAL"/>
    <w:docVar w:name="LW_EMISSION" w:val="28.8.2017"/>
    <w:docVar w:name="LW_EMISSION_ISODATE" w:val="2017-08-28"/>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10th FINANCIAL REPORT FROM THE COMMISSION TO THE EUROPEAN PARLIAMENT AND THE COUNCIL on the _x000b_EUROPEAN AGRICULTURAL GUARANTEE FUND_x000b_2016 FINANCIAL YEAR"/>
    <w:docVar w:name="LW_PART_NBR" w:val="1"/>
    <w:docVar w:name="LW_PART_NBR_TOTAL" w:val="1"/>
    <w:docVar w:name="LW_REF.INST.NEW" w:val="SWD"/>
    <w:docVar w:name="LW_REF.INST.NEW_ADOPTED" w:val="final"/>
    <w:docVar w:name="LW_REF.INST.NEW_TEXT" w:val="(2017) 285"/>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32"/>
      </w:numPr>
      <w:spacing w:before="360" w:after="120"/>
      <w:jc w:val="both"/>
      <w:outlineLvl w:val="0"/>
    </w:pPr>
    <w:rPr>
      <w:b/>
      <w:bCs/>
      <w:smallCaps/>
      <w:szCs w:val="32"/>
      <w:lang w:eastAsia="en-US"/>
    </w:rPr>
  </w:style>
  <w:style w:type="paragraph" w:styleId="Heading2">
    <w:name w:val="heading 2"/>
    <w:basedOn w:val="Normal"/>
    <w:next w:val="Text1"/>
    <w:link w:val="Heading2Char"/>
    <w:qFormat/>
    <w:pPr>
      <w:keepNext/>
      <w:numPr>
        <w:ilvl w:val="1"/>
        <w:numId w:val="32"/>
      </w:numPr>
      <w:spacing w:before="120" w:after="120"/>
      <w:jc w:val="both"/>
      <w:outlineLvl w:val="1"/>
    </w:pPr>
    <w:rPr>
      <w:b/>
      <w:bCs/>
      <w:iCs/>
      <w:szCs w:val="28"/>
      <w:lang w:eastAsia="en-US"/>
    </w:rPr>
  </w:style>
  <w:style w:type="paragraph" w:styleId="Heading3">
    <w:name w:val="heading 3"/>
    <w:basedOn w:val="Normal"/>
    <w:next w:val="Text1"/>
    <w:link w:val="Heading3Char"/>
    <w:qFormat/>
    <w:pPr>
      <w:keepNext/>
      <w:numPr>
        <w:ilvl w:val="2"/>
        <w:numId w:val="32"/>
      </w:numPr>
      <w:spacing w:before="120" w:after="120"/>
      <w:jc w:val="both"/>
      <w:outlineLvl w:val="2"/>
    </w:pPr>
    <w:rPr>
      <w:bCs/>
      <w:i/>
      <w:szCs w:val="26"/>
      <w:lang w:eastAsia="en-US"/>
    </w:rPr>
  </w:style>
  <w:style w:type="paragraph" w:styleId="Heading4">
    <w:name w:val="heading 4"/>
    <w:basedOn w:val="Normal"/>
    <w:next w:val="Text1"/>
    <w:link w:val="Heading4Char"/>
    <w:qFormat/>
    <w:pPr>
      <w:keepNext/>
      <w:numPr>
        <w:ilvl w:val="3"/>
        <w:numId w:val="32"/>
      </w:numPr>
      <w:spacing w:before="120" w:after="120"/>
      <w:jc w:val="both"/>
      <w:outlineLvl w:val="3"/>
    </w:pPr>
    <w:rPr>
      <w:bCs/>
      <w:szCs w:val="28"/>
      <w:lang w:eastAsia="en-US"/>
    </w:rPr>
  </w:style>
  <w:style w:type="paragraph" w:styleId="Heading5">
    <w:name w:val="heading 5"/>
    <w:basedOn w:val="Normal"/>
    <w:next w:val="Normal"/>
    <w:link w:val="Heading5Char"/>
    <w:qFormat/>
    <w:pPr>
      <w:spacing w:before="240" w:after="60"/>
      <w:jc w:val="both"/>
      <w:outlineLvl w:val="4"/>
    </w:pPr>
    <w:rPr>
      <w:rFonts w:ascii="Arial" w:hAnsi="Arial"/>
      <w:sz w:val="22"/>
      <w:szCs w:val="20"/>
      <w:lang w:eastAsia="zh-CN"/>
    </w:rPr>
  </w:style>
  <w:style w:type="paragraph" w:styleId="Heading6">
    <w:name w:val="heading 6"/>
    <w:basedOn w:val="Normal"/>
    <w:next w:val="Normal"/>
    <w:link w:val="Heading6Char"/>
    <w:qFormat/>
    <w:pPr>
      <w:spacing w:before="240" w:after="60"/>
      <w:jc w:val="both"/>
      <w:outlineLvl w:val="5"/>
    </w:pPr>
    <w:rPr>
      <w:rFonts w:ascii="Arial" w:hAnsi="Arial"/>
      <w:i/>
      <w:sz w:val="22"/>
      <w:szCs w:val="20"/>
      <w:lang w:eastAsia="zh-CN"/>
    </w:rPr>
  </w:style>
  <w:style w:type="paragraph" w:styleId="Heading7">
    <w:name w:val="heading 7"/>
    <w:basedOn w:val="Normal"/>
    <w:next w:val="Normal"/>
    <w:link w:val="Heading7Char"/>
    <w:qFormat/>
    <w:pPr>
      <w:spacing w:before="240" w:after="60"/>
      <w:jc w:val="both"/>
      <w:outlineLvl w:val="6"/>
    </w:pPr>
    <w:rPr>
      <w:rFonts w:ascii="Arial" w:hAnsi="Arial"/>
      <w:sz w:val="20"/>
      <w:szCs w:val="20"/>
      <w:lang w:eastAsia="zh-CN"/>
    </w:rPr>
  </w:style>
  <w:style w:type="paragraph" w:styleId="Heading8">
    <w:name w:val="heading 8"/>
    <w:basedOn w:val="Normal"/>
    <w:next w:val="Normal"/>
    <w:link w:val="Heading8Char"/>
    <w:qFormat/>
    <w:pPr>
      <w:spacing w:before="240" w:after="60"/>
      <w:jc w:val="both"/>
      <w:outlineLvl w:val="7"/>
    </w:pPr>
    <w:rPr>
      <w:rFonts w:ascii="Arial" w:hAnsi="Arial"/>
      <w:i/>
      <w:sz w:val="20"/>
      <w:szCs w:val="20"/>
      <w:lang w:eastAsia="zh-CN"/>
    </w:rPr>
  </w:style>
  <w:style w:type="paragraph" w:styleId="Heading9">
    <w:name w:val="heading 9"/>
    <w:basedOn w:val="Normal"/>
    <w:next w:val="Normal"/>
    <w:link w:val="Heading9Char"/>
    <w:qFormat/>
    <w:pPr>
      <w:spacing w:before="240" w:after="60"/>
      <w:jc w:val="both"/>
      <w:outlineLvl w:val="8"/>
    </w:pPr>
    <w:rPr>
      <w:rFonts w:ascii="Arial" w:hAnsi="Arial"/>
      <w:i/>
      <w:sz w:val="18"/>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Text1">
    <w:name w:val="Text 1"/>
    <w:basedOn w:val="Normal"/>
    <w:link w:val="Text1Char"/>
    <w:pPr>
      <w:spacing w:before="120" w:after="120"/>
      <w:ind w:left="850"/>
      <w:jc w:val="both"/>
    </w:pPr>
    <w:rPr>
      <w:rFonts w:eastAsia="MS PGothic"/>
      <w:noProof/>
      <w:lang w:eastAsia="en-US"/>
    </w:rPr>
  </w:style>
  <w:style w:type="paragraph" w:customStyle="1" w:styleId="Annexetitre">
    <w:name w:val="Annexe titre"/>
    <w:basedOn w:val="Normal"/>
    <w:next w:val="Normal"/>
    <w:pPr>
      <w:spacing w:before="120" w:after="120"/>
      <w:jc w:val="center"/>
    </w:pPr>
    <w:rPr>
      <w:b/>
      <w:u w:val="single"/>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Pr>
      <w:sz w:val="24"/>
      <w:szCs w:val="24"/>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sz w:val="24"/>
      <w:szCs w:val="28"/>
      <w:lang w:eastAsia="en-US"/>
    </w:rPr>
  </w:style>
  <w:style w:type="character" w:customStyle="1" w:styleId="Heading5Char">
    <w:name w:val="Heading 5 Char"/>
    <w:link w:val="Heading5"/>
    <w:rPr>
      <w:rFonts w:ascii="Arial" w:hAnsi="Arial"/>
      <w:sz w:val="22"/>
      <w:lang w:eastAsia="zh-CN"/>
    </w:rPr>
  </w:style>
  <w:style w:type="character" w:customStyle="1" w:styleId="Heading6Char">
    <w:name w:val="Heading 6 Char"/>
    <w:link w:val="Heading6"/>
    <w:rPr>
      <w:rFonts w:ascii="Arial" w:hAnsi="Arial"/>
      <w:i/>
      <w:sz w:val="22"/>
      <w:lang w:eastAsia="zh-CN"/>
    </w:rPr>
  </w:style>
  <w:style w:type="character" w:customStyle="1" w:styleId="Heading7Char">
    <w:name w:val="Heading 7 Char"/>
    <w:link w:val="Heading7"/>
    <w:rPr>
      <w:rFonts w:ascii="Arial" w:hAnsi="Arial"/>
      <w:lang w:eastAsia="zh-CN"/>
    </w:rPr>
  </w:style>
  <w:style w:type="character" w:customStyle="1" w:styleId="Heading8Char">
    <w:name w:val="Heading 8 Char"/>
    <w:link w:val="Heading8"/>
    <w:rPr>
      <w:rFonts w:ascii="Arial" w:hAnsi="Arial"/>
      <w:i/>
      <w:lang w:eastAsia="zh-CN"/>
    </w:rPr>
  </w:style>
  <w:style w:type="character" w:customStyle="1" w:styleId="Heading9Char">
    <w:name w:val="Heading 9 Char"/>
    <w:link w:val="Heading9"/>
    <w:rPr>
      <w:rFonts w:ascii="Arial" w:hAnsi="Arial"/>
      <w:i/>
      <w:sz w:val="18"/>
      <w:lang w:eastAsia="zh-CN"/>
    </w:rPr>
  </w:style>
  <w:style w:type="character" w:customStyle="1" w:styleId="HeaderChar">
    <w:name w:val="Header Char"/>
    <w:link w:val="Header"/>
    <w:rPr>
      <w:sz w:val="24"/>
      <w:szCs w:val="24"/>
    </w:rPr>
  </w:style>
  <w:style w:type="paragraph" w:styleId="FootnoteText">
    <w:name w:val="footnote text"/>
    <w:basedOn w:val="Normal"/>
    <w:link w:val="FootnoteTextChar"/>
    <w:pPr>
      <w:ind w:left="720" w:hanging="720"/>
      <w:jc w:val="both"/>
    </w:pPr>
    <w:rPr>
      <w:sz w:val="20"/>
      <w:szCs w:val="20"/>
      <w:lang w:eastAsia="en-US"/>
    </w:rPr>
  </w:style>
  <w:style w:type="character" w:customStyle="1" w:styleId="FootnoteTextChar">
    <w:name w:val="Footnote Text Char"/>
    <w:link w:val="FootnoteText"/>
    <w:rPr>
      <w:lang w:eastAsia="en-US"/>
    </w:rPr>
  </w:style>
  <w:style w:type="paragraph" w:styleId="TOC1">
    <w:name w:val="toc 1"/>
    <w:basedOn w:val="Normal"/>
    <w:next w:val="Normal"/>
    <w:uiPriority w:val="39"/>
    <w:pPr>
      <w:tabs>
        <w:tab w:val="right" w:leader="dot" w:pos="9071"/>
      </w:tabs>
      <w:spacing w:before="60" w:after="120"/>
      <w:ind w:left="850" w:hanging="850"/>
    </w:pPr>
    <w:rPr>
      <w:lang w:eastAsia="en-US"/>
    </w:rPr>
  </w:style>
  <w:style w:type="paragraph" w:styleId="TOC2">
    <w:name w:val="toc 2"/>
    <w:basedOn w:val="Normal"/>
    <w:next w:val="Normal"/>
    <w:uiPriority w:val="39"/>
    <w:pPr>
      <w:tabs>
        <w:tab w:val="right" w:leader="dot" w:pos="9071"/>
      </w:tabs>
      <w:spacing w:before="60" w:after="120"/>
      <w:ind w:left="850" w:hanging="850"/>
    </w:pPr>
    <w:rPr>
      <w:lang w:eastAsia="en-US"/>
    </w:rPr>
  </w:style>
  <w:style w:type="paragraph" w:styleId="TOC3">
    <w:name w:val="toc 3"/>
    <w:basedOn w:val="Normal"/>
    <w:next w:val="Normal"/>
    <w:uiPriority w:val="39"/>
    <w:pPr>
      <w:tabs>
        <w:tab w:val="right" w:leader="dot" w:pos="9071"/>
      </w:tabs>
      <w:spacing w:before="60" w:after="120"/>
      <w:ind w:left="850" w:hanging="850"/>
    </w:pPr>
    <w:rPr>
      <w:lang w:eastAsia="en-US"/>
    </w:rPr>
  </w:style>
  <w:style w:type="paragraph" w:styleId="TOC4">
    <w:name w:val="toc 4"/>
    <w:basedOn w:val="Normal"/>
    <w:next w:val="Normal"/>
    <w:uiPriority w:val="39"/>
    <w:pPr>
      <w:tabs>
        <w:tab w:val="right" w:leader="dot" w:pos="9071"/>
      </w:tabs>
      <w:spacing w:before="60" w:after="120"/>
      <w:ind w:left="850" w:hanging="850"/>
    </w:pPr>
    <w:rPr>
      <w:lang w:eastAsia="en-US"/>
    </w:rPr>
  </w:style>
  <w:style w:type="paragraph" w:styleId="TOC5">
    <w:name w:val="toc 5"/>
    <w:basedOn w:val="Normal"/>
    <w:next w:val="Normal"/>
    <w:uiPriority w:val="39"/>
    <w:pPr>
      <w:tabs>
        <w:tab w:val="right" w:leader="dot" w:pos="9071"/>
      </w:tabs>
      <w:spacing w:before="300" w:after="120"/>
    </w:pPr>
    <w:rPr>
      <w:lang w:eastAsia="en-US"/>
    </w:rPr>
  </w:style>
  <w:style w:type="paragraph" w:styleId="TOC6">
    <w:name w:val="toc 6"/>
    <w:basedOn w:val="Normal"/>
    <w:next w:val="Normal"/>
    <w:uiPriority w:val="39"/>
    <w:pPr>
      <w:tabs>
        <w:tab w:val="right" w:leader="dot" w:pos="9071"/>
      </w:tabs>
      <w:spacing w:before="240" w:after="120"/>
    </w:pPr>
    <w:rPr>
      <w:lang w:eastAsia="en-US"/>
    </w:rPr>
  </w:style>
  <w:style w:type="paragraph" w:styleId="TOC7">
    <w:name w:val="toc 7"/>
    <w:basedOn w:val="Normal"/>
    <w:next w:val="Normal"/>
    <w:uiPriority w:val="39"/>
    <w:pPr>
      <w:tabs>
        <w:tab w:val="right" w:leader="dot" w:pos="9071"/>
      </w:tabs>
      <w:spacing w:before="180" w:after="120"/>
    </w:pPr>
    <w:rPr>
      <w:lang w:eastAsia="en-US"/>
    </w:rPr>
  </w:style>
  <w:style w:type="paragraph" w:styleId="TOC8">
    <w:name w:val="toc 8"/>
    <w:basedOn w:val="Normal"/>
    <w:next w:val="Normal"/>
    <w:uiPriority w:val="39"/>
    <w:pPr>
      <w:tabs>
        <w:tab w:val="right" w:leader="dot" w:pos="9071"/>
      </w:tabs>
      <w:spacing w:before="120" w:after="120"/>
    </w:pPr>
    <w:rPr>
      <w:lang w:eastAsia="en-US"/>
    </w:rPr>
  </w:style>
  <w:style w:type="paragraph" w:styleId="TOC9">
    <w:name w:val="toc 9"/>
    <w:basedOn w:val="Normal"/>
    <w:next w:val="Normal"/>
    <w:uiPriority w:val="39"/>
    <w:pPr>
      <w:tabs>
        <w:tab w:val="right" w:leader="dot" w:pos="9071"/>
      </w:tabs>
      <w:spacing w:before="120" w:after="120"/>
      <w:jc w:val="both"/>
    </w:pPr>
    <w:rPr>
      <w:lang w:eastAsia="en-US"/>
    </w:rPr>
  </w:style>
  <w:style w:type="paragraph" w:customStyle="1" w:styleId="HeaderLandscape">
    <w:name w:val="HeaderLandscape"/>
    <w:basedOn w:val="Normal"/>
    <w:pPr>
      <w:tabs>
        <w:tab w:val="center" w:pos="7285"/>
        <w:tab w:val="right" w:pos="14003"/>
      </w:tabs>
      <w:spacing w:after="120"/>
      <w:jc w:val="both"/>
    </w:pPr>
    <w:rPr>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lang w:eastAsia="en-US"/>
    </w:rPr>
  </w:style>
  <w:style w:type="character" w:styleId="FootnoteReference">
    <w:name w:val="footnote reference"/>
    <w:rPr>
      <w:rFonts w:cs="Times New Roman"/>
      <w:shd w:val="clear" w:color="auto" w:fill="auto"/>
      <w:vertAlign w:val="superscript"/>
    </w:rPr>
  </w:style>
  <w:style w:type="paragraph" w:customStyle="1" w:styleId="Text2">
    <w:name w:val="Text 2"/>
    <w:basedOn w:val="Normal"/>
    <w:pPr>
      <w:spacing w:before="120" w:after="120"/>
      <w:ind w:left="1417"/>
      <w:jc w:val="both"/>
    </w:pPr>
    <w:rPr>
      <w:lang w:eastAsia="en-US"/>
    </w:rPr>
  </w:style>
  <w:style w:type="paragraph" w:customStyle="1" w:styleId="Text3">
    <w:name w:val="Text 3"/>
    <w:basedOn w:val="Normal"/>
    <w:pPr>
      <w:spacing w:before="120" w:after="120"/>
      <w:ind w:left="1984"/>
      <w:jc w:val="both"/>
    </w:pPr>
    <w:rPr>
      <w:lang w:eastAsia="en-US"/>
    </w:rPr>
  </w:style>
  <w:style w:type="paragraph" w:customStyle="1" w:styleId="Text4">
    <w:name w:val="Text 4"/>
    <w:basedOn w:val="Normal"/>
    <w:pPr>
      <w:spacing w:before="120" w:after="120"/>
      <w:ind w:left="2551"/>
      <w:jc w:val="both"/>
    </w:pPr>
    <w:rPr>
      <w:lang w:eastAsia="en-US"/>
    </w:rPr>
  </w:style>
  <w:style w:type="paragraph" w:customStyle="1" w:styleId="NormalCentered">
    <w:name w:val="Normal Centered"/>
    <w:basedOn w:val="Normal"/>
    <w:pPr>
      <w:spacing w:before="120" w:after="120"/>
      <w:jc w:val="center"/>
    </w:pPr>
    <w:rPr>
      <w:lang w:eastAsia="en-US"/>
    </w:rPr>
  </w:style>
  <w:style w:type="paragraph" w:customStyle="1" w:styleId="NormalLeft">
    <w:name w:val="Normal Left"/>
    <w:basedOn w:val="Normal"/>
    <w:pPr>
      <w:spacing w:before="120" w:after="120"/>
    </w:pPr>
    <w:rPr>
      <w:lang w:eastAsia="en-US"/>
    </w:rPr>
  </w:style>
  <w:style w:type="paragraph" w:customStyle="1" w:styleId="NormalRight">
    <w:name w:val="Normal Right"/>
    <w:basedOn w:val="Normal"/>
    <w:pPr>
      <w:spacing w:before="120" w:after="120"/>
      <w:jc w:val="right"/>
    </w:pPr>
    <w:rPr>
      <w:lang w:eastAsia="en-US"/>
    </w:rPr>
  </w:style>
  <w:style w:type="paragraph" w:customStyle="1" w:styleId="QuotedText">
    <w:name w:val="Quoted Text"/>
    <w:basedOn w:val="Normal"/>
    <w:pPr>
      <w:spacing w:before="120" w:after="120"/>
      <w:ind w:left="1417"/>
      <w:jc w:val="both"/>
    </w:pPr>
    <w:rPr>
      <w:lang w:eastAsia="en-US"/>
    </w:rPr>
  </w:style>
  <w:style w:type="paragraph" w:customStyle="1" w:styleId="Point0">
    <w:name w:val="Point 0"/>
    <w:basedOn w:val="Normal"/>
    <w:pPr>
      <w:spacing w:before="120" w:after="120"/>
      <w:ind w:left="850" w:hanging="850"/>
      <w:jc w:val="both"/>
    </w:pPr>
    <w:rPr>
      <w:lang w:eastAsia="en-US"/>
    </w:rPr>
  </w:style>
  <w:style w:type="paragraph" w:customStyle="1" w:styleId="Point1">
    <w:name w:val="Point 1"/>
    <w:basedOn w:val="Normal"/>
    <w:pPr>
      <w:spacing w:before="120" w:after="120"/>
      <w:ind w:left="1417" w:hanging="567"/>
      <w:jc w:val="both"/>
    </w:pPr>
    <w:rPr>
      <w:lang w:eastAsia="en-US"/>
    </w:rPr>
  </w:style>
  <w:style w:type="paragraph" w:customStyle="1" w:styleId="Point2">
    <w:name w:val="Point 2"/>
    <w:basedOn w:val="Normal"/>
    <w:pPr>
      <w:spacing w:before="120" w:after="120"/>
      <w:ind w:left="1984" w:hanging="567"/>
      <w:jc w:val="both"/>
    </w:pPr>
    <w:rPr>
      <w:lang w:eastAsia="en-US"/>
    </w:rPr>
  </w:style>
  <w:style w:type="paragraph" w:customStyle="1" w:styleId="Point3">
    <w:name w:val="Point 3"/>
    <w:basedOn w:val="Normal"/>
    <w:pPr>
      <w:spacing w:before="120" w:after="120"/>
      <w:ind w:left="2551" w:hanging="567"/>
      <w:jc w:val="both"/>
    </w:pPr>
    <w:rPr>
      <w:lang w:eastAsia="en-US"/>
    </w:rPr>
  </w:style>
  <w:style w:type="paragraph" w:customStyle="1" w:styleId="Point4">
    <w:name w:val="Point 4"/>
    <w:basedOn w:val="Normal"/>
    <w:pPr>
      <w:spacing w:before="120" w:after="120"/>
      <w:ind w:left="3118" w:hanging="567"/>
      <w:jc w:val="both"/>
    </w:pPr>
    <w:rPr>
      <w:lang w:eastAsia="en-US"/>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ind w:left="1417" w:hanging="1417"/>
      <w:jc w:val="both"/>
    </w:pPr>
    <w:rPr>
      <w:lang w:eastAsia="en-US"/>
    </w:rPr>
  </w:style>
  <w:style w:type="paragraph" w:customStyle="1" w:styleId="PointDouble1">
    <w:name w:val="PointDouble 1"/>
    <w:basedOn w:val="Normal"/>
    <w:pPr>
      <w:tabs>
        <w:tab w:val="left" w:pos="1417"/>
      </w:tabs>
      <w:spacing w:before="120" w:after="120"/>
      <w:ind w:left="1984" w:hanging="1134"/>
      <w:jc w:val="both"/>
    </w:pPr>
    <w:rPr>
      <w:lang w:eastAsia="en-US"/>
    </w:rPr>
  </w:style>
  <w:style w:type="paragraph" w:customStyle="1" w:styleId="PointDouble2">
    <w:name w:val="PointDouble 2"/>
    <w:basedOn w:val="Normal"/>
    <w:pPr>
      <w:tabs>
        <w:tab w:val="left" w:pos="1984"/>
      </w:tabs>
      <w:spacing w:before="120" w:after="120"/>
      <w:ind w:left="2551" w:hanging="1134"/>
      <w:jc w:val="both"/>
    </w:pPr>
    <w:rPr>
      <w:lang w:eastAsia="en-US"/>
    </w:rPr>
  </w:style>
  <w:style w:type="paragraph" w:customStyle="1" w:styleId="PointDouble3">
    <w:name w:val="PointDouble 3"/>
    <w:basedOn w:val="Normal"/>
    <w:pPr>
      <w:tabs>
        <w:tab w:val="left" w:pos="2551"/>
      </w:tabs>
      <w:spacing w:before="120" w:after="120"/>
      <w:ind w:left="3118" w:hanging="1134"/>
      <w:jc w:val="both"/>
    </w:pPr>
    <w:rPr>
      <w:lang w:eastAsia="en-US"/>
    </w:rPr>
  </w:style>
  <w:style w:type="paragraph" w:customStyle="1" w:styleId="PointDouble4">
    <w:name w:val="PointDouble 4"/>
    <w:basedOn w:val="Normal"/>
    <w:pPr>
      <w:tabs>
        <w:tab w:val="left" w:pos="3118"/>
      </w:tabs>
      <w:spacing w:before="120" w:after="120"/>
      <w:ind w:left="3685" w:hanging="1134"/>
      <w:jc w:val="both"/>
    </w:pPr>
    <w:rPr>
      <w:lang w:eastAsia="en-US"/>
    </w:rPr>
  </w:style>
  <w:style w:type="paragraph" w:customStyle="1" w:styleId="PointTriple0">
    <w:name w:val="PointTriple 0"/>
    <w:basedOn w:val="Normal"/>
    <w:pPr>
      <w:tabs>
        <w:tab w:val="left" w:pos="850"/>
        <w:tab w:val="left" w:pos="1417"/>
      </w:tabs>
      <w:spacing w:before="120" w:after="120"/>
      <w:ind w:left="1984" w:hanging="1984"/>
      <w:jc w:val="both"/>
    </w:pPr>
    <w:rPr>
      <w:lang w:eastAsia="en-US"/>
    </w:rPr>
  </w:style>
  <w:style w:type="paragraph" w:customStyle="1" w:styleId="PointTriple1">
    <w:name w:val="PointTriple 1"/>
    <w:basedOn w:val="Normal"/>
    <w:pPr>
      <w:tabs>
        <w:tab w:val="left" w:pos="1417"/>
        <w:tab w:val="left" w:pos="1984"/>
      </w:tabs>
      <w:spacing w:before="120" w:after="120"/>
      <w:ind w:left="2551" w:hanging="1701"/>
      <w:jc w:val="both"/>
    </w:pPr>
    <w:rPr>
      <w:lang w:eastAsia="en-US"/>
    </w:rPr>
  </w:style>
  <w:style w:type="paragraph" w:customStyle="1" w:styleId="PointTriple2">
    <w:name w:val="PointTriple 2"/>
    <w:basedOn w:val="Normal"/>
    <w:pPr>
      <w:tabs>
        <w:tab w:val="left" w:pos="1984"/>
        <w:tab w:val="left" w:pos="2551"/>
      </w:tabs>
      <w:spacing w:before="120" w:after="120"/>
      <w:ind w:left="3118" w:hanging="1701"/>
      <w:jc w:val="both"/>
    </w:pPr>
    <w:rPr>
      <w:lang w:eastAsia="en-US"/>
    </w:rPr>
  </w:style>
  <w:style w:type="paragraph" w:customStyle="1" w:styleId="PointTriple3">
    <w:name w:val="PointTriple 3"/>
    <w:basedOn w:val="Normal"/>
    <w:pPr>
      <w:tabs>
        <w:tab w:val="left" w:pos="2551"/>
        <w:tab w:val="left" w:pos="3118"/>
      </w:tabs>
      <w:spacing w:before="120" w:after="120"/>
      <w:ind w:left="3685" w:hanging="1701"/>
      <w:jc w:val="both"/>
    </w:pPr>
    <w:rPr>
      <w:lang w:eastAsia="en-US"/>
    </w:rPr>
  </w:style>
  <w:style w:type="paragraph" w:customStyle="1" w:styleId="PointTriple4">
    <w:name w:val="PointTriple 4"/>
    <w:basedOn w:val="Normal"/>
    <w:pPr>
      <w:tabs>
        <w:tab w:val="left" w:pos="3118"/>
        <w:tab w:val="left" w:pos="3685"/>
      </w:tabs>
      <w:spacing w:before="120" w:after="120"/>
      <w:ind w:left="4252" w:hanging="1701"/>
      <w:jc w:val="both"/>
    </w:pPr>
    <w:rPr>
      <w:lang w:eastAsia="en-US"/>
    </w:rPr>
  </w:style>
  <w:style w:type="paragraph" w:customStyle="1" w:styleId="NumPar1">
    <w:name w:val="NumPar 1"/>
    <w:basedOn w:val="Normal"/>
    <w:next w:val="Text1"/>
    <w:pPr>
      <w:numPr>
        <w:numId w:val="6"/>
      </w:numPr>
      <w:spacing w:before="120" w:after="120"/>
      <w:jc w:val="both"/>
    </w:pPr>
    <w:rPr>
      <w:lang w:eastAsia="en-US"/>
    </w:rPr>
  </w:style>
  <w:style w:type="paragraph" w:customStyle="1" w:styleId="NumPar2">
    <w:name w:val="NumPar 2"/>
    <w:basedOn w:val="Normal"/>
    <w:next w:val="Text1"/>
    <w:pPr>
      <w:numPr>
        <w:ilvl w:val="1"/>
        <w:numId w:val="6"/>
      </w:numPr>
      <w:spacing w:before="120" w:after="120"/>
      <w:jc w:val="both"/>
    </w:pPr>
    <w:rPr>
      <w:lang w:eastAsia="en-US"/>
    </w:rPr>
  </w:style>
  <w:style w:type="paragraph" w:customStyle="1" w:styleId="NumPar3">
    <w:name w:val="NumPar 3"/>
    <w:basedOn w:val="Normal"/>
    <w:next w:val="Text1"/>
    <w:pPr>
      <w:numPr>
        <w:ilvl w:val="2"/>
        <w:numId w:val="6"/>
      </w:numPr>
      <w:spacing w:before="120" w:after="120"/>
      <w:jc w:val="both"/>
    </w:pPr>
    <w:rPr>
      <w:lang w:eastAsia="en-US"/>
    </w:rPr>
  </w:style>
  <w:style w:type="paragraph" w:customStyle="1" w:styleId="NumPar4">
    <w:name w:val="NumPar 4"/>
    <w:basedOn w:val="Normal"/>
    <w:next w:val="Text1"/>
    <w:pPr>
      <w:numPr>
        <w:ilvl w:val="3"/>
        <w:numId w:val="6"/>
      </w:numPr>
      <w:spacing w:before="120" w:after="120"/>
      <w:jc w:val="both"/>
    </w:pPr>
    <w:rPr>
      <w:lang w:eastAsia="en-US"/>
    </w:rPr>
  </w:style>
  <w:style w:type="paragraph" w:customStyle="1" w:styleId="ManualNumPar1">
    <w:name w:val="Manual NumPar 1"/>
    <w:basedOn w:val="Normal"/>
    <w:next w:val="Text1"/>
    <w:pPr>
      <w:spacing w:before="120" w:after="120"/>
      <w:ind w:left="850" w:hanging="850"/>
      <w:jc w:val="both"/>
    </w:pPr>
    <w:rPr>
      <w:lang w:eastAsia="en-US"/>
    </w:rPr>
  </w:style>
  <w:style w:type="paragraph" w:customStyle="1" w:styleId="ManualNumPar2">
    <w:name w:val="Manual NumPar 2"/>
    <w:basedOn w:val="Normal"/>
    <w:next w:val="Text1"/>
    <w:pPr>
      <w:spacing w:before="120" w:after="120"/>
      <w:ind w:left="850" w:hanging="850"/>
      <w:jc w:val="both"/>
    </w:pPr>
    <w:rPr>
      <w:lang w:eastAsia="en-US"/>
    </w:rPr>
  </w:style>
  <w:style w:type="paragraph" w:customStyle="1" w:styleId="ManualNumPar3">
    <w:name w:val="Manual NumPar 3"/>
    <w:basedOn w:val="Normal"/>
    <w:next w:val="Text1"/>
    <w:pPr>
      <w:spacing w:before="120" w:after="120"/>
      <w:ind w:left="850" w:hanging="850"/>
      <w:jc w:val="both"/>
    </w:pPr>
    <w:rPr>
      <w:lang w:eastAsia="en-US"/>
    </w:rPr>
  </w:style>
  <w:style w:type="paragraph" w:customStyle="1" w:styleId="ManualNumPar4">
    <w:name w:val="Manual NumPar 4"/>
    <w:basedOn w:val="Normal"/>
    <w:next w:val="Text1"/>
    <w:pPr>
      <w:spacing w:before="120" w:after="120"/>
      <w:ind w:left="850" w:hanging="850"/>
      <w:jc w:val="both"/>
    </w:pPr>
    <w:rPr>
      <w:lang w:eastAsia="en-US"/>
    </w:rPr>
  </w:style>
  <w:style w:type="paragraph" w:customStyle="1" w:styleId="QuotedNumPar">
    <w:name w:val="Quoted NumPar"/>
    <w:basedOn w:val="Normal"/>
    <w:pPr>
      <w:spacing w:before="120" w:after="120"/>
      <w:ind w:left="1417" w:hanging="567"/>
      <w:jc w:val="both"/>
    </w:pPr>
    <w:rPr>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b/>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i/>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lang w:eastAsia="en-US"/>
    </w:rPr>
  </w:style>
  <w:style w:type="paragraph" w:customStyle="1" w:styleId="ChapterTitle">
    <w:name w:val="ChapterTitle"/>
    <w:basedOn w:val="Normal"/>
    <w:next w:val="Normal"/>
    <w:pPr>
      <w:keepNext/>
      <w:spacing w:before="120" w:after="360"/>
      <w:jc w:val="center"/>
    </w:pPr>
    <w:rPr>
      <w:b/>
      <w:sz w:val="32"/>
      <w:lang w:eastAsia="en-US"/>
    </w:rPr>
  </w:style>
  <w:style w:type="paragraph" w:customStyle="1" w:styleId="PartTitle">
    <w:name w:val="PartTitle"/>
    <w:basedOn w:val="Normal"/>
    <w:next w:val="ChapterTitle"/>
    <w:pPr>
      <w:keepNext/>
      <w:pageBreakBefore/>
      <w:spacing w:before="120" w:after="360"/>
      <w:jc w:val="center"/>
    </w:pPr>
    <w:rPr>
      <w:b/>
      <w:sz w:val="36"/>
      <w:lang w:eastAsia="en-US"/>
    </w:rPr>
  </w:style>
  <w:style w:type="paragraph" w:customStyle="1" w:styleId="SectionTitle">
    <w:name w:val="SectionTitle"/>
    <w:basedOn w:val="Normal"/>
    <w:next w:val="Heading1"/>
    <w:pPr>
      <w:keepNext/>
      <w:spacing w:before="120" w:after="360"/>
      <w:jc w:val="center"/>
    </w:pPr>
    <w:rPr>
      <w:b/>
      <w:smallCaps/>
      <w:sz w:val="28"/>
      <w:lang w:eastAsia="en-US"/>
    </w:rPr>
  </w:style>
  <w:style w:type="paragraph" w:customStyle="1" w:styleId="TableTitle">
    <w:name w:val="Table Title"/>
    <w:basedOn w:val="Normal"/>
    <w:next w:val="Normal"/>
    <w:pPr>
      <w:spacing w:before="120" w:after="120"/>
      <w:jc w:val="center"/>
    </w:pPr>
    <w:rPr>
      <w:b/>
      <w:lang w:eastAsia="en-US"/>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qFormat/>
    <w:pPr>
      <w:spacing w:before="120" w:after="240"/>
      <w:jc w:val="center"/>
    </w:pPr>
    <w:rPr>
      <w:b/>
      <w:sz w:val="28"/>
      <w:lang w:eastAsia="en-US"/>
    </w:rPr>
  </w:style>
  <w:style w:type="paragraph" w:customStyle="1" w:styleId="Point0number">
    <w:name w:val="Point 0 (number)"/>
    <w:basedOn w:val="Normal"/>
    <w:pPr>
      <w:numPr>
        <w:numId w:val="7"/>
      </w:numPr>
      <w:spacing w:before="120" w:after="120"/>
      <w:jc w:val="both"/>
    </w:pPr>
    <w:rPr>
      <w:lang w:eastAsia="en-US"/>
    </w:rPr>
  </w:style>
  <w:style w:type="paragraph" w:customStyle="1" w:styleId="Point1number">
    <w:name w:val="Point 1 (number)"/>
    <w:basedOn w:val="Normal"/>
    <w:pPr>
      <w:numPr>
        <w:ilvl w:val="2"/>
        <w:numId w:val="7"/>
      </w:numPr>
      <w:spacing w:before="120" w:after="120"/>
      <w:jc w:val="both"/>
    </w:pPr>
    <w:rPr>
      <w:lang w:eastAsia="en-US"/>
    </w:rPr>
  </w:style>
  <w:style w:type="paragraph" w:customStyle="1" w:styleId="Point2number">
    <w:name w:val="Point 2 (number)"/>
    <w:basedOn w:val="Normal"/>
    <w:pPr>
      <w:numPr>
        <w:ilvl w:val="4"/>
        <w:numId w:val="7"/>
      </w:numPr>
      <w:spacing w:before="120" w:after="120"/>
      <w:jc w:val="both"/>
    </w:pPr>
    <w:rPr>
      <w:lang w:eastAsia="en-US"/>
    </w:rPr>
  </w:style>
  <w:style w:type="paragraph" w:customStyle="1" w:styleId="Point3number">
    <w:name w:val="Point 3 (number)"/>
    <w:basedOn w:val="Normal"/>
    <w:pPr>
      <w:numPr>
        <w:ilvl w:val="6"/>
        <w:numId w:val="7"/>
      </w:numPr>
      <w:spacing w:before="120" w:after="120"/>
      <w:jc w:val="both"/>
    </w:pPr>
    <w:rPr>
      <w:lang w:eastAsia="en-US"/>
    </w:rPr>
  </w:style>
  <w:style w:type="paragraph" w:customStyle="1" w:styleId="Point0letter">
    <w:name w:val="Point 0 (letter)"/>
    <w:basedOn w:val="Normal"/>
    <w:pPr>
      <w:numPr>
        <w:ilvl w:val="1"/>
        <w:numId w:val="7"/>
      </w:numPr>
      <w:spacing w:before="120" w:after="120"/>
      <w:jc w:val="both"/>
    </w:pPr>
    <w:rPr>
      <w:lang w:eastAsia="en-US"/>
    </w:rPr>
  </w:style>
  <w:style w:type="paragraph" w:customStyle="1" w:styleId="Point1letter">
    <w:name w:val="Point 1 (letter)"/>
    <w:basedOn w:val="Normal"/>
    <w:pPr>
      <w:numPr>
        <w:ilvl w:val="3"/>
        <w:numId w:val="7"/>
      </w:numPr>
      <w:spacing w:before="120" w:after="120"/>
      <w:jc w:val="both"/>
    </w:pPr>
    <w:rPr>
      <w:lang w:eastAsia="en-US"/>
    </w:rPr>
  </w:style>
  <w:style w:type="paragraph" w:customStyle="1" w:styleId="Point2letter">
    <w:name w:val="Point 2 (letter)"/>
    <w:basedOn w:val="Normal"/>
    <w:pPr>
      <w:numPr>
        <w:ilvl w:val="5"/>
        <w:numId w:val="7"/>
      </w:numPr>
      <w:spacing w:before="120" w:after="120"/>
      <w:jc w:val="both"/>
    </w:pPr>
    <w:rPr>
      <w:lang w:eastAsia="en-US"/>
    </w:rPr>
  </w:style>
  <w:style w:type="paragraph" w:customStyle="1" w:styleId="Point3letter">
    <w:name w:val="Point 3 (letter)"/>
    <w:basedOn w:val="Normal"/>
    <w:pPr>
      <w:numPr>
        <w:ilvl w:val="7"/>
        <w:numId w:val="7"/>
      </w:numPr>
      <w:spacing w:before="120" w:after="120"/>
      <w:jc w:val="both"/>
    </w:pPr>
    <w:rPr>
      <w:lang w:eastAsia="en-US"/>
    </w:rPr>
  </w:style>
  <w:style w:type="paragraph" w:customStyle="1" w:styleId="Point4letter">
    <w:name w:val="Point 4 (letter)"/>
    <w:basedOn w:val="Normal"/>
    <w:pPr>
      <w:numPr>
        <w:ilvl w:val="8"/>
        <w:numId w:val="7"/>
      </w:numPr>
      <w:spacing w:before="120" w:after="120"/>
      <w:jc w:val="both"/>
    </w:pPr>
    <w:rPr>
      <w:lang w:eastAsia="en-US"/>
    </w:rPr>
  </w:style>
  <w:style w:type="paragraph" w:customStyle="1" w:styleId="Bullet0">
    <w:name w:val="Bullet 0"/>
    <w:basedOn w:val="Normal"/>
    <w:pPr>
      <w:numPr>
        <w:numId w:val="8"/>
      </w:numPr>
      <w:spacing w:before="120" w:after="120"/>
      <w:jc w:val="both"/>
    </w:pPr>
    <w:rPr>
      <w:lang w:eastAsia="en-US"/>
    </w:rPr>
  </w:style>
  <w:style w:type="paragraph" w:customStyle="1" w:styleId="Bullet1">
    <w:name w:val="Bullet 1"/>
    <w:basedOn w:val="Normal"/>
    <w:pPr>
      <w:numPr>
        <w:numId w:val="9"/>
      </w:numPr>
      <w:spacing w:before="120" w:after="120"/>
      <w:jc w:val="both"/>
    </w:pPr>
    <w:rPr>
      <w:lang w:eastAsia="en-US"/>
    </w:rPr>
  </w:style>
  <w:style w:type="paragraph" w:customStyle="1" w:styleId="Bullet2">
    <w:name w:val="Bullet 2"/>
    <w:basedOn w:val="Normal"/>
    <w:pPr>
      <w:numPr>
        <w:numId w:val="10"/>
      </w:numPr>
      <w:spacing w:before="120" w:after="120"/>
      <w:jc w:val="both"/>
    </w:pPr>
    <w:rPr>
      <w:lang w:eastAsia="en-US"/>
    </w:rPr>
  </w:style>
  <w:style w:type="paragraph" w:customStyle="1" w:styleId="Bullet3">
    <w:name w:val="Bullet 3"/>
    <w:basedOn w:val="Normal"/>
    <w:pPr>
      <w:numPr>
        <w:numId w:val="11"/>
      </w:numPr>
      <w:spacing w:before="120" w:after="120"/>
      <w:jc w:val="both"/>
    </w:pPr>
    <w:rPr>
      <w:lang w:eastAsia="en-US"/>
    </w:rPr>
  </w:style>
  <w:style w:type="paragraph" w:customStyle="1" w:styleId="Bullet4">
    <w:name w:val="Bullet 4"/>
    <w:basedOn w:val="Normal"/>
    <w:pPr>
      <w:numPr>
        <w:numId w:val="12"/>
      </w:numPr>
      <w:spacing w:before="120" w:after="120"/>
      <w:jc w:val="both"/>
    </w:pPr>
    <w:rPr>
      <w:lang w:eastAsia="en-US"/>
    </w:rPr>
  </w:style>
  <w:style w:type="paragraph" w:customStyle="1" w:styleId="Annexetitreexpos">
    <w:name w:val="Annexe titre (exposé)"/>
    <w:basedOn w:val="Normal"/>
    <w:next w:val="Normal"/>
    <w:pPr>
      <w:spacing w:before="120" w:after="120"/>
      <w:jc w:val="center"/>
    </w:pPr>
    <w:rPr>
      <w:b/>
      <w:u w:val="single"/>
      <w:lang w:eastAsia="en-US"/>
    </w:rPr>
  </w:style>
  <w:style w:type="paragraph" w:customStyle="1" w:styleId="Annexetitrefichefinancire">
    <w:name w:val="Annexe titre (fiche financière)"/>
    <w:basedOn w:val="Normal"/>
    <w:next w:val="Normal"/>
    <w:pPr>
      <w:spacing w:before="120" w:after="120"/>
      <w:jc w:val="center"/>
    </w:pPr>
    <w:rPr>
      <w:b/>
      <w:u w:val="single"/>
      <w:lang w:eastAsia="en-US"/>
    </w:rPr>
  </w:style>
  <w:style w:type="paragraph" w:customStyle="1" w:styleId="Applicationdirecte">
    <w:name w:val="Application directe"/>
    <w:basedOn w:val="Normal"/>
    <w:next w:val="Fait"/>
    <w:pPr>
      <w:spacing w:before="480" w:after="120"/>
      <w:jc w:val="both"/>
    </w:pPr>
    <w:rPr>
      <w:lang w:eastAsia="en-US"/>
    </w:rPr>
  </w:style>
  <w:style w:type="paragraph" w:customStyle="1" w:styleId="Avertissementtitre">
    <w:name w:val="Avertissement titre"/>
    <w:basedOn w:val="Normal"/>
    <w:next w:val="Normal"/>
    <w:pPr>
      <w:keepNext/>
      <w:spacing w:before="480" w:after="120"/>
      <w:jc w:val="both"/>
    </w:pPr>
    <w:rPr>
      <w:u w:val="single"/>
      <w:lang w:eastAsia="en-US"/>
    </w:rPr>
  </w:style>
  <w:style w:type="paragraph" w:customStyle="1" w:styleId="Confidence">
    <w:name w:val="Confidence"/>
    <w:basedOn w:val="Normal"/>
    <w:next w:val="Normal"/>
    <w:pPr>
      <w:spacing w:before="360" w:after="120"/>
      <w:jc w:val="center"/>
    </w:pPr>
    <w:rPr>
      <w:lang w:eastAsia="en-US"/>
    </w:rPr>
  </w:style>
  <w:style w:type="paragraph" w:customStyle="1" w:styleId="Confidentialit">
    <w:name w:val="Confidentialité"/>
    <w:basedOn w:val="Normal"/>
    <w:next w:val="TypedudocumentPagedecouverture"/>
    <w:pPr>
      <w:spacing w:before="240" w:after="240"/>
      <w:ind w:left="5103"/>
      <w:jc w:val="both"/>
    </w:pPr>
    <w:rPr>
      <w:i/>
      <w:sz w:val="32"/>
      <w:lang w:eastAsia="en-US"/>
    </w:rPr>
  </w:style>
  <w:style w:type="paragraph" w:customStyle="1" w:styleId="Considrant">
    <w:name w:val="Considérant"/>
    <w:basedOn w:val="Normal"/>
    <w:pPr>
      <w:numPr>
        <w:numId w:val="13"/>
      </w:numPr>
      <w:spacing w:before="120" w:after="120"/>
      <w:jc w:val="both"/>
    </w:pPr>
    <w:rPr>
      <w:lang w:eastAsia="en-US"/>
    </w:rPr>
  </w:style>
  <w:style w:type="paragraph" w:customStyle="1" w:styleId="Corrigendum">
    <w:name w:val="Corrigendum"/>
    <w:basedOn w:val="Normal"/>
    <w:next w:val="Normal"/>
    <w:pPr>
      <w:spacing w:after="240"/>
    </w:pPr>
    <w:rPr>
      <w:lang w:eastAsia="en-US"/>
    </w:rPr>
  </w:style>
  <w:style w:type="paragraph" w:customStyle="1" w:styleId="Datedadoption">
    <w:name w:val="Date d'adoption"/>
    <w:basedOn w:val="Normal"/>
    <w:next w:val="Titreobjet"/>
    <w:pPr>
      <w:spacing w:before="360"/>
      <w:jc w:val="center"/>
    </w:pPr>
    <w:rPr>
      <w:b/>
      <w:lang w:eastAsia="en-US"/>
    </w:rPr>
  </w:style>
  <w:style w:type="paragraph" w:customStyle="1" w:styleId="Emission">
    <w:name w:val="Emission"/>
    <w:basedOn w:val="Normal"/>
    <w:next w:val="Rfrenceinstitutionnelle"/>
    <w:pPr>
      <w:ind w:left="5103"/>
    </w:pPr>
    <w:rPr>
      <w:lang w:eastAsia="en-US"/>
    </w:rPr>
  </w:style>
  <w:style w:type="paragraph" w:customStyle="1" w:styleId="Exposdesmotifstitre">
    <w:name w:val="Exposé des motifs titre"/>
    <w:basedOn w:val="Normal"/>
    <w:next w:val="Normal"/>
    <w:pPr>
      <w:spacing w:before="120" w:after="120"/>
      <w:jc w:val="center"/>
    </w:pPr>
    <w:rPr>
      <w:b/>
      <w:u w:val="single"/>
      <w:lang w:eastAsia="en-US"/>
    </w:rPr>
  </w:style>
  <w:style w:type="paragraph" w:customStyle="1" w:styleId="Fait">
    <w:name w:val="Fait à"/>
    <w:basedOn w:val="Normal"/>
    <w:next w:val="Institutionquisigne"/>
    <w:pPr>
      <w:keepNext/>
      <w:spacing w:before="120"/>
      <w:jc w:val="both"/>
    </w:pPr>
    <w:rPr>
      <w:lang w:eastAsia="en-US"/>
    </w:rPr>
  </w:style>
  <w:style w:type="paragraph" w:customStyle="1" w:styleId="Formuledadoption">
    <w:name w:val="Formule d'adoption"/>
    <w:basedOn w:val="Normal"/>
    <w:next w:val="Titrearticle"/>
    <w:pPr>
      <w:keepNext/>
      <w:spacing w:before="120" w:after="120"/>
      <w:jc w:val="both"/>
    </w:pPr>
    <w:rPr>
      <w:lang w:eastAsia="en-US"/>
    </w:rPr>
  </w:style>
  <w:style w:type="paragraph" w:customStyle="1" w:styleId="Institutionquiagit">
    <w:name w:val="Institution qui agit"/>
    <w:basedOn w:val="Normal"/>
    <w:next w:val="Normal"/>
    <w:pPr>
      <w:keepNext/>
      <w:spacing w:before="600" w:after="120"/>
      <w:jc w:val="both"/>
    </w:pPr>
    <w:rPr>
      <w:lang w:eastAsia="en-US"/>
    </w:rPr>
  </w:style>
  <w:style w:type="paragraph" w:customStyle="1" w:styleId="Institutionquisigne">
    <w:name w:val="Institution qui signe"/>
    <w:basedOn w:val="Normal"/>
    <w:next w:val="Personnequisigne"/>
    <w:pPr>
      <w:keepNext/>
      <w:tabs>
        <w:tab w:val="left" w:pos="4252"/>
      </w:tabs>
      <w:spacing w:before="720"/>
      <w:jc w:val="both"/>
    </w:pPr>
    <w:rPr>
      <w:i/>
      <w:lang w:eastAsia="en-US"/>
    </w:rPr>
  </w:style>
  <w:style w:type="paragraph" w:customStyle="1" w:styleId="Langue">
    <w:name w:val="Langue"/>
    <w:basedOn w:val="Normal"/>
    <w:next w:val="Rfrenceinterne"/>
    <w:pPr>
      <w:framePr w:wrap="around" w:vAnchor="page" w:hAnchor="text" w:xAlign="center" w:y="14741"/>
      <w:spacing w:after="600"/>
      <w:jc w:val="center"/>
    </w:pPr>
    <w:rPr>
      <w:b/>
      <w:caps/>
      <w:lang w:eastAsia="en-US"/>
    </w:rPr>
  </w:style>
  <w:style w:type="paragraph" w:customStyle="1" w:styleId="ManualConsidrant">
    <w:name w:val="Manual Considérant"/>
    <w:basedOn w:val="Normal"/>
    <w:pPr>
      <w:spacing w:before="120" w:after="120"/>
      <w:ind w:left="709" w:hanging="709"/>
      <w:jc w:val="both"/>
    </w:pPr>
    <w:rPr>
      <w:lang w:eastAsia="en-US"/>
    </w:rPr>
  </w:style>
  <w:style w:type="paragraph" w:customStyle="1" w:styleId="Nomdelinstitution">
    <w:name w:val="Nom de l'institution"/>
    <w:basedOn w:val="Normal"/>
    <w:next w:val="Emission"/>
    <w:rPr>
      <w:rFonts w:ascii="Arial" w:hAnsi="Arial" w:cs="Arial"/>
      <w:lang w:eastAsia="en-US"/>
    </w:rPr>
  </w:style>
  <w:style w:type="paragraph" w:customStyle="1" w:styleId="Personnequisigne">
    <w:name w:val="Personne qui signe"/>
    <w:basedOn w:val="Normal"/>
    <w:next w:val="Institutionquisigne"/>
    <w:pPr>
      <w:tabs>
        <w:tab w:val="left" w:pos="4252"/>
      </w:tabs>
    </w:pPr>
    <w:rPr>
      <w:i/>
      <w:lang w:eastAsia="en-US"/>
    </w:rPr>
  </w:style>
  <w:style w:type="paragraph" w:customStyle="1" w:styleId="Rfrenceinstitutionnelle">
    <w:name w:val="Référence institutionnelle"/>
    <w:basedOn w:val="Normal"/>
    <w:next w:val="Confidentialit"/>
    <w:pPr>
      <w:spacing w:after="240"/>
      <w:ind w:left="5103"/>
    </w:pPr>
    <w:rPr>
      <w:lang w:eastAsia="en-US"/>
    </w:rPr>
  </w:style>
  <w:style w:type="paragraph" w:customStyle="1" w:styleId="Rfrenceinterinstitutionnelle">
    <w:name w:val="Référence interinstitutionnelle"/>
    <w:basedOn w:val="Normal"/>
    <w:next w:val="Statut"/>
    <w:pPr>
      <w:ind w:left="5103"/>
    </w:pPr>
    <w:rPr>
      <w:lang w:eastAsia="en-US"/>
    </w:rPr>
  </w:style>
  <w:style w:type="paragraph" w:customStyle="1" w:styleId="Rfrenceinterne">
    <w:name w:val="Référence interne"/>
    <w:basedOn w:val="Normal"/>
    <w:next w:val="Rfrenceinterinstitutionnelle"/>
    <w:pPr>
      <w:ind w:left="5103"/>
    </w:pPr>
    <w:rPr>
      <w:lang w:eastAsia="en-US"/>
    </w:rPr>
  </w:style>
  <w:style w:type="paragraph" w:customStyle="1" w:styleId="Sous-titreobjet">
    <w:name w:val="Sous-titre objet"/>
    <w:basedOn w:val="Normal"/>
    <w:pPr>
      <w:jc w:val="center"/>
    </w:pPr>
    <w:rPr>
      <w:b/>
      <w:lang w:eastAsia="en-US"/>
    </w:rPr>
  </w:style>
  <w:style w:type="paragraph" w:customStyle="1" w:styleId="Statut">
    <w:name w:val="Statut"/>
    <w:basedOn w:val="Normal"/>
    <w:next w:val="Typedudocument"/>
    <w:pPr>
      <w:spacing w:before="360"/>
      <w:jc w:val="center"/>
    </w:pPr>
    <w:rPr>
      <w:lang w:eastAsia="en-US"/>
    </w:rPr>
  </w:style>
  <w:style w:type="paragraph" w:customStyle="1" w:styleId="Titrearticle">
    <w:name w:val="Titre article"/>
    <w:basedOn w:val="Normal"/>
    <w:next w:val="Normal"/>
    <w:pPr>
      <w:keepNext/>
      <w:spacing w:before="360" w:after="120"/>
      <w:jc w:val="center"/>
    </w:pPr>
    <w:rPr>
      <w:i/>
      <w:lang w:eastAsia="en-US"/>
    </w:rPr>
  </w:style>
  <w:style w:type="paragraph" w:customStyle="1" w:styleId="Titreobjet">
    <w:name w:val="Titre objet"/>
    <w:basedOn w:val="Normal"/>
    <w:next w:val="Sous-titreobjet"/>
    <w:pPr>
      <w:spacing w:before="360" w:after="360"/>
      <w:jc w:val="center"/>
    </w:pPr>
    <w:rPr>
      <w:b/>
      <w:lang w:eastAsia="en-US"/>
    </w:rPr>
  </w:style>
  <w:style w:type="paragraph" w:customStyle="1" w:styleId="Typedudocument">
    <w:name w:val="Type du document"/>
    <w:basedOn w:val="Normal"/>
    <w:next w:val="Titreobjet"/>
    <w:pPr>
      <w:spacing w:before="360"/>
      <w:jc w:val="center"/>
    </w:pPr>
    <w:rPr>
      <w:b/>
      <w:lang w:eastAsia="en-US"/>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lang w:eastAsia="en-US"/>
    </w:rPr>
  </w:style>
  <w:style w:type="paragraph" w:customStyle="1" w:styleId="Objetexterne">
    <w:name w:val="Objet externe"/>
    <w:basedOn w:val="Normal"/>
    <w:next w:val="Normal"/>
    <w:pPr>
      <w:spacing w:before="120" w:after="120"/>
      <w:jc w:val="both"/>
    </w:pPr>
    <w:rPr>
      <w:i/>
      <w:caps/>
      <w:lang w:eastAsia="en-US"/>
    </w:rPr>
  </w:style>
  <w:style w:type="paragraph" w:customStyle="1" w:styleId="Supertitre">
    <w:name w:val="Supertitre"/>
    <w:basedOn w:val="Normal"/>
    <w:next w:val="Normal"/>
    <w:pPr>
      <w:spacing w:after="600"/>
      <w:jc w:val="center"/>
    </w:pPr>
    <w:rPr>
      <w:b/>
      <w:lang w:eastAsia="en-US"/>
    </w:rPr>
  </w:style>
  <w:style w:type="paragraph" w:customStyle="1" w:styleId="Languesfaisantfoi">
    <w:name w:val="Langues faisant foi"/>
    <w:basedOn w:val="Normal"/>
    <w:next w:val="Normal"/>
    <w:pPr>
      <w:spacing w:before="360"/>
      <w:jc w:val="center"/>
    </w:pPr>
    <w:rPr>
      <w:lang w:eastAsia="en-US"/>
    </w:rPr>
  </w:style>
  <w:style w:type="paragraph" w:customStyle="1" w:styleId="Rfrencecroise">
    <w:name w:val="Référence croisée"/>
    <w:basedOn w:val="Normal"/>
    <w:pPr>
      <w:jc w:val="center"/>
    </w:pPr>
    <w:rPr>
      <w:lang w:eastAsia="en-US"/>
    </w:rPr>
  </w:style>
  <w:style w:type="paragraph" w:customStyle="1" w:styleId="Fichefinanciretitre">
    <w:name w:val="Fiche financière titre"/>
    <w:basedOn w:val="Normal"/>
    <w:next w:val="Normal"/>
    <w:pPr>
      <w:spacing w:before="120" w:after="120"/>
      <w:jc w:val="center"/>
    </w:pPr>
    <w:rPr>
      <w:b/>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b/>
      <w:i/>
      <w:lang w:eastAsia="en-US"/>
    </w:rPr>
  </w:style>
  <w:style w:type="paragraph" w:customStyle="1" w:styleId="Typeacteprincipal">
    <w:name w:val="Type acte principal"/>
    <w:basedOn w:val="Normal"/>
    <w:next w:val="Objetacteprincipal"/>
    <w:pPr>
      <w:spacing w:after="240"/>
      <w:jc w:val="center"/>
    </w:pPr>
    <w:rPr>
      <w:b/>
      <w:lang w:eastAsia="en-US"/>
    </w:rPr>
  </w:style>
  <w:style w:type="paragraph" w:customStyle="1" w:styleId="Objetacteprincipal">
    <w:name w:val="Objet acte principal"/>
    <w:basedOn w:val="Normal"/>
    <w:next w:val="Titrearticle"/>
    <w:pPr>
      <w:spacing w:after="360"/>
      <w:jc w:val="center"/>
    </w:pPr>
    <w:rPr>
      <w:b/>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lang w:eastAsia="en-US"/>
    </w:rPr>
  </w:style>
  <w:style w:type="paragraph" w:styleId="ListBullet">
    <w:name w:val="List Bullet"/>
    <w:basedOn w:val="Normal"/>
    <w:pPr>
      <w:numPr>
        <w:numId w:val="22"/>
      </w:numPr>
      <w:spacing w:before="120" w:after="120"/>
      <w:jc w:val="both"/>
    </w:pPr>
    <w:rPr>
      <w:lang w:eastAsia="de-DE"/>
    </w:rPr>
  </w:style>
  <w:style w:type="paragraph" w:styleId="ListBullet2">
    <w:name w:val="List Bullet 2"/>
    <w:basedOn w:val="Normal"/>
    <w:pPr>
      <w:numPr>
        <w:numId w:val="24"/>
      </w:numPr>
      <w:spacing w:before="120" w:after="120"/>
      <w:jc w:val="both"/>
    </w:pPr>
    <w:rPr>
      <w:lang w:eastAsia="de-DE"/>
    </w:rPr>
  </w:style>
  <w:style w:type="paragraph" w:styleId="ListBullet3">
    <w:name w:val="List Bullet 3"/>
    <w:basedOn w:val="Normal"/>
    <w:pPr>
      <w:numPr>
        <w:numId w:val="25"/>
      </w:numPr>
      <w:spacing w:before="120" w:after="120"/>
      <w:jc w:val="both"/>
    </w:pPr>
    <w:rPr>
      <w:lang w:eastAsia="de-DE"/>
    </w:rPr>
  </w:style>
  <w:style w:type="paragraph" w:styleId="ListBullet4">
    <w:name w:val="List Bullet 4"/>
    <w:basedOn w:val="Normal"/>
    <w:pPr>
      <w:numPr>
        <w:numId w:val="26"/>
      </w:numPr>
      <w:spacing w:before="120" w:after="120"/>
      <w:jc w:val="both"/>
    </w:pPr>
    <w:rPr>
      <w:lang w:eastAsia="de-DE"/>
    </w:rPr>
  </w:style>
  <w:style w:type="paragraph" w:styleId="ListNumber">
    <w:name w:val="List Number"/>
    <w:basedOn w:val="Normal"/>
    <w:pPr>
      <w:numPr>
        <w:numId w:val="17"/>
      </w:numPr>
      <w:spacing w:before="120" w:after="120"/>
      <w:jc w:val="both"/>
    </w:pPr>
    <w:rPr>
      <w:lang w:eastAsia="de-DE"/>
    </w:rPr>
  </w:style>
  <w:style w:type="paragraph" w:styleId="ListNumber2">
    <w:name w:val="List Number 2"/>
    <w:basedOn w:val="Normal"/>
    <w:pPr>
      <w:numPr>
        <w:numId w:val="19"/>
      </w:numPr>
      <w:spacing w:before="120" w:after="120"/>
      <w:jc w:val="both"/>
    </w:pPr>
    <w:rPr>
      <w:lang w:eastAsia="de-DE"/>
    </w:rPr>
  </w:style>
  <w:style w:type="paragraph" w:styleId="ListNumber3">
    <w:name w:val="List Number 3"/>
    <w:basedOn w:val="Normal"/>
    <w:pPr>
      <w:numPr>
        <w:numId w:val="20"/>
      </w:numPr>
      <w:spacing w:before="120" w:after="120"/>
      <w:jc w:val="both"/>
    </w:pPr>
    <w:rPr>
      <w:lang w:eastAsia="de-DE"/>
    </w:rPr>
  </w:style>
  <w:style w:type="paragraph" w:styleId="ListNumber4">
    <w:name w:val="List Number 4"/>
    <w:basedOn w:val="Normal"/>
    <w:pPr>
      <w:numPr>
        <w:numId w:val="21"/>
      </w:numPr>
      <w:spacing w:before="120" w:after="120"/>
      <w:jc w:val="both"/>
    </w:pPr>
    <w:rPr>
      <w:lang w:eastAsia="de-DE"/>
    </w:rPr>
  </w:style>
  <w:style w:type="paragraph" w:customStyle="1" w:styleId="ListBullet1">
    <w:name w:val="List Bullet 1"/>
    <w:basedOn w:val="Normal"/>
    <w:pPr>
      <w:numPr>
        <w:numId w:val="23"/>
      </w:numPr>
      <w:spacing w:before="120" w:after="120"/>
      <w:jc w:val="both"/>
    </w:pPr>
    <w:rPr>
      <w:lang w:eastAsia="de-DE"/>
    </w:rPr>
  </w:style>
  <w:style w:type="paragraph" w:customStyle="1" w:styleId="ListDash">
    <w:name w:val="List Dash"/>
    <w:basedOn w:val="Normal"/>
    <w:pPr>
      <w:numPr>
        <w:numId w:val="27"/>
      </w:numPr>
      <w:spacing w:before="120" w:after="120"/>
      <w:jc w:val="both"/>
    </w:pPr>
    <w:rPr>
      <w:lang w:eastAsia="de-DE"/>
    </w:rPr>
  </w:style>
  <w:style w:type="paragraph" w:customStyle="1" w:styleId="ListDash1">
    <w:name w:val="List Dash 1"/>
    <w:basedOn w:val="Normal"/>
    <w:pPr>
      <w:numPr>
        <w:numId w:val="28"/>
      </w:numPr>
      <w:spacing w:before="120" w:after="120"/>
      <w:jc w:val="both"/>
    </w:pPr>
    <w:rPr>
      <w:lang w:eastAsia="de-DE"/>
    </w:rPr>
  </w:style>
  <w:style w:type="paragraph" w:customStyle="1" w:styleId="ListDash2">
    <w:name w:val="List Dash 2"/>
    <w:basedOn w:val="Normal"/>
    <w:pPr>
      <w:numPr>
        <w:numId w:val="29"/>
      </w:numPr>
      <w:spacing w:before="120" w:after="120"/>
      <w:jc w:val="both"/>
    </w:pPr>
    <w:rPr>
      <w:lang w:eastAsia="de-DE"/>
    </w:rPr>
  </w:style>
  <w:style w:type="paragraph" w:customStyle="1" w:styleId="ListDash3">
    <w:name w:val="List Dash 3"/>
    <w:basedOn w:val="Normal"/>
    <w:pPr>
      <w:numPr>
        <w:numId w:val="30"/>
      </w:numPr>
      <w:spacing w:before="120" w:after="120"/>
      <w:jc w:val="both"/>
    </w:pPr>
    <w:rPr>
      <w:lang w:eastAsia="de-DE"/>
    </w:rPr>
  </w:style>
  <w:style w:type="paragraph" w:customStyle="1" w:styleId="ListDash4">
    <w:name w:val="List Dash 4"/>
    <w:basedOn w:val="Normal"/>
    <w:pPr>
      <w:numPr>
        <w:numId w:val="31"/>
      </w:numPr>
      <w:spacing w:before="120" w:after="120"/>
      <w:jc w:val="both"/>
    </w:pPr>
    <w:rPr>
      <w:lang w:eastAsia="de-DE"/>
    </w:rPr>
  </w:style>
  <w:style w:type="paragraph" w:customStyle="1" w:styleId="ListNumber1">
    <w:name w:val="List Number 1"/>
    <w:basedOn w:val="Text1"/>
    <w:pPr>
      <w:numPr>
        <w:numId w:val="18"/>
      </w:numPr>
    </w:pPr>
    <w:rPr>
      <w:lang w:eastAsia="de-DE"/>
    </w:rPr>
  </w:style>
  <w:style w:type="paragraph" w:customStyle="1" w:styleId="ListNumberLevel2">
    <w:name w:val="List Number (Level 2)"/>
    <w:basedOn w:val="Normal"/>
    <w:pPr>
      <w:numPr>
        <w:ilvl w:val="1"/>
        <w:numId w:val="17"/>
      </w:numPr>
      <w:spacing w:before="120" w:after="120"/>
      <w:jc w:val="both"/>
    </w:pPr>
    <w:rPr>
      <w:lang w:eastAsia="de-DE"/>
    </w:rPr>
  </w:style>
  <w:style w:type="paragraph" w:customStyle="1" w:styleId="ListNumber1Level2">
    <w:name w:val="List Number 1 (Level 2)"/>
    <w:basedOn w:val="Text1"/>
    <w:pPr>
      <w:numPr>
        <w:ilvl w:val="1"/>
        <w:numId w:val="18"/>
      </w:numPr>
    </w:pPr>
    <w:rPr>
      <w:lang w:eastAsia="de-DE"/>
    </w:rPr>
  </w:style>
  <w:style w:type="paragraph" w:customStyle="1" w:styleId="ListNumber2Level2">
    <w:name w:val="List Number 2 (Level 2)"/>
    <w:basedOn w:val="Text2"/>
    <w:pPr>
      <w:numPr>
        <w:ilvl w:val="1"/>
        <w:numId w:val="19"/>
      </w:numPr>
    </w:pPr>
    <w:rPr>
      <w:lang w:eastAsia="de-DE"/>
    </w:rPr>
  </w:style>
  <w:style w:type="paragraph" w:customStyle="1" w:styleId="ListNumber3Level2">
    <w:name w:val="List Number 3 (Level 2)"/>
    <w:basedOn w:val="Text3"/>
    <w:pPr>
      <w:numPr>
        <w:ilvl w:val="1"/>
        <w:numId w:val="20"/>
      </w:numPr>
    </w:pPr>
    <w:rPr>
      <w:lang w:eastAsia="de-DE"/>
    </w:rPr>
  </w:style>
  <w:style w:type="paragraph" w:customStyle="1" w:styleId="ListNumber4Level2">
    <w:name w:val="List Number 4 (Level 2)"/>
    <w:basedOn w:val="Text4"/>
    <w:pPr>
      <w:numPr>
        <w:ilvl w:val="1"/>
        <w:numId w:val="21"/>
      </w:numPr>
    </w:pPr>
    <w:rPr>
      <w:lang w:eastAsia="de-DE"/>
    </w:rPr>
  </w:style>
  <w:style w:type="paragraph" w:customStyle="1" w:styleId="ListNumberLevel3">
    <w:name w:val="List Number (Level 3)"/>
    <w:basedOn w:val="Normal"/>
    <w:pPr>
      <w:numPr>
        <w:ilvl w:val="2"/>
        <w:numId w:val="17"/>
      </w:numPr>
      <w:spacing w:before="120" w:after="120"/>
      <w:jc w:val="both"/>
    </w:pPr>
    <w:rPr>
      <w:lang w:eastAsia="de-DE"/>
    </w:rPr>
  </w:style>
  <w:style w:type="paragraph" w:customStyle="1" w:styleId="ListNumber1Level3">
    <w:name w:val="List Number 1 (Level 3)"/>
    <w:basedOn w:val="Text1"/>
    <w:pPr>
      <w:numPr>
        <w:ilvl w:val="2"/>
        <w:numId w:val="18"/>
      </w:numPr>
    </w:pPr>
    <w:rPr>
      <w:lang w:eastAsia="de-DE"/>
    </w:rPr>
  </w:style>
  <w:style w:type="paragraph" w:customStyle="1" w:styleId="ListNumber2Level3">
    <w:name w:val="List Number 2 (Level 3)"/>
    <w:basedOn w:val="Text2"/>
    <w:pPr>
      <w:numPr>
        <w:ilvl w:val="2"/>
        <w:numId w:val="19"/>
      </w:numPr>
    </w:pPr>
    <w:rPr>
      <w:lang w:eastAsia="de-DE"/>
    </w:rPr>
  </w:style>
  <w:style w:type="paragraph" w:customStyle="1" w:styleId="ListNumber3Level3">
    <w:name w:val="List Number 3 (Level 3)"/>
    <w:basedOn w:val="Text3"/>
    <w:pPr>
      <w:numPr>
        <w:ilvl w:val="2"/>
        <w:numId w:val="20"/>
      </w:numPr>
    </w:pPr>
    <w:rPr>
      <w:lang w:eastAsia="de-DE"/>
    </w:rPr>
  </w:style>
  <w:style w:type="paragraph" w:customStyle="1" w:styleId="ListNumber4Level3">
    <w:name w:val="List Number 4 (Level 3)"/>
    <w:basedOn w:val="Text4"/>
    <w:pPr>
      <w:numPr>
        <w:ilvl w:val="2"/>
        <w:numId w:val="21"/>
      </w:numPr>
    </w:pPr>
    <w:rPr>
      <w:lang w:eastAsia="de-DE"/>
    </w:rPr>
  </w:style>
  <w:style w:type="paragraph" w:customStyle="1" w:styleId="ListNumberLevel4">
    <w:name w:val="List Number (Level 4)"/>
    <w:basedOn w:val="Normal"/>
    <w:pPr>
      <w:numPr>
        <w:ilvl w:val="3"/>
        <w:numId w:val="17"/>
      </w:numPr>
      <w:spacing w:before="120" w:after="120"/>
      <w:jc w:val="both"/>
    </w:pPr>
    <w:rPr>
      <w:lang w:eastAsia="de-DE"/>
    </w:rPr>
  </w:style>
  <w:style w:type="paragraph" w:customStyle="1" w:styleId="ListNumber1Level4">
    <w:name w:val="List Number 1 (Level 4)"/>
    <w:basedOn w:val="Text1"/>
    <w:pPr>
      <w:numPr>
        <w:ilvl w:val="3"/>
        <w:numId w:val="18"/>
      </w:numPr>
    </w:pPr>
    <w:rPr>
      <w:lang w:eastAsia="de-DE"/>
    </w:rPr>
  </w:style>
  <w:style w:type="paragraph" w:customStyle="1" w:styleId="ListNumber2Level4">
    <w:name w:val="List Number 2 (Level 4)"/>
    <w:basedOn w:val="Text2"/>
    <w:pPr>
      <w:numPr>
        <w:ilvl w:val="3"/>
        <w:numId w:val="19"/>
      </w:numPr>
    </w:pPr>
    <w:rPr>
      <w:lang w:eastAsia="de-DE"/>
    </w:rPr>
  </w:style>
  <w:style w:type="paragraph" w:customStyle="1" w:styleId="ListNumber3Level4">
    <w:name w:val="List Number 3 (Level 4)"/>
    <w:basedOn w:val="Text3"/>
    <w:pPr>
      <w:numPr>
        <w:ilvl w:val="3"/>
        <w:numId w:val="20"/>
      </w:numPr>
    </w:pPr>
    <w:rPr>
      <w:lang w:eastAsia="de-DE"/>
    </w:rPr>
  </w:style>
  <w:style w:type="paragraph" w:customStyle="1" w:styleId="ListNumber4Level4">
    <w:name w:val="List Number 4 (Level 4)"/>
    <w:basedOn w:val="Text4"/>
    <w:pPr>
      <w:numPr>
        <w:ilvl w:val="3"/>
        <w:numId w:val="21"/>
      </w:numPr>
    </w:pPr>
    <w:rPr>
      <w:lang w:eastAsia="de-DE"/>
    </w:rPr>
  </w:style>
  <w:style w:type="paragraph" w:customStyle="1" w:styleId="Rfrenceinterinstitutionelleprliminaire">
    <w:name w:val="Référence interinstitutionelle (préliminaire)"/>
    <w:basedOn w:val="Normal"/>
    <w:next w:val="Normal"/>
    <w:pPr>
      <w:ind w:left="5103"/>
    </w:pPr>
    <w:rPr>
      <w:lang w:eastAsia="de-DE"/>
    </w:rPr>
  </w:style>
  <w:style w:type="paragraph" w:customStyle="1" w:styleId="Sous-titreobjetprliminaire">
    <w:name w:val="Sous-titre objet (préliminaire)"/>
    <w:basedOn w:val="Normal"/>
    <w:pPr>
      <w:jc w:val="center"/>
    </w:pPr>
    <w:rPr>
      <w:b/>
      <w:lang w:eastAsia="de-DE"/>
    </w:rPr>
  </w:style>
  <w:style w:type="paragraph" w:customStyle="1" w:styleId="Statutprliminaire">
    <w:name w:val="Statut (préliminaire)"/>
    <w:basedOn w:val="Normal"/>
    <w:next w:val="Normal"/>
    <w:pPr>
      <w:spacing w:before="36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jc w:val="center"/>
    </w:pPr>
    <w:rPr>
      <w:b/>
      <w:lang w:eastAsia="de-DE"/>
    </w:rPr>
  </w:style>
  <w:style w:type="paragraph" w:customStyle="1" w:styleId="FichedimpactPMEtitre">
    <w:name w:val="Fiche d'impact PME titre"/>
    <w:basedOn w:val="Normal"/>
    <w:next w:val="Normal"/>
    <w:pPr>
      <w:spacing w:before="120" w:after="120"/>
      <w:jc w:val="center"/>
    </w:pPr>
    <w:rPr>
      <w:b/>
      <w:szCs w:val="20"/>
      <w:lang w:eastAsia="zh-CN"/>
    </w:rPr>
  </w:style>
  <w:style w:type="paragraph" w:customStyle="1" w:styleId="Fichefinanciretextetable">
    <w:name w:val="Fiche financière texte (table)"/>
    <w:basedOn w:val="Normal"/>
    <w:rPr>
      <w:sz w:val="20"/>
      <w:szCs w:val="20"/>
      <w:lang w:eastAsia="zh-CN"/>
    </w:rPr>
  </w:style>
  <w:style w:type="paragraph" w:customStyle="1" w:styleId="Fichefinanciretitreactetable">
    <w:name w:val="Fiche financière titre (acte table)"/>
    <w:basedOn w:val="Normal"/>
    <w:next w:val="Normal"/>
    <w:pPr>
      <w:spacing w:before="120" w:after="120"/>
      <w:jc w:val="center"/>
    </w:pPr>
    <w:rPr>
      <w:b/>
      <w:sz w:val="40"/>
      <w:szCs w:val="20"/>
      <w:lang w:eastAsia="zh-CN"/>
    </w:rPr>
  </w:style>
  <w:style w:type="paragraph" w:customStyle="1" w:styleId="Fichefinanciretitretable">
    <w:name w:val="Fiche financière titre (table)"/>
    <w:basedOn w:val="Normal"/>
    <w:pPr>
      <w:spacing w:before="120" w:after="120"/>
      <w:jc w:val="center"/>
    </w:pPr>
    <w:rPr>
      <w:b/>
      <w:sz w:val="40"/>
      <w:szCs w:val="20"/>
      <w:lang w:eastAsia="zh-CN"/>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ind w:left="360"/>
      <w:jc w:val="both"/>
    </w:pPr>
    <w:rPr>
      <w:szCs w:val="20"/>
      <w:lang w:eastAsia="zh-CN"/>
    </w:rPr>
  </w:style>
  <w:style w:type="paragraph" w:styleId="ListNumber5">
    <w:name w:val="List Number 5"/>
    <w:basedOn w:val="Normal"/>
    <w:pPr>
      <w:numPr>
        <w:numId w:val="15"/>
      </w:numPr>
      <w:tabs>
        <w:tab w:val="clear" w:pos="1492"/>
        <w:tab w:val="num" w:pos="643"/>
      </w:tabs>
      <w:spacing w:after="240"/>
      <w:ind w:left="643"/>
      <w:jc w:val="both"/>
    </w:pPr>
    <w:rPr>
      <w:szCs w:val="20"/>
      <w:lang w:eastAsia="zh-CN"/>
    </w:rPr>
  </w:style>
  <w:style w:type="paragraph" w:styleId="DocumentMap">
    <w:name w:val="Document Map"/>
    <w:basedOn w:val="Normal"/>
    <w:link w:val="DocumentMapChar"/>
    <w:pPr>
      <w:shd w:val="clear" w:color="auto" w:fill="000080"/>
      <w:spacing w:before="120" w:after="120"/>
      <w:jc w:val="both"/>
    </w:pPr>
    <w:rPr>
      <w:rFonts w:ascii="Tahoma" w:hAnsi="Tahoma"/>
      <w:szCs w:val="20"/>
      <w:lang w:eastAsia="zh-CN"/>
    </w:rPr>
  </w:style>
  <w:style w:type="character" w:customStyle="1" w:styleId="DocumentMapChar">
    <w:name w:val="Document Map Char"/>
    <w:link w:val="DocumentMap"/>
    <w:rPr>
      <w:rFonts w:ascii="Tahoma" w:hAnsi="Tahoma"/>
      <w:sz w:val="24"/>
      <w:shd w:val="clear" w:color="auto" w:fill="000080"/>
      <w:lang w:eastAsia="zh-CN"/>
    </w:rPr>
  </w:style>
  <w:style w:type="paragraph" w:customStyle="1" w:styleId="AddressTL">
    <w:name w:val="AddressTL"/>
    <w:basedOn w:val="Normal"/>
    <w:next w:val="Normal"/>
    <w:pPr>
      <w:spacing w:after="720"/>
    </w:pPr>
    <w:rPr>
      <w:szCs w:val="20"/>
      <w:lang w:eastAsia="zh-CN"/>
    </w:rPr>
  </w:style>
  <w:style w:type="paragraph" w:customStyle="1" w:styleId="AddressTR">
    <w:name w:val="AddressTR"/>
    <w:basedOn w:val="Normal"/>
    <w:next w:val="Normal"/>
    <w:pPr>
      <w:spacing w:after="720"/>
      <w:ind w:left="5103"/>
    </w:pPr>
    <w:rPr>
      <w:szCs w:val="20"/>
      <w:lang w:eastAsia="zh-CN"/>
    </w:rPr>
  </w:style>
  <w:style w:type="paragraph" w:styleId="BlockText">
    <w:name w:val="Block Text"/>
    <w:basedOn w:val="Normal"/>
    <w:pPr>
      <w:spacing w:after="120"/>
      <w:ind w:left="1440" w:right="1440"/>
      <w:jc w:val="both"/>
    </w:pPr>
    <w:rPr>
      <w:szCs w:val="20"/>
      <w:lang w:eastAsia="zh-CN"/>
    </w:rPr>
  </w:style>
  <w:style w:type="paragraph" w:styleId="BodyText">
    <w:name w:val="Body Text"/>
    <w:basedOn w:val="Normal"/>
    <w:link w:val="BodyTextChar"/>
    <w:pPr>
      <w:spacing w:after="120"/>
      <w:jc w:val="both"/>
    </w:pPr>
    <w:rPr>
      <w:szCs w:val="20"/>
      <w:lang w:eastAsia="zh-CN"/>
    </w:rPr>
  </w:style>
  <w:style w:type="character" w:customStyle="1" w:styleId="BodyTextChar">
    <w:name w:val="Body Text Char"/>
    <w:link w:val="BodyText"/>
    <w:rPr>
      <w:sz w:val="24"/>
      <w:lang w:eastAsia="zh-CN"/>
    </w:rPr>
  </w:style>
  <w:style w:type="paragraph" w:styleId="BodyText2">
    <w:name w:val="Body Text 2"/>
    <w:basedOn w:val="Normal"/>
    <w:link w:val="BodyText2Char"/>
    <w:pPr>
      <w:spacing w:after="120" w:line="480" w:lineRule="auto"/>
      <w:jc w:val="both"/>
    </w:pPr>
    <w:rPr>
      <w:szCs w:val="20"/>
      <w:lang w:eastAsia="zh-CN"/>
    </w:rPr>
  </w:style>
  <w:style w:type="character" w:customStyle="1" w:styleId="BodyText2Char">
    <w:name w:val="Body Text 2 Char"/>
    <w:link w:val="BodyText2"/>
    <w:rPr>
      <w:sz w:val="24"/>
      <w:lang w:eastAsia="zh-CN"/>
    </w:rPr>
  </w:style>
  <w:style w:type="paragraph" w:styleId="BodyText3">
    <w:name w:val="Body Text 3"/>
    <w:basedOn w:val="Normal"/>
    <w:link w:val="BodyText3Char"/>
    <w:pPr>
      <w:spacing w:after="120"/>
      <w:jc w:val="both"/>
    </w:pPr>
    <w:rPr>
      <w:sz w:val="16"/>
      <w:szCs w:val="20"/>
      <w:lang w:eastAsia="zh-CN"/>
    </w:rPr>
  </w:style>
  <w:style w:type="character" w:customStyle="1" w:styleId="BodyText3Char">
    <w:name w:val="Body Text 3 Char"/>
    <w:link w:val="BodyText3"/>
    <w:rPr>
      <w:sz w:val="16"/>
      <w:lang w:eastAsia="zh-CN"/>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sz w:val="24"/>
      <w:lang w:eastAsia="zh-CN"/>
    </w:rPr>
  </w:style>
  <w:style w:type="paragraph" w:styleId="BodyTextIndent">
    <w:name w:val="Body Text Indent"/>
    <w:basedOn w:val="Normal"/>
    <w:link w:val="BodyTextIndentChar"/>
    <w:pPr>
      <w:spacing w:after="120"/>
      <w:ind w:left="283"/>
      <w:jc w:val="both"/>
    </w:pPr>
    <w:rPr>
      <w:szCs w:val="20"/>
      <w:lang w:eastAsia="zh-CN"/>
    </w:rPr>
  </w:style>
  <w:style w:type="character" w:customStyle="1" w:styleId="BodyTextIndentChar">
    <w:name w:val="Body Text Indent Char"/>
    <w:link w:val="BodyTextIndent"/>
    <w:rPr>
      <w:sz w:val="24"/>
      <w:lang w:eastAsia="zh-CN"/>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sz w:val="24"/>
      <w:lang w:eastAsia="zh-CN"/>
    </w:rPr>
  </w:style>
  <w:style w:type="paragraph" w:styleId="BodyTextIndent2">
    <w:name w:val="Body Text Indent 2"/>
    <w:basedOn w:val="Normal"/>
    <w:link w:val="BodyTextIndent2Char"/>
    <w:pPr>
      <w:spacing w:after="120" w:line="480" w:lineRule="auto"/>
      <w:ind w:left="283"/>
      <w:jc w:val="both"/>
    </w:pPr>
    <w:rPr>
      <w:szCs w:val="20"/>
      <w:lang w:eastAsia="zh-CN"/>
    </w:rPr>
  </w:style>
  <w:style w:type="character" w:customStyle="1" w:styleId="BodyTextIndent2Char">
    <w:name w:val="Body Text Indent 2 Char"/>
    <w:link w:val="BodyTextIndent2"/>
    <w:rPr>
      <w:sz w:val="24"/>
      <w:lang w:eastAsia="zh-CN"/>
    </w:rPr>
  </w:style>
  <w:style w:type="paragraph" w:styleId="BodyTextIndent3">
    <w:name w:val="Body Text Indent 3"/>
    <w:basedOn w:val="Normal"/>
    <w:link w:val="BodyTextIndent3Char"/>
    <w:pPr>
      <w:spacing w:after="120"/>
      <w:ind w:left="283"/>
      <w:jc w:val="both"/>
    </w:pPr>
    <w:rPr>
      <w:sz w:val="16"/>
      <w:szCs w:val="20"/>
      <w:lang w:eastAsia="zh-CN"/>
    </w:rPr>
  </w:style>
  <w:style w:type="character" w:customStyle="1" w:styleId="BodyTextIndent3Char">
    <w:name w:val="Body Text Indent 3 Char"/>
    <w:link w:val="BodyTextIndent3"/>
    <w:rPr>
      <w:sz w:val="16"/>
      <w:lang w:eastAsia="zh-CN"/>
    </w:rPr>
  </w:style>
  <w:style w:type="paragraph" w:styleId="Closing">
    <w:name w:val="Closing"/>
    <w:basedOn w:val="Normal"/>
    <w:next w:val="Signature"/>
    <w:link w:val="ClosingChar"/>
    <w:pPr>
      <w:tabs>
        <w:tab w:val="left" w:pos="5103"/>
      </w:tabs>
      <w:spacing w:before="240" w:after="240"/>
      <w:ind w:left="5103"/>
    </w:pPr>
    <w:rPr>
      <w:szCs w:val="20"/>
      <w:lang w:eastAsia="zh-CN"/>
    </w:rPr>
  </w:style>
  <w:style w:type="character" w:customStyle="1" w:styleId="ClosingChar">
    <w:name w:val="Closing Char"/>
    <w:link w:val="Closing"/>
    <w:rPr>
      <w:sz w:val="24"/>
      <w:lang w:eastAsia="zh-CN"/>
    </w:rPr>
  </w:style>
  <w:style w:type="paragraph" w:styleId="Signature">
    <w:name w:val="Signature"/>
    <w:basedOn w:val="Normal"/>
    <w:next w:val="Contact"/>
    <w:link w:val="SignatureChar"/>
    <w:pPr>
      <w:tabs>
        <w:tab w:val="left" w:pos="5103"/>
      </w:tabs>
      <w:spacing w:before="1200"/>
      <w:ind w:left="5103"/>
      <w:jc w:val="center"/>
    </w:pPr>
    <w:rPr>
      <w:szCs w:val="20"/>
      <w:lang w:eastAsia="zh-CN"/>
    </w:rPr>
  </w:style>
  <w:style w:type="character" w:customStyle="1" w:styleId="SignatureChar">
    <w:name w:val="Signature Char"/>
    <w:link w:val="Signature"/>
    <w:rPr>
      <w:sz w:val="24"/>
      <w:lang w:eastAsia="zh-CN"/>
    </w:rPr>
  </w:style>
  <w:style w:type="paragraph" w:customStyle="1" w:styleId="Contact">
    <w:name w:val="Contact"/>
    <w:basedOn w:val="Normal"/>
    <w:next w:val="Enclosures"/>
    <w:pPr>
      <w:spacing w:before="480"/>
      <w:ind w:left="567" w:hanging="567"/>
    </w:pPr>
    <w:rPr>
      <w:szCs w:val="20"/>
      <w:lang w:eastAsia="zh-CN"/>
    </w:rPr>
  </w:style>
  <w:style w:type="paragraph" w:customStyle="1" w:styleId="Enclosures">
    <w:name w:val="Enclosures"/>
    <w:basedOn w:val="Normal"/>
    <w:next w:val="Participants"/>
    <w:pPr>
      <w:keepNext/>
      <w:keepLines/>
      <w:tabs>
        <w:tab w:val="left" w:pos="5642"/>
      </w:tabs>
      <w:spacing w:before="480"/>
      <w:ind w:left="1792" w:hanging="1792"/>
    </w:pPr>
    <w:rPr>
      <w:szCs w:val="20"/>
      <w:lang w:eastAsia="zh-C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rPr>
      <w:szCs w:val="20"/>
      <w:lang w:eastAsia="zh-CN"/>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rPr>
      <w:szCs w:val="20"/>
      <w:lang w:eastAsia="zh-CN"/>
    </w:rPr>
  </w:style>
  <w:style w:type="paragraph" w:styleId="Date">
    <w:name w:val="Date"/>
    <w:basedOn w:val="Normal"/>
    <w:next w:val="References"/>
    <w:link w:val="DateChar"/>
    <w:pPr>
      <w:ind w:left="5103" w:right="-567"/>
    </w:pPr>
    <w:rPr>
      <w:szCs w:val="20"/>
      <w:lang w:eastAsia="zh-CN"/>
    </w:rPr>
  </w:style>
  <w:style w:type="character" w:customStyle="1" w:styleId="DateChar">
    <w:name w:val="Date Char"/>
    <w:link w:val="Date"/>
    <w:rPr>
      <w:sz w:val="24"/>
      <w:lang w:eastAsia="zh-CN"/>
    </w:rPr>
  </w:style>
  <w:style w:type="paragraph" w:customStyle="1" w:styleId="References">
    <w:name w:val="References"/>
    <w:basedOn w:val="Normal"/>
    <w:next w:val="AddressTR"/>
    <w:pPr>
      <w:spacing w:after="240"/>
      <w:ind w:left="5103"/>
    </w:pPr>
    <w:rPr>
      <w:sz w:val="20"/>
      <w:szCs w:val="20"/>
      <w:lang w:eastAsia="zh-CN"/>
    </w:rPr>
  </w:style>
  <w:style w:type="paragraph" w:customStyle="1" w:styleId="DoubSign">
    <w:name w:val="DoubSign"/>
    <w:basedOn w:val="Normal"/>
    <w:next w:val="Contact"/>
    <w:pPr>
      <w:tabs>
        <w:tab w:val="left" w:pos="5103"/>
      </w:tabs>
      <w:spacing w:before="1200"/>
    </w:pPr>
    <w:rPr>
      <w:szCs w:val="20"/>
      <w:lang w:eastAsia="zh-CN"/>
    </w:rPr>
  </w:style>
  <w:style w:type="paragraph" w:styleId="EnvelopeAddress">
    <w:name w:val="envelope address"/>
    <w:basedOn w:val="Normal"/>
    <w:pPr>
      <w:framePr w:w="7920" w:h="1980" w:hRule="exact" w:hSpace="180" w:wrap="auto" w:hAnchor="page" w:xAlign="center" w:yAlign="bottom"/>
      <w:jc w:val="both"/>
    </w:pPr>
    <w:rPr>
      <w:szCs w:val="20"/>
      <w:lang w:eastAsia="zh-CN"/>
    </w:rPr>
  </w:style>
  <w:style w:type="paragraph" w:styleId="EnvelopeReturn">
    <w:name w:val="envelope return"/>
    <w:basedOn w:val="Normal"/>
    <w:pPr>
      <w:jc w:val="both"/>
    </w:pPr>
    <w:rPr>
      <w:sz w:val="20"/>
      <w:szCs w:val="20"/>
      <w:lang w:eastAsia="zh-CN"/>
    </w:rPr>
  </w:style>
  <w:style w:type="paragraph" w:styleId="Index8">
    <w:name w:val="index 8"/>
    <w:basedOn w:val="Normal"/>
    <w:next w:val="Normal"/>
    <w:autoRedefine/>
    <w:pPr>
      <w:spacing w:after="240"/>
      <w:ind w:left="1920" w:hanging="240"/>
      <w:jc w:val="both"/>
    </w:pPr>
    <w:rPr>
      <w:szCs w:val="20"/>
      <w:lang w:eastAsia="zh-CN"/>
    </w:rPr>
  </w:style>
  <w:style w:type="paragraph" w:styleId="Index1">
    <w:name w:val="index 1"/>
    <w:basedOn w:val="Normal"/>
    <w:next w:val="Normal"/>
    <w:autoRedefine/>
    <w:pPr>
      <w:spacing w:after="240"/>
      <w:ind w:left="240" w:hanging="240"/>
      <w:jc w:val="both"/>
    </w:pPr>
    <w:rPr>
      <w:szCs w:val="20"/>
      <w:lang w:eastAsia="zh-CN"/>
    </w:rPr>
  </w:style>
  <w:style w:type="paragraph" w:styleId="IndexHeading">
    <w:name w:val="index heading"/>
    <w:basedOn w:val="Normal"/>
    <w:next w:val="Index1"/>
    <w:pPr>
      <w:spacing w:after="240"/>
      <w:jc w:val="both"/>
    </w:pPr>
    <w:rPr>
      <w:rFonts w:ascii="Arial" w:hAnsi="Arial"/>
      <w:b/>
      <w:szCs w:val="20"/>
      <w:lang w:eastAsia="zh-CN"/>
    </w:rPr>
  </w:style>
  <w:style w:type="paragraph" w:styleId="List">
    <w:name w:val="List"/>
    <w:basedOn w:val="Normal"/>
    <w:pPr>
      <w:spacing w:after="240"/>
      <w:ind w:left="283" w:hanging="283"/>
      <w:jc w:val="both"/>
    </w:pPr>
    <w:rPr>
      <w:szCs w:val="20"/>
      <w:lang w:eastAsia="zh-CN"/>
    </w:rPr>
  </w:style>
  <w:style w:type="paragraph" w:styleId="List2">
    <w:name w:val="List 2"/>
    <w:basedOn w:val="Normal"/>
    <w:pPr>
      <w:spacing w:after="240"/>
      <w:ind w:left="566" w:hanging="283"/>
      <w:jc w:val="both"/>
    </w:pPr>
    <w:rPr>
      <w:szCs w:val="20"/>
      <w:lang w:eastAsia="zh-CN"/>
    </w:rPr>
  </w:style>
  <w:style w:type="paragraph" w:styleId="List3">
    <w:name w:val="List 3"/>
    <w:basedOn w:val="Normal"/>
    <w:pPr>
      <w:spacing w:after="240"/>
      <w:ind w:left="849" w:hanging="283"/>
      <w:jc w:val="both"/>
    </w:pPr>
    <w:rPr>
      <w:szCs w:val="20"/>
      <w:lang w:eastAsia="zh-CN"/>
    </w:rPr>
  </w:style>
  <w:style w:type="paragraph" w:styleId="List4">
    <w:name w:val="List 4"/>
    <w:basedOn w:val="Normal"/>
    <w:pPr>
      <w:spacing w:after="240"/>
      <w:ind w:left="1132" w:hanging="283"/>
      <w:jc w:val="both"/>
    </w:pPr>
    <w:rPr>
      <w:szCs w:val="20"/>
      <w:lang w:eastAsia="zh-CN"/>
    </w:rPr>
  </w:style>
  <w:style w:type="paragraph" w:styleId="List5">
    <w:name w:val="List 5"/>
    <w:basedOn w:val="Normal"/>
    <w:pPr>
      <w:spacing w:after="240"/>
      <w:ind w:left="1415" w:hanging="283"/>
      <w:jc w:val="both"/>
    </w:pPr>
    <w:rPr>
      <w:szCs w:val="20"/>
      <w:lang w:eastAsia="zh-CN"/>
    </w:rPr>
  </w:style>
  <w:style w:type="paragraph" w:styleId="ListContinue">
    <w:name w:val="List Continue"/>
    <w:basedOn w:val="Normal"/>
    <w:pPr>
      <w:spacing w:after="120"/>
      <w:ind w:left="283"/>
      <w:jc w:val="both"/>
    </w:pPr>
    <w:rPr>
      <w:szCs w:val="20"/>
      <w:lang w:eastAsia="zh-CN"/>
    </w:rPr>
  </w:style>
  <w:style w:type="paragraph" w:styleId="ListContinue2">
    <w:name w:val="List Continue 2"/>
    <w:basedOn w:val="Normal"/>
    <w:pPr>
      <w:spacing w:after="120"/>
      <w:ind w:left="566"/>
      <w:jc w:val="both"/>
    </w:pPr>
    <w:rPr>
      <w:szCs w:val="20"/>
      <w:lang w:eastAsia="zh-CN"/>
    </w:rPr>
  </w:style>
  <w:style w:type="paragraph" w:styleId="ListContinue3">
    <w:name w:val="List Continue 3"/>
    <w:basedOn w:val="Normal"/>
    <w:pPr>
      <w:spacing w:after="120"/>
      <w:ind w:left="849"/>
      <w:jc w:val="both"/>
    </w:pPr>
    <w:rPr>
      <w:szCs w:val="20"/>
      <w:lang w:eastAsia="zh-CN"/>
    </w:rPr>
  </w:style>
  <w:style w:type="paragraph" w:styleId="ListContinue4">
    <w:name w:val="List Continue 4"/>
    <w:basedOn w:val="Normal"/>
    <w:pPr>
      <w:spacing w:after="120"/>
      <w:ind w:left="1132"/>
      <w:jc w:val="both"/>
    </w:pPr>
    <w:rPr>
      <w:szCs w:val="20"/>
      <w:lang w:eastAsia="zh-CN"/>
    </w:rPr>
  </w:style>
  <w:style w:type="paragraph" w:styleId="ListContinue5">
    <w:name w:val="List Continue 5"/>
    <w:basedOn w:val="Normal"/>
    <w:pPr>
      <w:spacing w:after="120"/>
      <w:ind w:left="1415"/>
      <w:jc w:val="both"/>
    </w:pPr>
    <w:rPr>
      <w:szCs w:val="20"/>
      <w:lang w:eastAsia="zh-CN"/>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eastAsia="zh-CN"/>
    </w:rPr>
  </w:style>
  <w:style w:type="character" w:customStyle="1" w:styleId="MessageHeaderChar">
    <w:name w:val="Message Header Char"/>
    <w:link w:val="MessageHeader"/>
    <w:rPr>
      <w:rFonts w:ascii="Arial" w:hAnsi="Arial"/>
      <w:sz w:val="24"/>
      <w:shd w:val="pct20" w:color="auto" w:fill="auto"/>
      <w:lang w:eastAsia="zh-CN"/>
    </w:rPr>
  </w:style>
  <w:style w:type="paragraph" w:styleId="NormalIndent">
    <w:name w:val="Normal Indent"/>
    <w:basedOn w:val="Normal"/>
    <w:pPr>
      <w:spacing w:after="240"/>
      <w:ind w:left="720"/>
      <w:jc w:val="both"/>
    </w:pPr>
    <w:rPr>
      <w:szCs w:val="20"/>
      <w:lang w:eastAsia="zh-CN"/>
    </w:rPr>
  </w:style>
  <w:style w:type="paragraph" w:styleId="NoteHeading">
    <w:name w:val="Note Heading"/>
    <w:basedOn w:val="Normal"/>
    <w:next w:val="Normal"/>
    <w:link w:val="NoteHeadingChar"/>
    <w:pPr>
      <w:spacing w:after="240"/>
      <w:jc w:val="both"/>
    </w:pPr>
    <w:rPr>
      <w:szCs w:val="20"/>
      <w:lang w:eastAsia="zh-CN"/>
    </w:rPr>
  </w:style>
  <w:style w:type="character" w:customStyle="1" w:styleId="NoteHeadingChar">
    <w:name w:val="Note Heading Char"/>
    <w:link w:val="NoteHeading"/>
    <w:rPr>
      <w:sz w:val="24"/>
      <w:lang w:eastAsia="zh-CN"/>
    </w:rPr>
  </w:style>
  <w:style w:type="paragraph" w:customStyle="1" w:styleId="NoteHead">
    <w:name w:val="NoteHead"/>
    <w:basedOn w:val="Normal"/>
    <w:next w:val="Subject"/>
    <w:pPr>
      <w:spacing w:before="720" w:after="720"/>
      <w:jc w:val="center"/>
    </w:pPr>
    <w:rPr>
      <w:b/>
      <w:smallCaps/>
      <w:szCs w:val="20"/>
      <w:lang w:eastAsia="zh-CN"/>
    </w:rPr>
  </w:style>
  <w:style w:type="paragraph" w:customStyle="1" w:styleId="Subject">
    <w:name w:val="Subject"/>
    <w:basedOn w:val="Normal"/>
    <w:next w:val="Normal"/>
    <w:pPr>
      <w:spacing w:after="480"/>
      <w:ind w:left="1191" w:hanging="1191"/>
    </w:pPr>
    <w:rPr>
      <w:b/>
      <w:szCs w:val="20"/>
      <w:lang w:eastAsia="zh-CN"/>
    </w:rPr>
  </w:style>
  <w:style w:type="paragraph" w:customStyle="1" w:styleId="NoteList">
    <w:name w:val="NoteList"/>
    <w:basedOn w:val="Normal"/>
    <w:next w:val="Subject"/>
    <w:pPr>
      <w:tabs>
        <w:tab w:val="left" w:pos="5823"/>
      </w:tabs>
      <w:spacing w:before="720" w:after="720"/>
      <w:ind w:left="5104" w:hanging="3119"/>
    </w:pPr>
    <w:rPr>
      <w:b/>
      <w:smallCaps/>
      <w:szCs w:val="20"/>
      <w:lang w:eastAsia="zh-CN"/>
    </w:rPr>
  </w:style>
  <w:style w:type="paragraph" w:styleId="PlainText">
    <w:name w:val="Plain Text"/>
    <w:basedOn w:val="Normal"/>
    <w:link w:val="PlainTextChar"/>
    <w:pPr>
      <w:spacing w:after="240"/>
      <w:jc w:val="both"/>
    </w:pPr>
    <w:rPr>
      <w:rFonts w:ascii="Courier New" w:hAnsi="Courier New"/>
      <w:sz w:val="20"/>
      <w:szCs w:val="20"/>
      <w:lang w:eastAsia="zh-CN"/>
    </w:rPr>
  </w:style>
  <w:style w:type="character" w:customStyle="1" w:styleId="PlainTextChar">
    <w:name w:val="Plain Text Char"/>
    <w:link w:val="PlainText"/>
    <w:rPr>
      <w:rFonts w:ascii="Courier New" w:hAnsi="Courier New"/>
      <w:lang w:eastAsia="zh-CN"/>
    </w:rPr>
  </w:style>
  <w:style w:type="paragraph" w:styleId="Salutation">
    <w:name w:val="Salutation"/>
    <w:basedOn w:val="Normal"/>
    <w:next w:val="Normal"/>
    <w:link w:val="SalutationChar"/>
    <w:pPr>
      <w:spacing w:after="240"/>
      <w:jc w:val="both"/>
    </w:pPr>
    <w:rPr>
      <w:szCs w:val="20"/>
      <w:lang w:eastAsia="zh-CN"/>
    </w:rPr>
  </w:style>
  <w:style w:type="character" w:customStyle="1" w:styleId="SalutationChar">
    <w:name w:val="Salutation Char"/>
    <w:link w:val="Salutation"/>
    <w:rPr>
      <w:sz w:val="24"/>
      <w:lang w:eastAsia="zh-CN"/>
    </w:rPr>
  </w:style>
  <w:style w:type="paragraph" w:styleId="Subtitle">
    <w:name w:val="Subtitle"/>
    <w:basedOn w:val="Normal"/>
    <w:link w:val="SubtitleChar"/>
    <w:qFormat/>
    <w:pPr>
      <w:spacing w:after="60"/>
      <w:jc w:val="center"/>
      <w:outlineLvl w:val="1"/>
    </w:pPr>
    <w:rPr>
      <w:rFonts w:ascii="Arial" w:hAnsi="Arial"/>
      <w:szCs w:val="20"/>
      <w:lang w:eastAsia="zh-CN"/>
    </w:rPr>
  </w:style>
  <w:style w:type="character" w:customStyle="1" w:styleId="SubtitleChar">
    <w:name w:val="Subtitle Char"/>
    <w:link w:val="Subtitle"/>
    <w:rPr>
      <w:rFonts w:ascii="Arial" w:hAnsi="Arial"/>
      <w:sz w:val="24"/>
      <w:lang w:eastAsia="zh-CN"/>
    </w:rPr>
  </w:style>
  <w:style w:type="paragraph" w:styleId="Title">
    <w:name w:val="Title"/>
    <w:basedOn w:val="Normal"/>
    <w:link w:val="TitleChar"/>
    <w:qFormat/>
    <w:pPr>
      <w:spacing w:before="240" w:after="60"/>
      <w:jc w:val="center"/>
      <w:outlineLvl w:val="0"/>
    </w:pPr>
    <w:rPr>
      <w:rFonts w:ascii="Arial" w:hAnsi="Arial"/>
      <w:b/>
      <w:kern w:val="28"/>
      <w:sz w:val="32"/>
      <w:szCs w:val="20"/>
      <w:lang w:eastAsia="zh-CN"/>
    </w:rPr>
  </w:style>
  <w:style w:type="character" w:customStyle="1" w:styleId="TitleChar">
    <w:name w:val="Title Char"/>
    <w:link w:val="Title"/>
    <w:rPr>
      <w:rFonts w:ascii="Arial" w:hAnsi="Arial"/>
      <w:b/>
      <w:kern w:val="28"/>
      <w:sz w:val="32"/>
      <w:lang w:eastAsia="zh-CN"/>
    </w:rPr>
  </w:style>
  <w:style w:type="paragraph" w:customStyle="1" w:styleId="YReferences">
    <w:name w:val="YReferences"/>
    <w:basedOn w:val="Normal"/>
    <w:next w:val="Normal"/>
    <w:pPr>
      <w:spacing w:after="480"/>
      <w:ind w:left="1191" w:hanging="1191"/>
      <w:jc w:val="both"/>
    </w:pPr>
    <w:rPr>
      <w:szCs w:val="20"/>
      <w:lang w:eastAsia="zh-CN"/>
    </w:rPr>
  </w:style>
  <w:style w:type="paragraph" w:customStyle="1" w:styleId="DisclaimerNotice">
    <w:name w:val="Disclaimer Notice"/>
    <w:basedOn w:val="Normal"/>
    <w:next w:val="AddressTR"/>
    <w:pPr>
      <w:spacing w:after="240"/>
      <w:ind w:left="5103"/>
    </w:pPr>
    <w:rPr>
      <w:b/>
      <w:smallCaps/>
      <w:sz w:val="20"/>
      <w:szCs w:val="20"/>
      <w:u w:val="single"/>
      <w:lang w:eastAsia="zh-CN"/>
    </w:rPr>
  </w:style>
  <w:style w:type="paragraph" w:customStyle="1" w:styleId="Disclaimer">
    <w:name w:val="Disclaimer"/>
    <w:basedOn w:val="Normal"/>
    <w:pPr>
      <w:keepLines/>
      <w:pBdr>
        <w:top w:val="single" w:sz="4" w:space="1" w:color="auto"/>
      </w:pBdr>
      <w:spacing w:before="480"/>
      <w:jc w:val="both"/>
    </w:pPr>
    <w:rPr>
      <w:i/>
      <w:szCs w:val="20"/>
      <w:lang w:eastAsia="zh-CN"/>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jc w:val="both"/>
    </w:pPr>
    <w:rPr>
      <w:rFonts w:ascii="Arial" w:hAnsi="Arial"/>
      <w:b/>
      <w:sz w:val="16"/>
      <w:szCs w:val="20"/>
      <w:lang w:eastAsia="zh-CN"/>
    </w:rPr>
  </w:style>
  <w:style w:type="paragraph" w:customStyle="1" w:styleId="ZCom">
    <w:name w:val="Z_Com"/>
    <w:basedOn w:val="Normal"/>
    <w:next w:val="ZDGName"/>
    <w:pPr>
      <w:widowControl w:val="0"/>
      <w:ind w:right="85"/>
      <w:jc w:val="both"/>
    </w:pPr>
    <w:rPr>
      <w:rFonts w:ascii="Arial" w:hAnsi="Arial"/>
      <w:szCs w:val="20"/>
      <w:lang w:eastAsia="en-US"/>
    </w:rPr>
  </w:style>
  <w:style w:type="paragraph" w:customStyle="1" w:styleId="ZDGName">
    <w:name w:val="Z_DGName"/>
    <w:basedOn w:val="Normal"/>
    <w:pPr>
      <w:widowControl w:val="0"/>
      <w:ind w:right="85"/>
    </w:pPr>
    <w:rPr>
      <w:rFonts w:ascii="Arial" w:hAnsi="Arial"/>
      <w:sz w:val="16"/>
      <w:szCs w:val="20"/>
      <w:lang w:eastAsia="en-US"/>
    </w:rPr>
  </w:style>
  <w:style w:type="paragraph" w:customStyle="1" w:styleId="Style91">
    <w:name w:val="Style91"/>
    <w:rPr>
      <w:rFonts w:ascii="Arial" w:hAnsi="Arial"/>
      <w:sz w:val="24"/>
      <w:lang w:val="en-US" w:eastAsia="en-US"/>
    </w:rPr>
  </w:style>
  <w:style w:type="paragraph" w:customStyle="1" w:styleId="texte">
    <w:name w:val="texte"/>
    <w:basedOn w:val="Normal"/>
    <w:pPr>
      <w:spacing w:before="100" w:beforeAutospacing="1" w:after="100" w:afterAutospacing="1"/>
      <w:jc w:val="both"/>
    </w:pPr>
    <w:rPr>
      <w:rFonts w:ascii="Arial" w:hAnsi="Arial" w:cs="Arial"/>
      <w:color w:val="333399"/>
      <w:sz w:val="18"/>
      <w:szCs w:val="18"/>
      <w:lang w:eastAsia="zh-CN"/>
    </w:r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pPr>
      <w:spacing w:before="120" w:after="120"/>
      <w:jc w:val="both"/>
    </w:pPr>
    <w:rPr>
      <w:sz w:val="20"/>
      <w:szCs w:val="20"/>
      <w:lang w:eastAsia="zh-CN"/>
    </w:rPr>
  </w:style>
  <w:style w:type="character" w:customStyle="1" w:styleId="CommentTextChar">
    <w:name w:val="Comment Text Char"/>
    <w:link w:val="CommentText"/>
    <w:rPr>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zh-CN"/>
    </w:rPr>
  </w:style>
  <w:style w:type="character" w:customStyle="1" w:styleId="BalloonTextChar">
    <w:name w:val="Balloon Text Char"/>
    <w:link w:val="BalloonText"/>
    <w:semiHidden/>
    <w:rPr>
      <w:rFonts w:ascii="Tahoma" w:hAnsi="Tahoma" w:cs="Tahoma"/>
      <w:sz w:val="16"/>
      <w:szCs w:val="16"/>
    </w:rPr>
  </w:style>
  <w:style w:type="paragraph" w:customStyle="1" w:styleId="Style1">
    <w:name w:val="Style1"/>
    <w:basedOn w:val="Heading1"/>
    <w:pPr>
      <w:numPr>
        <w:numId w:val="0"/>
      </w:numPr>
      <w:tabs>
        <w:tab w:val="left" w:pos="709"/>
      </w:tabs>
      <w:spacing w:before="240" w:after="0"/>
      <w:ind w:left="851" w:hanging="851"/>
      <w:jc w:val="left"/>
    </w:pPr>
    <w:rPr>
      <w:bCs w:val="0"/>
      <w:szCs w:val="20"/>
      <w:lang w:eastAsia="zh-CN"/>
    </w:rPr>
  </w:style>
  <w:style w:type="paragraph" w:customStyle="1" w:styleId="Normal10pt">
    <w:name w:val="Normal + 10 pt"/>
    <w:aliases w:val="Condensed by  0,15 pt"/>
    <w:basedOn w:val="Normal"/>
    <w:pPr>
      <w:keepNext/>
      <w:suppressAutoHyphens/>
      <w:ind w:left="255"/>
    </w:pPr>
    <w:rPr>
      <w:spacing w:val="-3"/>
      <w:sz w:val="18"/>
      <w:szCs w:val="18"/>
      <w:lang w:eastAsia="zh-CN"/>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jc w:val="both"/>
    </w:pPr>
    <w:rPr>
      <w:b/>
      <w:szCs w:val="20"/>
      <w:lang w:eastAsia="en-US"/>
    </w:rPr>
  </w:style>
  <w:style w:type="paragraph" w:styleId="EndnoteText">
    <w:name w:val="endnote text"/>
    <w:basedOn w:val="Normal"/>
    <w:link w:val="EndnoteTextChar"/>
    <w:pPr>
      <w:spacing w:after="240"/>
      <w:jc w:val="both"/>
    </w:pPr>
    <w:rPr>
      <w:sz w:val="20"/>
      <w:szCs w:val="20"/>
      <w:lang w:eastAsia="en-US"/>
    </w:rPr>
  </w:style>
  <w:style w:type="character" w:customStyle="1" w:styleId="EndnoteTextChar">
    <w:name w:val="Endnote Text Char"/>
    <w:link w:val="EndnoteText"/>
    <w:rPr>
      <w:lang w:eastAsia="en-US"/>
    </w:rPr>
  </w:style>
  <w:style w:type="paragraph" w:styleId="Index2">
    <w:name w:val="index 2"/>
    <w:basedOn w:val="Normal"/>
    <w:next w:val="Normal"/>
    <w:autoRedefine/>
    <w:pPr>
      <w:spacing w:after="240"/>
      <w:ind w:left="480" w:hanging="240"/>
      <w:jc w:val="both"/>
    </w:pPr>
    <w:rPr>
      <w:szCs w:val="20"/>
      <w:lang w:eastAsia="en-US"/>
    </w:rPr>
  </w:style>
  <w:style w:type="paragraph" w:styleId="Index3">
    <w:name w:val="index 3"/>
    <w:basedOn w:val="Normal"/>
    <w:next w:val="Normal"/>
    <w:autoRedefine/>
    <w:pPr>
      <w:spacing w:after="240"/>
      <w:ind w:left="720" w:hanging="240"/>
      <w:jc w:val="both"/>
    </w:pPr>
    <w:rPr>
      <w:szCs w:val="20"/>
      <w:lang w:eastAsia="en-US"/>
    </w:rPr>
  </w:style>
  <w:style w:type="paragraph" w:styleId="Index4">
    <w:name w:val="index 4"/>
    <w:basedOn w:val="Normal"/>
    <w:next w:val="Normal"/>
    <w:autoRedefine/>
    <w:pPr>
      <w:spacing w:after="240"/>
      <w:ind w:left="960" w:hanging="240"/>
      <w:jc w:val="both"/>
    </w:pPr>
    <w:rPr>
      <w:szCs w:val="20"/>
      <w:lang w:eastAsia="en-US"/>
    </w:rPr>
  </w:style>
  <w:style w:type="paragraph" w:styleId="Index5">
    <w:name w:val="index 5"/>
    <w:basedOn w:val="Normal"/>
    <w:next w:val="Normal"/>
    <w:autoRedefine/>
    <w:pPr>
      <w:spacing w:after="240"/>
      <w:ind w:left="1200" w:hanging="240"/>
      <w:jc w:val="both"/>
    </w:pPr>
    <w:rPr>
      <w:szCs w:val="20"/>
      <w:lang w:eastAsia="en-US"/>
    </w:rPr>
  </w:style>
  <w:style w:type="paragraph" w:styleId="Index6">
    <w:name w:val="index 6"/>
    <w:basedOn w:val="Normal"/>
    <w:next w:val="Normal"/>
    <w:autoRedefine/>
    <w:pPr>
      <w:spacing w:after="240"/>
      <w:ind w:left="1440" w:hanging="240"/>
      <w:jc w:val="both"/>
    </w:pPr>
    <w:rPr>
      <w:szCs w:val="20"/>
      <w:lang w:eastAsia="en-US"/>
    </w:rPr>
  </w:style>
  <w:style w:type="paragraph" w:styleId="Index7">
    <w:name w:val="index 7"/>
    <w:basedOn w:val="Normal"/>
    <w:next w:val="Normal"/>
    <w:autoRedefine/>
    <w:pPr>
      <w:spacing w:after="240"/>
      <w:ind w:left="1680" w:hanging="240"/>
      <w:jc w:val="both"/>
    </w:pPr>
    <w:rPr>
      <w:szCs w:val="20"/>
      <w:lang w:eastAsia="en-US"/>
    </w:rPr>
  </w:style>
  <w:style w:type="paragraph" w:styleId="Index9">
    <w:name w:val="index 9"/>
    <w:basedOn w:val="Normal"/>
    <w:next w:val="Normal"/>
    <w:autoRedefine/>
    <w:pPr>
      <w:spacing w:after="240"/>
      <w:ind w:left="2160" w:hanging="240"/>
      <w:jc w:val="both"/>
    </w:pPr>
    <w:rPr>
      <w:szCs w:val="20"/>
      <w:lang w:eastAsia="en-US"/>
    </w:rPr>
  </w:style>
  <w:style w:type="paragraph" w:styleId="TableofAuthorities">
    <w:name w:val="table of authorities"/>
    <w:basedOn w:val="Normal"/>
    <w:next w:val="Normal"/>
    <w:pPr>
      <w:spacing w:after="240"/>
      <w:ind w:left="240" w:hanging="240"/>
      <w:jc w:val="both"/>
    </w:pPr>
    <w:rPr>
      <w:szCs w:val="20"/>
      <w:lang w:eastAsia="en-US"/>
    </w:rPr>
  </w:style>
  <w:style w:type="paragraph" w:styleId="TableofFigures">
    <w:name w:val="table of figures"/>
    <w:basedOn w:val="Normal"/>
    <w:next w:val="Normal"/>
    <w:pPr>
      <w:spacing w:after="240"/>
      <w:ind w:left="480" w:hanging="480"/>
      <w:jc w:val="both"/>
    </w:pPr>
    <w:rPr>
      <w:szCs w:val="20"/>
      <w:lang w:eastAsia="en-US"/>
    </w:rPr>
  </w:style>
  <w:style w:type="paragraph" w:styleId="TOAHeading">
    <w:name w:val="toa heading"/>
    <w:basedOn w:val="Normal"/>
    <w:next w:val="Normal"/>
    <w:pPr>
      <w:spacing w:before="120" w:after="240"/>
      <w:jc w:val="both"/>
    </w:pPr>
    <w:rPr>
      <w:rFonts w:ascii="Arial" w:hAnsi="Arial"/>
      <w:b/>
      <w:szCs w:val="20"/>
      <w:lang w:eastAsia="en-US"/>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pPr>
  </w:style>
  <w:style w:type="paragraph" w:styleId="NormalWeb">
    <w:name w:val="Normal (Web)"/>
    <w:basedOn w:val="Normal"/>
    <w:pPr>
      <w:spacing w:before="60" w:after="60"/>
    </w:pPr>
    <w:rPr>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rPr>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jc w:val="center"/>
    </w:pPr>
    <w:rPr>
      <w:b/>
      <w:u w:val="single"/>
      <w:lang w:eastAsia="de-DE"/>
    </w:rPr>
  </w:style>
  <w:style w:type="numbering" w:styleId="111111">
    <w:name w:val="Outline List 2"/>
    <w:basedOn w:val="NoList"/>
    <w:pPr>
      <w:numPr>
        <w:numId w:val="16"/>
      </w:numPr>
    </w:pPr>
  </w:style>
  <w:style w:type="character" w:customStyle="1" w:styleId="Text1Char">
    <w:name w:val="Text 1 Char"/>
    <w:link w:val="Text1"/>
    <w:locked/>
    <w:rPr>
      <w:rFonts w:eastAsia="MS PGothic"/>
      <w:noProof/>
      <w:sz w:val="24"/>
      <w:szCs w:val="24"/>
      <w:lang w:eastAsia="en-US"/>
    </w:rPr>
  </w:style>
  <w:style w:type="character" w:customStyle="1" w:styleId="FooterCoverPageChar">
    <w:name w:val="Footer Cover Page Char"/>
    <w:link w:val="FooterCoverPage"/>
    <w:rPr>
      <w:noProof/>
      <w:sz w:val="24"/>
      <w:szCs w:val="24"/>
    </w:rPr>
  </w:style>
  <w:style w:type="character" w:customStyle="1" w:styleId="HeaderCoverPageChar">
    <w:name w:val="Header Cover Page Char"/>
    <w:link w:val="HeaderCoverPage"/>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32"/>
      </w:numPr>
      <w:spacing w:before="360" w:after="120"/>
      <w:jc w:val="both"/>
      <w:outlineLvl w:val="0"/>
    </w:pPr>
    <w:rPr>
      <w:b/>
      <w:bCs/>
      <w:smallCaps/>
      <w:szCs w:val="32"/>
      <w:lang w:eastAsia="en-US"/>
    </w:rPr>
  </w:style>
  <w:style w:type="paragraph" w:styleId="Heading2">
    <w:name w:val="heading 2"/>
    <w:basedOn w:val="Normal"/>
    <w:next w:val="Text1"/>
    <w:link w:val="Heading2Char"/>
    <w:qFormat/>
    <w:pPr>
      <w:keepNext/>
      <w:numPr>
        <w:ilvl w:val="1"/>
        <w:numId w:val="32"/>
      </w:numPr>
      <w:spacing w:before="120" w:after="120"/>
      <w:jc w:val="both"/>
      <w:outlineLvl w:val="1"/>
    </w:pPr>
    <w:rPr>
      <w:b/>
      <w:bCs/>
      <w:iCs/>
      <w:szCs w:val="28"/>
      <w:lang w:eastAsia="en-US"/>
    </w:rPr>
  </w:style>
  <w:style w:type="paragraph" w:styleId="Heading3">
    <w:name w:val="heading 3"/>
    <w:basedOn w:val="Normal"/>
    <w:next w:val="Text1"/>
    <w:link w:val="Heading3Char"/>
    <w:qFormat/>
    <w:pPr>
      <w:keepNext/>
      <w:numPr>
        <w:ilvl w:val="2"/>
        <w:numId w:val="32"/>
      </w:numPr>
      <w:spacing w:before="120" w:after="120"/>
      <w:jc w:val="both"/>
      <w:outlineLvl w:val="2"/>
    </w:pPr>
    <w:rPr>
      <w:bCs/>
      <w:i/>
      <w:szCs w:val="26"/>
      <w:lang w:eastAsia="en-US"/>
    </w:rPr>
  </w:style>
  <w:style w:type="paragraph" w:styleId="Heading4">
    <w:name w:val="heading 4"/>
    <w:basedOn w:val="Normal"/>
    <w:next w:val="Text1"/>
    <w:link w:val="Heading4Char"/>
    <w:qFormat/>
    <w:pPr>
      <w:keepNext/>
      <w:numPr>
        <w:ilvl w:val="3"/>
        <w:numId w:val="32"/>
      </w:numPr>
      <w:spacing w:before="120" w:after="120"/>
      <w:jc w:val="both"/>
      <w:outlineLvl w:val="3"/>
    </w:pPr>
    <w:rPr>
      <w:bCs/>
      <w:szCs w:val="28"/>
      <w:lang w:eastAsia="en-US"/>
    </w:rPr>
  </w:style>
  <w:style w:type="paragraph" w:styleId="Heading5">
    <w:name w:val="heading 5"/>
    <w:basedOn w:val="Normal"/>
    <w:next w:val="Normal"/>
    <w:link w:val="Heading5Char"/>
    <w:qFormat/>
    <w:pPr>
      <w:spacing w:before="240" w:after="60"/>
      <w:jc w:val="both"/>
      <w:outlineLvl w:val="4"/>
    </w:pPr>
    <w:rPr>
      <w:rFonts w:ascii="Arial" w:hAnsi="Arial"/>
      <w:sz w:val="22"/>
      <w:szCs w:val="20"/>
      <w:lang w:eastAsia="zh-CN"/>
    </w:rPr>
  </w:style>
  <w:style w:type="paragraph" w:styleId="Heading6">
    <w:name w:val="heading 6"/>
    <w:basedOn w:val="Normal"/>
    <w:next w:val="Normal"/>
    <w:link w:val="Heading6Char"/>
    <w:qFormat/>
    <w:pPr>
      <w:spacing w:before="240" w:after="60"/>
      <w:jc w:val="both"/>
      <w:outlineLvl w:val="5"/>
    </w:pPr>
    <w:rPr>
      <w:rFonts w:ascii="Arial" w:hAnsi="Arial"/>
      <w:i/>
      <w:sz w:val="22"/>
      <w:szCs w:val="20"/>
      <w:lang w:eastAsia="zh-CN"/>
    </w:rPr>
  </w:style>
  <w:style w:type="paragraph" w:styleId="Heading7">
    <w:name w:val="heading 7"/>
    <w:basedOn w:val="Normal"/>
    <w:next w:val="Normal"/>
    <w:link w:val="Heading7Char"/>
    <w:qFormat/>
    <w:pPr>
      <w:spacing w:before="240" w:after="60"/>
      <w:jc w:val="both"/>
      <w:outlineLvl w:val="6"/>
    </w:pPr>
    <w:rPr>
      <w:rFonts w:ascii="Arial" w:hAnsi="Arial"/>
      <w:sz w:val="20"/>
      <w:szCs w:val="20"/>
      <w:lang w:eastAsia="zh-CN"/>
    </w:rPr>
  </w:style>
  <w:style w:type="paragraph" w:styleId="Heading8">
    <w:name w:val="heading 8"/>
    <w:basedOn w:val="Normal"/>
    <w:next w:val="Normal"/>
    <w:link w:val="Heading8Char"/>
    <w:qFormat/>
    <w:pPr>
      <w:spacing w:before="240" w:after="60"/>
      <w:jc w:val="both"/>
      <w:outlineLvl w:val="7"/>
    </w:pPr>
    <w:rPr>
      <w:rFonts w:ascii="Arial" w:hAnsi="Arial"/>
      <w:i/>
      <w:sz w:val="20"/>
      <w:szCs w:val="20"/>
      <w:lang w:eastAsia="zh-CN"/>
    </w:rPr>
  </w:style>
  <w:style w:type="paragraph" w:styleId="Heading9">
    <w:name w:val="heading 9"/>
    <w:basedOn w:val="Normal"/>
    <w:next w:val="Normal"/>
    <w:link w:val="Heading9Char"/>
    <w:qFormat/>
    <w:pPr>
      <w:spacing w:before="240" w:after="60"/>
      <w:jc w:val="both"/>
      <w:outlineLvl w:val="8"/>
    </w:pPr>
    <w:rPr>
      <w:rFonts w:ascii="Arial" w:hAnsi="Arial"/>
      <w:i/>
      <w:sz w:val="18"/>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Text1">
    <w:name w:val="Text 1"/>
    <w:basedOn w:val="Normal"/>
    <w:link w:val="Text1Char"/>
    <w:pPr>
      <w:spacing w:before="120" w:after="120"/>
      <w:ind w:left="850"/>
      <w:jc w:val="both"/>
    </w:pPr>
    <w:rPr>
      <w:rFonts w:eastAsia="MS PGothic"/>
      <w:noProof/>
      <w:lang w:eastAsia="en-US"/>
    </w:rPr>
  </w:style>
  <w:style w:type="paragraph" w:customStyle="1" w:styleId="Annexetitre">
    <w:name w:val="Annexe titre"/>
    <w:basedOn w:val="Normal"/>
    <w:next w:val="Normal"/>
    <w:pPr>
      <w:spacing w:before="120" w:after="120"/>
      <w:jc w:val="center"/>
    </w:pPr>
    <w:rPr>
      <w:b/>
      <w:u w:val="single"/>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Pr>
      <w:sz w:val="24"/>
      <w:szCs w:val="24"/>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sz w:val="24"/>
      <w:szCs w:val="28"/>
      <w:lang w:eastAsia="en-US"/>
    </w:rPr>
  </w:style>
  <w:style w:type="character" w:customStyle="1" w:styleId="Heading3Char">
    <w:name w:val="Heading 3 Char"/>
    <w:link w:val="Heading3"/>
    <w:rPr>
      <w:bCs/>
      <w:i/>
      <w:sz w:val="24"/>
      <w:szCs w:val="26"/>
      <w:lang w:eastAsia="en-US"/>
    </w:rPr>
  </w:style>
  <w:style w:type="character" w:customStyle="1" w:styleId="Heading4Char">
    <w:name w:val="Heading 4 Char"/>
    <w:link w:val="Heading4"/>
    <w:rPr>
      <w:bCs/>
      <w:sz w:val="24"/>
      <w:szCs w:val="28"/>
      <w:lang w:eastAsia="en-US"/>
    </w:rPr>
  </w:style>
  <w:style w:type="character" w:customStyle="1" w:styleId="Heading5Char">
    <w:name w:val="Heading 5 Char"/>
    <w:link w:val="Heading5"/>
    <w:rPr>
      <w:rFonts w:ascii="Arial" w:hAnsi="Arial"/>
      <w:sz w:val="22"/>
      <w:lang w:eastAsia="zh-CN"/>
    </w:rPr>
  </w:style>
  <w:style w:type="character" w:customStyle="1" w:styleId="Heading6Char">
    <w:name w:val="Heading 6 Char"/>
    <w:link w:val="Heading6"/>
    <w:rPr>
      <w:rFonts w:ascii="Arial" w:hAnsi="Arial"/>
      <w:i/>
      <w:sz w:val="22"/>
      <w:lang w:eastAsia="zh-CN"/>
    </w:rPr>
  </w:style>
  <w:style w:type="character" w:customStyle="1" w:styleId="Heading7Char">
    <w:name w:val="Heading 7 Char"/>
    <w:link w:val="Heading7"/>
    <w:rPr>
      <w:rFonts w:ascii="Arial" w:hAnsi="Arial"/>
      <w:lang w:eastAsia="zh-CN"/>
    </w:rPr>
  </w:style>
  <w:style w:type="character" w:customStyle="1" w:styleId="Heading8Char">
    <w:name w:val="Heading 8 Char"/>
    <w:link w:val="Heading8"/>
    <w:rPr>
      <w:rFonts w:ascii="Arial" w:hAnsi="Arial"/>
      <w:i/>
      <w:lang w:eastAsia="zh-CN"/>
    </w:rPr>
  </w:style>
  <w:style w:type="character" w:customStyle="1" w:styleId="Heading9Char">
    <w:name w:val="Heading 9 Char"/>
    <w:link w:val="Heading9"/>
    <w:rPr>
      <w:rFonts w:ascii="Arial" w:hAnsi="Arial"/>
      <w:i/>
      <w:sz w:val="18"/>
      <w:lang w:eastAsia="zh-CN"/>
    </w:rPr>
  </w:style>
  <w:style w:type="character" w:customStyle="1" w:styleId="HeaderChar">
    <w:name w:val="Header Char"/>
    <w:link w:val="Header"/>
    <w:rPr>
      <w:sz w:val="24"/>
      <w:szCs w:val="24"/>
    </w:rPr>
  </w:style>
  <w:style w:type="paragraph" w:styleId="FootnoteText">
    <w:name w:val="footnote text"/>
    <w:basedOn w:val="Normal"/>
    <w:link w:val="FootnoteTextChar"/>
    <w:pPr>
      <w:ind w:left="720" w:hanging="720"/>
      <w:jc w:val="both"/>
    </w:pPr>
    <w:rPr>
      <w:sz w:val="20"/>
      <w:szCs w:val="20"/>
      <w:lang w:eastAsia="en-US"/>
    </w:rPr>
  </w:style>
  <w:style w:type="character" w:customStyle="1" w:styleId="FootnoteTextChar">
    <w:name w:val="Footnote Text Char"/>
    <w:link w:val="FootnoteText"/>
    <w:rPr>
      <w:lang w:eastAsia="en-US"/>
    </w:rPr>
  </w:style>
  <w:style w:type="paragraph" w:styleId="TOC1">
    <w:name w:val="toc 1"/>
    <w:basedOn w:val="Normal"/>
    <w:next w:val="Normal"/>
    <w:uiPriority w:val="39"/>
    <w:pPr>
      <w:tabs>
        <w:tab w:val="right" w:leader="dot" w:pos="9071"/>
      </w:tabs>
      <w:spacing w:before="60" w:after="120"/>
      <w:ind w:left="850" w:hanging="850"/>
    </w:pPr>
    <w:rPr>
      <w:lang w:eastAsia="en-US"/>
    </w:rPr>
  </w:style>
  <w:style w:type="paragraph" w:styleId="TOC2">
    <w:name w:val="toc 2"/>
    <w:basedOn w:val="Normal"/>
    <w:next w:val="Normal"/>
    <w:uiPriority w:val="39"/>
    <w:pPr>
      <w:tabs>
        <w:tab w:val="right" w:leader="dot" w:pos="9071"/>
      </w:tabs>
      <w:spacing w:before="60" w:after="120"/>
      <w:ind w:left="850" w:hanging="850"/>
    </w:pPr>
    <w:rPr>
      <w:lang w:eastAsia="en-US"/>
    </w:rPr>
  </w:style>
  <w:style w:type="paragraph" w:styleId="TOC3">
    <w:name w:val="toc 3"/>
    <w:basedOn w:val="Normal"/>
    <w:next w:val="Normal"/>
    <w:uiPriority w:val="39"/>
    <w:pPr>
      <w:tabs>
        <w:tab w:val="right" w:leader="dot" w:pos="9071"/>
      </w:tabs>
      <w:spacing w:before="60" w:after="120"/>
      <w:ind w:left="850" w:hanging="850"/>
    </w:pPr>
    <w:rPr>
      <w:lang w:eastAsia="en-US"/>
    </w:rPr>
  </w:style>
  <w:style w:type="paragraph" w:styleId="TOC4">
    <w:name w:val="toc 4"/>
    <w:basedOn w:val="Normal"/>
    <w:next w:val="Normal"/>
    <w:uiPriority w:val="39"/>
    <w:pPr>
      <w:tabs>
        <w:tab w:val="right" w:leader="dot" w:pos="9071"/>
      </w:tabs>
      <w:spacing w:before="60" w:after="120"/>
      <w:ind w:left="850" w:hanging="850"/>
    </w:pPr>
    <w:rPr>
      <w:lang w:eastAsia="en-US"/>
    </w:rPr>
  </w:style>
  <w:style w:type="paragraph" w:styleId="TOC5">
    <w:name w:val="toc 5"/>
    <w:basedOn w:val="Normal"/>
    <w:next w:val="Normal"/>
    <w:uiPriority w:val="39"/>
    <w:pPr>
      <w:tabs>
        <w:tab w:val="right" w:leader="dot" w:pos="9071"/>
      </w:tabs>
      <w:spacing w:before="300" w:after="120"/>
    </w:pPr>
    <w:rPr>
      <w:lang w:eastAsia="en-US"/>
    </w:rPr>
  </w:style>
  <w:style w:type="paragraph" w:styleId="TOC6">
    <w:name w:val="toc 6"/>
    <w:basedOn w:val="Normal"/>
    <w:next w:val="Normal"/>
    <w:uiPriority w:val="39"/>
    <w:pPr>
      <w:tabs>
        <w:tab w:val="right" w:leader="dot" w:pos="9071"/>
      </w:tabs>
      <w:spacing w:before="240" w:after="120"/>
    </w:pPr>
    <w:rPr>
      <w:lang w:eastAsia="en-US"/>
    </w:rPr>
  </w:style>
  <w:style w:type="paragraph" w:styleId="TOC7">
    <w:name w:val="toc 7"/>
    <w:basedOn w:val="Normal"/>
    <w:next w:val="Normal"/>
    <w:uiPriority w:val="39"/>
    <w:pPr>
      <w:tabs>
        <w:tab w:val="right" w:leader="dot" w:pos="9071"/>
      </w:tabs>
      <w:spacing w:before="180" w:after="120"/>
    </w:pPr>
    <w:rPr>
      <w:lang w:eastAsia="en-US"/>
    </w:rPr>
  </w:style>
  <w:style w:type="paragraph" w:styleId="TOC8">
    <w:name w:val="toc 8"/>
    <w:basedOn w:val="Normal"/>
    <w:next w:val="Normal"/>
    <w:uiPriority w:val="39"/>
    <w:pPr>
      <w:tabs>
        <w:tab w:val="right" w:leader="dot" w:pos="9071"/>
      </w:tabs>
      <w:spacing w:before="120" w:after="120"/>
    </w:pPr>
    <w:rPr>
      <w:lang w:eastAsia="en-US"/>
    </w:rPr>
  </w:style>
  <w:style w:type="paragraph" w:styleId="TOC9">
    <w:name w:val="toc 9"/>
    <w:basedOn w:val="Normal"/>
    <w:next w:val="Normal"/>
    <w:uiPriority w:val="39"/>
    <w:pPr>
      <w:tabs>
        <w:tab w:val="right" w:leader="dot" w:pos="9071"/>
      </w:tabs>
      <w:spacing w:before="120" w:after="120"/>
      <w:jc w:val="both"/>
    </w:pPr>
    <w:rPr>
      <w:lang w:eastAsia="en-US"/>
    </w:rPr>
  </w:style>
  <w:style w:type="paragraph" w:customStyle="1" w:styleId="HeaderLandscape">
    <w:name w:val="HeaderLandscape"/>
    <w:basedOn w:val="Normal"/>
    <w:pPr>
      <w:tabs>
        <w:tab w:val="center" w:pos="7285"/>
        <w:tab w:val="right" w:pos="14003"/>
      </w:tabs>
      <w:spacing w:after="120"/>
      <w:jc w:val="both"/>
    </w:pPr>
    <w:rPr>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lang w:eastAsia="en-US"/>
    </w:rPr>
  </w:style>
  <w:style w:type="character" w:styleId="FootnoteReference">
    <w:name w:val="footnote reference"/>
    <w:rPr>
      <w:rFonts w:cs="Times New Roman"/>
      <w:shd w:val="clear" w:color="auto" w:fill="auto"/>
      <w:vertAlign w:val="superscript"/>
    </w:rPr>
  </w:style>
  <w:style w:type="paragraph" w:customStyle="1" w:styleId="Text2">
    <w:name w:val="Text 2"/>
    <w:basedOn w:val="Normal"/>
    <w:pPr>
      <w:spacing w:before="120" w:after="120"/>
      <w:ind w:left="1417"/>
      <w:jc w:val="both"/>
    </w:pPr>
    <w:rPr>
      <w:lang w:eastAsia="en-US"/>
    </w:rPr>
  </w:style>
  <w:style w:type="paragraph" w:customStyle="1" w:styleId="Text3">
    <w:name w:val="Text 3"/>
    <w:basedOn w:val="Normal"/>
    <w:pPr>
      <w:spacing w:before="120" w:after="120"/>
      <w:ind w:left="1984"/>
      <w:jc w:val="both"/>
    </w:pPr>
    <w:rPr>
      <w:lang w:eastAsia="en-US"/>
    </w:rPr>
  </w:style>
  <w:style w:type="paragraph" w:customStyle="1" w:styleId="Text4">
    <w:name w:val="Text 4"/>
    <w:basedOn w:val="Normal"/>
    <w:pPr>
      <w:spacing w:before="120" w:after="120"/>
      <w:ind w:left="2551"/>
      <w:jc w:val="both"/>
    </w:pPr>
    <w:rPr>
      <w:lang w:eastAsia="en-US"/>
    </w:rPr>
  </w:style>
  <w:style w:type="paragraph" w:customStyle="1" w:styleId="NormalCentered">
    <w:name w:val="Normal Centered"/>
    <w:basedOn w:val="Normal"/>
    <w:pPr>
      <w:spacing w:before="120" w:after="120"/>
      <w:jc w:val="center"/>
    </w:pPr>
    <w:rPr>
      <w:lang w:eastAsia="en-US"/>
    </w:rPr>
  </w:style>
  <w:style w:type="paragraph" w:customStyle="1" w:styleId="NormalLeft">
    <w:name w:val="Normal Left"/>
    <w:basedOn w:val="Normal"/>
    <w:pPr>
      <w:spacing w:before="120" w:after="120"/>
    </w:pPr>
    <w:rPr>
      <w:lang w:eastAsia="en-US"/>
    </w:rPr>
  </w:style>
  <w:style w:type="paragraph" w:customStyle="1" w:styleId="NormalRight">
    <w:name w:val="Normal Right"/>
    <w:basedOn w:val="Normal"/>
    <w:pPr>
      <w:spacing w:before="120" w:after="120"/>
      <w:jc w:val="right"/>
    </w:pPr>
    <w:rPr>
      <w:lang w:eastAsia="en-US"/>
    </w:rPr>
  </w:style>
  <w:style w:type="paragraph" w:customStyle="1" w:styleId="QuotedText">
    <w:name w:val="Quoted Text"/>
    <w:basedOn w:val="Normal"/>
    <w:pPr>
      <w:spacing w:before="120" w:after="120"/>
      <w:ind w:left="1417"/>
      <w:jc w:val="both"/>
    </w:pPr>
    <w:rPr>
      <w:lang w:eastAsia="en-US"/>
    </w:rPr>
  </w:style>
  <w:style w:type="paragraph" w:customStyle="1" w:styleId="Point0">
    <w:name w:val="Point 0"/>
    <w:basedOn w:val="Normal"/>
    <w:pPr>
      <w:spacing w:before="120" w:after="120"/>
      <w:ind w:left="850" w:hanging="850"/>
      <w:jc w:val="both"/>
    </w:pPr>
    <w:rPr>
      <w:lang w:eastAsia="en-US"/>
    </w:rPr>
  </w:style>
  <w:style w:type="paragraph" w:customStyle="1" w:styleId="Point1">
    <w:name w:val="Point 1"/>
    <w:basedOn w:val="Normal"/>
    <w:pPr>
      <w:spacing w:before="120" w:after="120"/>
      <w:ind w:left="1417" w:hanging="567"/>
      <w:jc w:val="both"/>
    </w:pPr>
    <w:rPr>
      <w:lang w:eastAsia="en-US"/>
    </w:rPr>
  </w:style>
  <w:style w:type="paragraph" w:customStyle="1" w:styleId="Point2">
    <w:name w:val="Point 2"/>
    <w:basedOn w:val="Normal"/>
    <w:pPr>
      <w:spacing w:before="120" w:after="120"/>
      <w:ind w:left="1984" w:hanging="567"/>
      <w:jc w:val="both"/>
    </w:pPr>
    <w:rPr>
      <w:lang w:eastAsia="en-US"/>
    </w:rPr>
  </w:style>
  <w:style w:type="paragraph" w:customStyle="1" w:styleId="Point3">
    <w:name w:val="Point 3"/>
    <w:basedOn w:val="Normal"/>
    <w:pPr>
      <w:spacing w:before="120" w:after="120"/>
      <w:ind w:left="2551" w:hanging="567"/>
      <w:jc w:val="both"/>
    </w:pPr>
    <w:rPr>
      <w:lang w:eastAsia="en-US"/>
    </w:rPr>
  </w:style>
  <w:style w:type="paragraph" w:customStyle="1" w:styleId="Point4">
    <w:name w:val="Point 4"/>
    <w:basedOn w:val="Normal"/>
    <w:pPr>
      <w:spacing w:before="120" w:after="120"/>
      <w:ind w:left="3118" w:hanging="567"/>
      <w:jc w:val="both"/>
    </w:pPr>
    <w:rPr>
      <w:lang w:eastAsia="en-US"/>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ind w:left="1417" w:hanging="1417"/>
      <w:jc w:val="both"/>
    </w:pPr>
    <w:rPr>
      <w:lang w:eastAsia="en-US"/>
    </w:rPr>
  </w:style>
  <w:style w:type="paragraph" w:customStyle="1" w:styleId="PointDouble1">
    <w:name w:val="PointDouble 1"/>
    <w:basedOn w:val="Normal"/>
    <w:pPr>
      <w:tabs>
        <w:tab w:val="left" w:pos="1417"/>
      </w:tabs>
      <w:spacing w:before="120" w:after="120"/>
      <w:ind w:left="1984" w:hanging="1134"/>
      <w:jc w:val="both"/>
    </w:pPr>
    <w:rPr>
      <w:lang w:eastAsia="en-US"/>
    </w:rPr>
  </w:style>
  <w:style w:type="paragraph" w:customStyle="1" w:styleId="PointDouble2">
    <w:name w:val="PointDouble 2"/>
    <w:basedOn w:val="Normal"/>
    <w:pPr>
      <w:tabs>
        <w:tab w:val="left" w:pos="1984"/>
      </w:tabs>
      <w:spacing w:before="120" w:after="120"/>
      <w:ind w:left="2551" w:hanging="1134"/>
      <w:jc w:val="both"/>
    </w:pPr>
    <w:rPr>
      <w:lang w:eastAsia="en-US"/>
    </w:rPr>
  </w:style>
  <w:style w:type="paragraph" w:customStyle="1" w:styleId="PointDouble3">
    <w:name w:val="PointDouble 3"/>
    <w:basedOn w:val="Normal"/>
    <w:pPr>
      <w:tabs>
        <w:tab w:val="left" w:pos="2551"/>
      </w:tabs>
      <w:spacing w:before="120" w:after="120"/>
      <w:ind w:left="3118" w:hanging="1134"/>
      <w:jc w:val="both"/>
    </w:pPr>
    <w:rPr>
      <w:lang w:eastAsia="en-US"/>
    </w:rPr>
  </w:style>
  <w:style w:type="paragraph" w:customStyle="1" w:styleId="PointDouble4">
    <w:name w:val="PointDouble 4"/>
    <w:basedOn w:val="Normal"/>
    <w:pPr>
      <w:tabs>
        <w:tab w:val="left" w:pos="3118"/>
      </w:tabs>
      <w:spacing w:before="120" w:after="120"/>
      <w:ind w:left="3685" w:hanging="1134"/>
      <w:jc w:val="both"/>
    </w:pPr>
    <w:rPr>
      <w:lang w:eastAsia="en-US"/>
    </w:rPr>
  </w:style>
  <w:style w:type="paragraph" w:customStyle="1" w:styleId="PointTriple0">
    <w:name w:val="PointTriple 0"/>
    <w:basedOn w:val="Normal"/>
    <w:pPr>
      <w:tabs>
        <w:tab w:val="left" w:pos="850"/>
        <w:tab w:val="left" w:pos="1417"/>
      </w:tabs>
      <w:spacing w:before="120" w:after="120"/>
      <w:ind w:left="1984" w:hanging="1984"/>
      <w:jc w:val="both"/>
    </w:pPr>
    <w:rPr>
      <w:lang w:eastAsia="en-US"/>
    </w:rPr>
  </w:style>
  <w:style w:type="paragraph" w:customStyle="1" w:styleId="PointTriple1">
    <w:name w:val="PointTriple 1"/>
    <w:basedOn w:val="Normal"/>
    <w:pPr>
      <w:tabs>
        <w:tab w:val="left" w:pos="1417"/>
        <w:tab w:val="left" w:pos="1984"/>
      </w:tabs>
      <w:spacing w:before="120" w:after="120"/>
      <w:ind w:left="2551" w:hanging="1701"/>
      <w:jc w:val="both"/>
    </w:pPr>
    <w:rPr>
      <w:lang w:eastAsia="en-US"/>
    </w:rPr>
  </w:style>
  <w:style w:type="paragraph" w:customStyle="1" w:styleId="PointTriple2">
    <w:name w:val="PointTriple 2"/>
    <w:basedOn w:val="Normal"/>
    <w:pPr>
      <w:tabs>
        <w:tab w:val="left" w:pos="1984"/>
        <w:tab w:val="left" w:pos="2551"/>
      </w:tabs>
      <w:spacing w:before="120" w:after="120"/>
      <w:ind w:left="3118" w:hanging="1701"/>
      <w:jc w:val="both"/>
    </w:pPr>
    <w:rPr>
      <w:lang w:eastAsia="en-US"/>
    </w:rPr>
  </w:style>
  <w:style w:type="paragraph" w:customStyle="1" w:styleId="PointTriple3">
    <w:name w:val="PointTriple 3"/>
    <w:basedOn w:val="Normal"/>
    <w:pPr>
      <w:tabs>
        <w:tab w:val="left" w:pos="2551"/>
        <w:tab w:val="left" w:pos="3118"/>
      </w:tabs>
      <w:spacing w:before="120" w:after="120"/>
      <w:ind w:left="3685" w:hanging="1701"/>
      <w:jc w:val="both"/>
    </w:pPr>
    <w:rPr>
      <w:lang w:eastAsia="en-US"/>
    </w:rPr>
  </w:style>
  <w:style w:type="paragraph" w:customStyle="1" w:styleId="PointTriple4">
    <w:name w:val="PointTriple 4"/>
    <w:basedOn w:val="Normal"/>
    <w:pPr>
      <w:tabs>
        <w:tab w:val="left" w:pos="3118"/>
        <w:tab w:val="left" w:pos="3685"/>
      </w:tabs>
      <w:spacing w:before="120" w:after="120"/>
      <w:ind w:left="4252" w:hanging="1701"/>
      <w:jc w:val="both"/>
    </w:pPr>
    <w:rPr>
      <w:lang w:eastAsia="en-US"/>
    </w:rPr>
  </w:style>
  <w:style w:type="paragraph" w:customStyle="1" w:styleId="NumPar1">
    <w:name w:val="NumPar 1"/>
    <w:basedOn w:val="Normal"/>
    <w:next w:val="Text1"/>
    <w:pPr>
      <w:numPr>
        <w:numId w:val="6"/>
      </w:numPr>
      <w:spacing w:before="120" w:after="120"/>
      <w:jc w:val="both"/>
    </w:pPr>
    <w:rPr>
      <w:lang w:eastAsia="en-US"/>
    </w:rPr>
  </w:style>
  <w:style w:type="paragraph" w:customStyle="1" w:styleId="NumPar2">
    <w:name w:val="NumPar 2"/>
    <w:basedOn w:val="Normal"/>
    <w:next w:val="Text1"/>
    <w:pPr>
      <w:numPr>
        <w:ilvl w:val="1"/>
        <w:numId w:val="6"/>
      </w:numPr>
      <w:spacing w:before="120" w:after="120"/>
      <w:jc w:val="both"/>
    </w:pPr>
    <w:rPr>
      <w:lang w:eastAsia="en-US"/>
    </w:rPr>
  </w:style>
  <w:style w:type="paragraph" w:customStyle="1" w:styleId="NumPar3">
    <w:name w:val="NumPar 3"/>
    <w:basedOn w:val="Normal"/>
    <w:next w:val="Text1"/>
    <w:pPr>
      <w:numPr>
        <w:ilvl w:val="2"/>
        <w:numId w:val="6"/>
      </w:numPr>
      <w:spacing w:before="120" w:after="120"/>
      <w:jc w:val="both"/>
    </w:pPr>
    <w:rPr>
      <w:lang w:eastAsia="en-US"/>
    </w:rPr>
  </w:style>
  <w:style w:type="paragraph" w:customStyle="1" w:styleId="NumPar4">
    <w:name w:val="NumPar 4"/>
    <w:basedOn w:val="Normal"/>
    <w:next w:val="Text1"/>
    <w:pPr>
      <w:numPr>
        <w:ilvl w:val="3"/>
        <w:numId w:val="6"/>
      </w:numPr>
      <w:spacing w:before="120" w:after="120"/>
      <w:jc w:val="both"/>
    </w:pPr>
    <w:rPr>
      <w:lang w:eastAsia="en-US"/>
    </w:rPr>
  </w:style>
  <w:style w:type="paragraph" w:customStyle="1" w:styleId="ManualNumPar1">
    <w:name w:val="Manual NumPar 1"/>
    <w:basedOn w:val="Normal"/>
    <w:next w:val="Text1"/>
    <w:pPr>
      <w:spacing w:before="120" w:after="120"/>
      <w:ind w:left="850" w:hanging="850"/>
      <w:jc w:val="both"/>
    </w:pPr>
    <w:rPr>
      <w:lang w:eastAsia="en-US"/>
    </w:rPr>
  </w:style>
  <w:style w:type="paragraph" w:customStyle="1" w:styleId="ManualNumPar2">
    <w:name w:val="Manual NumPar 2"/>
    <w:basedOn w:val="Normal"/>
    <w:next w:val="Text1"/>
    <w:pPr>
      <w:spacing w:before="120" w:after="120"/>
      <w:ind w:left="850" w:hanging="850"/>
      <w:jc w:val="both"/>
    </w:pPr>
    <w:rPr>
      <w:lang w:eastAsia="en-US"/>
    </w:rPr>
  </w:style>
  <w:style w:type="paragraph" w:customStyle="1" w:styleId="ManualNumPar3">
    <w:name w:val="Manual NumPar 3"/>
    <w:basedOn w:val="Normal"/>
    <w:next w:val="Text1"/>
    <w:pPr>
      <w:spacing w:before="120" w:after="120"/>
      <w:ind w:left="850" w:hanging="850"/>
      <w:jc w:val="both"/>
    </w:pPr>
    <w:rPr>
      <w:lang w:eastAsia="en-US"/>
    </w:rPr>
  </w:style>
  <w:style w:type="paragraph" w:customStyle="1" w:styleId="ManualNumPar4">
    <w:name w:val="Manual NumPar 4"/>
    <w:basedOn w:val="Normal"/>
    <w:next w:val="Text1"/>
    <w:pPr>
      <w:spacing w:before="120" w:after="120"/>
      <w:ind w:left="850" w:hanging="850"/>
      <w:jc w:val="both"/>
    </w:pPr>
    <w:rPr>
      <w:lang w:eastAsia="en-US"/>
    </w:rPr>
  </w:style>
  <w:style w:type="paragraph" w:customStyle="1" w:styleId="QuotedNumPar">
    <w:name w:val="Quoted NumPar"/>
    <w:basedOn w:val="Normal"/>
    <w:pPr>
      <w:spacing w:before="120" w:after="120"/>
      <w:ind w:left="1417" w:hanging="567"/>
      <w:jc w:val="both"/>
    </w:pPr>
    <w:rPr>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b/>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i/>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lang w:eastAsia="en-US"/>
    </w:rPr>
  </w:style>
  <w:style w:type="paragraph" w:customStyle="1" w:styleId="ChapterTitle">
    <w:name w:val="ChapterTitle"/>
    <w:basedOn w:val="Normal"/>
    <w:next w:val="Normal"/>
    <w:pPr>
      <w:keepNext/>
      <w:spacing w:before="120" w:after="360"/>
      <w:jc w:val="center"/>
    </w:pPr>
    <w:rPr>
      <w:b/>
      <w:sz w:val="32"/>
      <w:lang w:eastAsia="en-US"/>
    </w:rPr>
  </w:style>
  <w:style w:type="paragraph" w:customStyle="1" w:styleId="PartTitle">
    <w:name w:val="PartTitle"/>
    <w:basedOn w:val="Normal"/>
    <w:next w:val="ChapterTitle"/>
    <w:pPr>
      <w:keepNext/>
      <w:pageBreakBefore/>
      <w:spacing w:before="120" w:after="360"/>
      <w:jc w:val="center"/>
    </w:pPr>
    <w:rPr>
      <w:b/>
      <w:sz w:val="36"/>
      <w:lang w:eastAsia="en-US"/>
    </w:rPr>
  </w:style>
  <w:style w:type="paragraph" w:customStyle="1" w:styleId="SectionTitle">
    <w:name w:val="SectionTitle"/>
    <w:basedOn w:val="Normal"/>
    <w:next w:val="Heading1"/>
    <w:pPr>
      <w:keepNext/>
      <w:spacing w:before="120" w:after="360"/>
      <w:jc w:val="center"/>
    </w:pPr>
    <w:rPr>
      <w:b/>
      <w:smallCaps/>
      <w:sz w:val="28"/>
      <w:lang w:eastAsia="en-US"/>
    </w:rPr>
  </w:style>
  <w:style w:type="paragraph" w:customStyle="1" w:styleId="TableTitle">
    <w:name w:val="Table Title"/>
    <w:basedOn w:val="Normal"/>
    <w:next w:val="Normal"/>
    <w:pPr>
      <w:spacing w:before="120" w:after="120"/>
      <w:jc w:val="center"/>
    </w:pPr>
    <w:rPr>
      <w:b/>
      <w:lang w:eastAsia="en-US"/>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qFormat/>
    <w:pPr>
      <w:spacing w:before="120" w:after="240"/>
      <w:jc w:val="center"/>
    </w:pPr>
    <w:rPr>
      <w:b/>
      <w:sz w:val="28"/>
      <w:lang w:eastAsia="en-US"/>
    </w:rPr>
  </w:style>
  <w:style w:type="paragraph" w:customStyle="1" w:styleId="Point0number">
    <w:name w:val="Point 0 (number)"/>
    <w:basedOn w:val="Normal"/>
    <w:pPr>
      <w:numPr>
        <w:numId w:val="7"/>
      </w:numPr>
      <w:spacing w:before="120" w:after="120"/>
      <w:jc w:val="both"/>
    </w:pPr>
    <w:rPr>
      <w:lang w:eastAsia="en-US"/>
    </w:rPr>
  </w:style>
  <w:style w:type="paragraph" w:customStyle="1" w:styleId="Point1number">
    <w:name w:val="Point 1 (number)"/>
    <w:basedOn w:val="Normal"/>
    <w:pPr>
      <w:numPr>
        <w:ilvl w:val="2"/>
        <w:numId w:val="7"/>
      </w:numPr>
      <w:spacing w:before="120" w:after="120"/>
      <w:jc w:val="both"/>
    </w:pPr>
    <w:rPr>
      <w:lang w:eastAsia="en-US"/>
    </w:rPr>
  </w:style>
  <w:style w:type="paragraph" w:customStyle="1" w:styleId="Point2number">
    <w:name w:val="Point 2 (number)"/>
    <w:basedOn w:val="Normal"/>
    <w:pPr>
      <w:numPr>
        <w:ilvl w:val="4"/>
        <w:numId w:val="7"/>
      </w:numPr>
      <w:spacing w:before="120" w:after="120"/>
      <w:jc w:val="both"/>
    </w:pPr>
    <w:rPr>
      <w:lang w:eastAsia="en-US"/>
    </w:rPr>
  </w:style>
  <w:style w:type="paragraph" w:customStyle="1" w:styleId="Point3number">
    <w:name w:val="Point 3 (number)"/>
    <w:basedOn w:val="Normal"/>
    <w:pPr>
      <w:numPr>
        <w:ilvl w:val="6"/>
        <w:numId w:val="7"/>
      </w:numPr>
      <w:spacing w:before="120" w:after="120"/>
      <w:jc w:val="both"/>
    </w:pPr>
    <w:rPr>
      <w:lang w:eastAsia="en-US"/>
    </w:rPr>
  </w:style>
  <w:style w:type="paragraph" w:customStyle="1" w:styleId="Point0letter">
    <w:name w:val="Point 0 (letter)"/>
    <w:basedOn w:val="Normal"/>
    <w:pPr>
      <w:numPr>
        <w:ilvl w:val="1"/>
        <w:numId w:val="7"/>
      </w:numPr>
      <w:spacing w:before="120" w:after="120"/>
      <w:jc w:val="both"/>
    </w:pPr>
    <w:rPr>
      <w:lang w:eastAsia="en-US"/>
    </w:rPr>
  </w:style>
  <w:style w:type="paragraph" w:customStyle="1" w:styleId="Point1letter">
    <w:name w:val="Point 1 (letter)"/>
    <w:basedOn w:val="Normal"/>
    <w:pPr>
      <w:numPr>
        <w:ilvl w:val="3"/>
        <w:numId w:val="7"/>
      </w:numPr>
      <w:spacing w:before="120" w:after="120"/>
      <w:jc w:val="both"/>
    </w:pPr>
    <w:rPr>
      <w:lang w:eastAsia="en-US"/>
    </w:rPr>
  </w:style>
  <w:style w:type="paragraph" w:customStyle="1" w:styleId="Point2letter">
    <w:name w:val="Point 2 (letter)"/>
    <w:basedOn w:val="Normal"/>
    <w:pPr>
      <w:numPr>
        <w:ilvl w:val="5"/>
        <w:numId w:val="7"/>
      </w:numPr>
      <w:spacing w:before="120" w:after="120"/>
      <w:jc w:val="both"/>
    </w:pPr>
    <w:rPr>
      <w:lang w:eastAsia="en-US"/>
    </w:rPr>
  </w:style>
  <w:style w:type="paragraph" w:customStyle="1" w:styleId="Point3letter">
    <w:name w:val="Point 3 (letter)"/>
    <w:basedOn w:val="Normal"/>
    <w:pPr>
      <w:numPr>
        <w:ilvl w:val="7"/>
        <w:numId w:val="7"/>
      </w:numPr>
      <w:spacing w:before="120" w:after="120"/>
      <w:jc w:val="both"/>
    </w:pPr>
    <w:rPr>
      <w:lang w:eastAsia="en-US"/>
    </w:rPr>
  </w:style>
  <w:style w:type="paragraph" w:customStyle="1" w:styleId="Point4letter">
    <w:name w:val="Point 4 (letter)"/>
    <w:basedOn w:val="Normal"/>
    <w:pPr>
      <w:numPr>
        <w:ilvl w:val="8"/>
        <w:numId w:val="7"/>
      </w:numPr>
      <w:spacing w:before="120" w:after="120"/>
      <w:jc w:val="both"/>
    </w:pPr>
    <w:rPr>
      <w:lang w:eastAsia="en-US"/>
    </w:rPr>
  </w:style>
  <w:style w:type="paragraph" w:customStyle="1" w:styleId="Bullet0">
    <w:name w:val="Bullet 0"/>
    <w:basedOn w:val="Normal"/>
    <w:pPr>
      <w:numPr>
        <w:numId w:val="8"/>
      </w:numPr>
      <w:spacing w:before="120" w:after="120"/>
      <w:jc w:val="both"/>
    </w:pPr>
    <w:rPr>
      <w:lang w:eastAsia="en-US"/>
    </w:rPr>
  </w:style>
  <w:style w:type="paragraph" w:customStyle="1" w:styleId="Bullet1">
    <w:name w:val="Bullet 1"/>
    <w:basedOn w:val="Normal"/>
    <w:pPr>
      <w:numPr>
        <w:numId w:val="9"/>
      </w:numPr>
      <w:spacing w:before="120" w:after="120"/>
      <w:jc w:val="both"/>
    </w:pPr>
    <w:rPr>
      <w:lang w:eastAsia="en-US"/>
    </w:rPr>
  </w:style>
  <w:style w:type="paragraph" w:customStyle="1" w:styleId="Bullet2">
    <w:name w:val="Bullet 2"/>
    <w:basedOn w:val="Normal"/>
    <w:pPr>
      <w:numPr>
        <w:numId w:val="10"/>
      </w:numPr>
      <w:spacing w:before="120" w:after="120"/>
      <w:jc w:val="both"/>
    </w:pPr>
    <w:rPr>
      <w:lang w:eastAsia="en-US"/>
    </w:rPr>
  </w:style>
  <w:style w:type="paragraph" w:customStyle="1" w:styleId="Bullet3">
    <w:name w:val="Bullet 3"/>
    <w:basedOn w:val="Normal"/>
    <w:pPr>
      <w:numPr>
        <w:numId w:val="11"/>
      </w:numPr>
      <w:spacing w:before="120" w:after="120"/>
      <w:jc w:val="both"/>
    </w:pPr>
    <w:rPr>
      <w:lang w:eastAsia="en-US"/>
    </w:rPr>
  </w:style>
  <w:style w:type="paragraph" w:customStyle="1" w:styleId="Bullet4">
    <w:name w:val="Bullet 4"/>
    <w:basedOn w:val="Normal"/>
    <w:pPr>
      <w:numPr>
        <w:numId w:val="12"/>
      </w:numPr>
      <w:spacing w:before="120" w:after="120"/>
      <w:jc w:val="both"/>
    </w:pPr>
    <w:rPr>
      <w:lang w:eastAsia="en-US"/>
    </w:rPr>
  </w:style>
  <w:style w:type="paragraph" w:customStyle="1" w:styleId="Annexetitreexpos">
    <w:name w:val="Annexe titre (exposé)"/>
    <w:basedOn w:val="Normal"/>
    <w:next w:val="Normal"/>
    <w:pPr>
      <w:spacing w:before="120" w:after="120"/>
      <w:jc w:val="center"/>
    </w:pPr>
    <w:rPr>
      <w:b/>
      <w:u w:val="single"/>
      <w:lang w:eastAsia="en-US"/>
    </w:rPr>
  </w:style>
  <w:style w:type="paragraph" w:customStyle="1" w:styleId="Annexetitrefichefinancire">
    <w:name w:val="Annexe titre (fiche financière)"/>
    <w:basedOn w:val="Normal"/>
    <w:next w:val="Normal"/>
    <w:pPr>
      <w:spacing w:before="120" w:after="120"/>
      <w:jc w:val="center"/>
    </w:pPr>
    <w:rPr>
      <w:b/>
      <w:u w:val="single"/>
      <w:lang w:eastAsia="en-US"/>
    </w:rPr>
  </w:style>
  <w:style w:type="paragraph" w:customStyle="1" w:styleId="Applicationdirecte">
    <w:name w:val="Application directe"/>
    <w:basedOn w:val="Normal"/>
    <w:next w:val="Fait"/>
    <w:pPr>
      <w:spacing w:before="480" w:after="120"/>
      <w:jc w:val="both"/>
    </w:pPr>
    <w:rPr>
      <w:lang w:eastAsia="en-US"/>
    </w:rPr>
  </w:style>
  <w:style w:type="paragraph" w:customStyle="1" w:styleId="Avertissementtitre">
    <w:name w:val="Avertissement titre"/>
    <w:basedOn w:val="Normal"/>
    <w:next w:val="Normal"/>
    <w:pPr>
      <w:keepNext/>
      <w:spacing w:before="480" w:after="120"/>
      <w:jc w:val="both"/>
    </w:pPr>
    <w:rPr>
      <w:u w:val="single"/>
      <w:lang w:eastAsia="en-US"/>
    </w:rPr>
  </w:style>
  <w:style w:type="paragraph" w:customStyle="1" w:styleId="Confidence">
    <w:name w:val="Confidence"/>
    <w:basedOn w:val="Normal"/>
    <w:next w:val="Normal"/>
    <w:pPr>
      <w:spacing w:before="360" w:after="120"/>
      <w:jc w:val="center"/>
    </w:pPr>
    <w:rPr>
      <w:lang w:eastAsia="en-US"/>
    </w:rPr>
  </w:style>
  <w:style w:type="paragraph" w:customStyle="1" w:styleId="Confidentialit">
    <w:name w:val="Confidentialité"/>
    <w:basedOn w:val="Normal"/>
    <w:next w:val="TypedudocumentPagedecouverture"/>
    <w:pPr>
      <w:spacing w:before="240" w:after="240"/>
      <w:ind w:left="5103"/>
      <w:jc w:val="both"/>
    </w:pPr>
    <w:rPr>
      <w:i/>
      <w:sz w:val="32"/>
      <w:lang w:eastAsia="en-US"/>
    </w:rPr>
  </w:style>
  <w:style w:type="paragraph" w:customStyle="1" w:styleId="Considrant">
    <w:name w:val="Considérant"/>
    <w:basedOn w:val="Normal"/>
    <w:pPr>
      <w:numPr>
        <w:numId w:val="13"/>
      </w:numPr>
      <w:spacing w:before="120" w:after="120"/>
      <w:jc w:val="both"/>
    </w:pPr>
    <w:rPr>
      <w:lang w:eastAsia="en-US"/>
    </w:rPr>
  </w:style>
  <w:style w:type="paragraph" w:customStyle="1" w:styleId="Corrigendum">
    <w:name w:val="Corrigendum"/>
    <w:basedOn w:val="Normal"/>
    <w:next w:val="Normal"/>
    <w:pPr>
      <w:spacing w:after="240"/>
    </w:pPr>
    <w:rPr>
      <w:lang w:eastAsia="en-US"/>
    </w:rPr>
  </w:style>
  <w:style w:type="paragraph" w:customStyle="1" w:styleId="Datedadoption">
    <w:name w:val="Date d'adoption"/>
    <w:basedOn w:val="Normal"/>
    <w:next w:val="Titreobjet"/>
    <w:pPr>
      <w:spacing w:before="360"/>
      <w:jc w:val="center"/>
    </w:pPr>
    <w:rPr>
      <w:b/>
      <w:lang w:eastAsia="en-US"/>
    </w:rPr>
  </w:style>
  <w:style w:type="paragraph" w:customStyle="1" w:styleId="Emission">
    <w:name w:val="Emission"/>
    <w:basedOn w:val="Normal"/>
    <w:next w:val="Rfrenceinstitutionnelle"/>
    <w:pPr>
      <w:ind w:left="5103"/>
    </w:pPr>
    <w:rPr>
      <w:lang w:eastAsia="en-US"/>
    </w:rPr>
  </w:style>
  <w:style w:type="paragraph" w:customStyle="1" w:styleId="Exposdesmotifstitre">
    <w:name w:val="Exposé des motifs titre"/>
    <w:basedOn w:val="Normal"/>
    <w:next w:val="Normal"/>
    <w:pPr>
      <w:spacing w:before="120" w:after="120"/>
      <w:jc w:val="center"/>
    </w:pPr>
    <w:rPr>
      <w:b/>
      <w:u w:val="single"/>
      <w:lang w:eastAsia="en-US"/>
    </w:rPr>
  </w:style>
  <w:style w:type="paragraph" w:customStyle="1" w:styleId="Fait">
    <w:name w:val="Fait à"/>
    <w:basedOn w:val="Normal"/>
    <w:next w:val="Institutionquisigne"/>
    <w:pPr>
      <w:keepNext/>
      <w:spacing w:before="120"/>
      <w:jc w:val="both"/>
    </w:pPr>
    <w:rPr>
      <w:lang w:eastAsia="en-US"/>
    </w:rPr>
  </w:style>
  <w:style w:type="paragraph" w:customStyle="1" w:styleId="Formuledadoption">
    <w:name w:val="Formule d'adoption"/>
    <w:basedOn w:val="Normal"/>
    <w:next w:val="Titrearticle"/>
    <w:pPr>
      <w:keepNext/>
      <w:spacing w:before="120" w:after="120"/>
      <w:jc w:val="both"/>
    </w:pPr>
    <w:rPr>
      <w:lang w:eastAsia="en-US"/>
    </w:rPr>
  </w:style>
  <w:style w:type="paragraph" w:customStyle="1" w:styleId="Institutionquiagit">
    <w:name w:val="Institution qui agit"/>
    <w:basedOn w:val="Normal"/>
    <w:next w:val="Normal"/>
    <w:pPr>
      <w:keepNext/>
      <w:spacing w:before="600" w:after="120"/>
      <w:jc w:val="both"/>
    </w:pPr>
    <w:rPr>
      <w:lang w:eastAsia="en-US"/>
    </w:rPr>
  </w:style>
  <w:style w:type="paragraph" w:customStyle="1" w:styleId="Institutionquisigne">
    <w:name w:val="Institution qui signe"/>
    <w:basedOn w:val="Normal"/>
    <w:next w:val="Personnequisigne"/>
    <w:pPr>
      <w:keepNext/>
      <w:tabs>
        <w:tab w:val="left" w:pos="4252"/>
      </w:tabs>
      <w:spacing w:before="720"/>
      <w:jc w:val="both"/>
    </w:pPr>
    <w:rPr>
      <w:i/>
      <w:lang w:eastAsia="en-US"/>
    </w:rPr>
  </w:style>
  <w:style w:type="paragraph" w:customStyle="1" w:styleId="Langue">
    <w:name w:val="Langue"/>
    <w:basedOn w:val="Normal"/>
    <w:next w:val="Rfrenceinterne"/>
    <w:pPr>
      <w:framePr w:wrap="around" w:vAnchor="page" w:hAnchor="text" w:xAlign="center" w:y="14741"/>
      <w:spacing w:after="600"/>
      <w:jc w:val="center"/>
    </w:pPr>
    <w:rPr>
      <w:b/>
      <w:caps/>
      <w:lang w:eastAsia="en-US"/>
    </w:rPr>
  </w:style>
  <w:style w:type="paragraph" w:customStyle="1" w:styleId="ManualConsidrant">
    <w:name w:val="Manual Considérant"/>
    <w:basedOn w:val="Normal"/>
    <w:pPr>
      <w:spacing w:before="120" w:after="120"/>
      <w:ind w:left="709" w:hanging="709"/>
      <w:jc w:val="both"/>
    </w:pPr>
    <w:rPr>
      <w:lang w:eastAsia="en-US"/>
    </w:rPr>
  </w:style>
  <w:style w:type="paragraph" w:customStyle="1" w:styleId="Nomdelinstitution">
    <w:name w:val="Nom de l'institution"/>
    <w:basedOn w:val="Normal"/>
    <w:next w:val="Emission"/>
    <w:rPr>
      <w:rFonts w:ascii="Arial" w:hAnsi="Arial" w:cs="Arial"/>
      <w:lang w:eastAsia="en-US"/>
    </w:rPr>
  </w:style>
  <w:style w:type="paragraph" w:customStyle="1" w:styleId="Personnequisigne">
    <w:name w:val="Personne qui signe"/>
    <w:basedOn w:val="Normal"/>
    <w:next w:val="Institutionquisigne"/>
    <w:pPr>
      <w:tabs>
        <w:tab w:val="left" w:pos="4252"/>
      </w:tabs>
    </w:pPr>
    <w:rPr>
      <w:i/>
      <w:lang w:eastAsia="en-US"/>
    </w:rPr>
  </w:style>
  <w:style w:type="paragraph" w:customStyle="1" w:styleId="Rfrenceinstitutionnelle">
    <w:name w:val="Référence institutionnelle"/>
    <w:basedOn w:val="Normal"/>
    <w:next w:val="Confidentialit"/>
    <w:pPr>
      <w:spacing w:after="240"/>
      <w:ind w:left="5103"/>
    </w:pPr>
    <w:rPr>
      <w:lang w:eastAsia="en-US"/>
    </w:rPr>
  </w:style>
  <w:style w:type="paragraph" w:customStyle="1" w:styleId="Rfrenceinterinstitutionnelle">
    <w:name w:val="Référence interinstitutionnelle"/>
    <w:basedOn w:val="Normal"/>
    <w:next w:val="Statut"/>
    <w:pPr>
      <w:ind w:left="5103"/>
    </w:pPr>
    <w:rPr>
      <w:lang w:eastAsia="en-US"/>
    </w:rPr>
  </w:style>
  <w:style w:type="paragraph" w:customStyle="1" w:styleId="Rfrenceinterne">
    <w:name w:val="Référence interne"/>
    <w:basedOn w:val="Normal"/>
    <w:next w:val="Rfrenceinterinstitutionnelle"/>
    <w:pPr>
      <w:ind w:left="5103"/>
    </w:pPr>
    <w:rPr>
      <w:lang w:eastAsia="en-US"/>
    </w:rPr>
  </w:style>
  <w:style w:type="paragraph" w:customStyle="1" w:styleId="Sous-titreobjet">
    <w:name w:val="Sous-titre objet"/>
    <w:basedOn w:val="Normal"/>
    <w:pPr>
      <w:jc w:val="center"/>
    </w:pPr>
    <w:rPr>
      <w:b/>
      <w:lang w:eastAsia="en-US"/>
    </w:rPr>
  </w:style>
  <w:style w:type="paragraph" w:customStyle="1" w:styleId="Statut">
    <w:name w:val="Statut"/>
    <w:basedOn w:val="Normal"/>
    <w:next w:val="Typedudocument"/>
    <w:pPr>
      <w:spacing w:before="360"/>
      <w:jc w:val="center"/>
    </w:pPr>
    <w:rPr>
      <w:lang w:eastAsia="en-US"/>
    </w:rPr>
  </w:style>
  <w:style w:type="paragraph" w:customStyle="1" w:styleId="Titrearticle">
    <w:name w:val="Titre article"/>
    <w:basedOn w:val="Normal"/>
    <w:next w:val="Normal"/>
    <w:pPr>
      <w:keepNext/>
      <w:spacing w:before="360" w:after="120"/>
      <w:jc w:val="center"/>
    </w:pPr>
    <w:rPr>
      <w:i/>
      <w:lang w:eastAsia="en-US"/>
    </w:rPr>
  </w:style>
  <w:style w:type="paragraph" w:customStyle="1" w:styleId="Titreobjet">
    <w:name w:val="Titre objet"/>
    <w:basedOn w:val="Normal"/>
    <w:next w:val="Sous-titreobjet"/>
    <w:pPr>
      <w:spacing w:before="360" w:after="360"/>
      <w:jc w:val="center"/>
    </w:pPr>
    <w:rPr>
      <w:b/>
      <w:lang w:eastAsia="en-US"/>
    </w:rPr>
  </w:style>
  <w:style w:type="paragraph" w:customStyle="1" w:styleId="Typedudocument">
    <w:name w:val="Type du document"/>
    <w:basedOn w:val="Normal"/>
    <w:next w:val="Titreobjet"/>
    <w:pPr>
      <w:spacing w:before="360"/>
      <w:jc w:val="center"/>
    </w:pPr>
    <w:rPr>
      <w:b/>
      <w:lang w:eastAsia="en-US"/>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lang w:eastAsia="en-US"/>
    </w:rPr>
  </w:style>
  <w:style w:type="paragraph" w:customStyle="1" w:styleId="Objetexterne">
    <w:name w:val="Objet externe"/>
    <w:basedOn w:val="Normal"/>
    <w:next w:val="Normal"/>
    <w:pPr>
      <w:spacing w:before="120" w:after="120"/>
      <w:jc w:val="both"/>
    </w:pPr>
    <w:rPr>
      <w:i/>
      <w:caps/>
      <w:lang w:eastAsia="en-US"/>
    </w:rPr>
  </w:style>
  <w:style w:type="paragraph" w:customStyle="1" w:styleId="Supertitre">
    <w:name w:val="Supertitre"/>
    <w:basedOn w:val="Normal"/>
    <w:next w:val="Normal"/>
    <w:pPr>
      <w:spacing w:after="600"/>
      <w:jc w:val="center"/>
    </w:pPr>
    <w:rPr>
      <w:b/>
      <w:lang w:eastAsia="en-US"/>
    </w:rPr>
  </w:style>
  <w:style w:type="paragraph" w:customStyle="1" w:styleId="Languesfaisantfoi">
    <w:name w:val="Langues faisant foi"/>
    <w:basedOn w:val="Normal"/>
    <w:next w:val="Normal"/>
    <w:pPr>
      <w:spacing w:before="360"/>
      <w:jc w:val="center"/>
    </w:pPr>
    <w:rPr>
      <w:lang w:eastAsia="en-US"/>
    </w:rPr>
  </w:style>
  <w:style w:type="paragraph" w:customStyle="1" w:styleId="Rfrencecroise">
    <w:name w:val="Référence croisée"/>
    <w:basedOn w:val="Normal"/>
    <w:pPr>
      <w:jc w:val="center"/>
    </w:pPr>
    <w:rPr>
      <w:lang w:eastAsia="en-US"/>
    </w:rPr>
  </w:style>
  <w:style w:type="paragraph" w:customStyle="1" w:styleId="Fichefinanciretitre">
    <w:name w:val="Fiche financière titre"/>
    <w:basedOn w:val="Normal"/>
    <w:next w:val="Normal"/>
    <w:pPr>
      <w:spacing w:before="120" w:after="120"/>
      <w:jc w:val="center"/>
    </w:pPr>
    <w:rPr>
      <w:b/>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b/>
      <w:i/>
      <w:lang w:eastAsia="en-US"/>
    </w:rPr>
  </w:style>
  <w:style w:type="paragraph" w:customStyle="1" w:styleId="Typeacteprincipal">
    <w:name w:val="Type acte principal"/>
    <w:basedOn w:val="Normal"/>
    <w:next w:val="Objetacteprincipal"/>
    <w:pPr>
      <w:spacing w:after="240"/>
      <w:jc w:val="center"/>
    </w:pPr>
    <w:rPr>
      <w:b/>
      <w:lang w:eastAsia="en-US"/>
    </w:rPr>
  </w:style>
  <w:style w:type="paragraph" w:customStyle="1" w:styleId="Objetacteprincipal">
    <w:name w:val="Objet acte principal"/>
    <w:basedOn w:val="Normal"/>
    <w:next w:val="Titrearticle"/>
    <w:pPr>
      <w:spacing w:after="360"/>
      <w:jc w:val="center"/>
    </w:pPr>
    <w:rPr>
      <w:b/>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lang w:eastAsia="en-US"/>
    </w:rPr>
  </w:style>
  <w:style w:type="paragraph" w:styleId="ListBullet">
    <w:name w:val="List Bullet"/>
    <w:basedOn w:val="Normal"/>
    <w:pPr>
      <w:numPr>
        <w:numId w:val="22"/>
      </w:numPr>
      <w:spacing w:before="120" w:after="120"/>
      <w:jc w:val="both"/>
    </w:pPr>
    <w:rPr>
      <w:lang w:eastAsia="de-DE"/>
    </w:rPr>
  </w:style>
  <w:style w:type="paragraph" w:styleId="ListBullet2">
    <w:name w:val="List Bullet 2"/>
    <w:basedOn w:val="Normal"/>
    <w:pPr>
      <w:numPr>
        <w:numId w:val="24"/>
      </w:numPr>
      <w:spacing w:before="120" w:after="120"/>
      <w:jc w:val="both"/>
    </w:pPr>
    <w:rPr>
      <w:lang w:eastAsia="de-DE"/>
    </w:rPr>
  </w:style>
  <w:style w:type="paragraph" w:styleId="ListBullet3">
    <w:name w:val="List Bullet 3"/>
    <w:basedOn w:val="Normal"/>
    <w:pPr>
      <w:numPr>
        <w:numId w:val="25"/>
      </w:numPr>
      <w:spacing w:before="120" w:after="120"/>
      <w:jc w:val="both"/>
    </w:pPr>
    <w:rPr>
      <w:lang w:eastAsia="de-DE"/>
    </w:rPr>
  </w:style>
  <w:style w:type="paragraph" w:styleId="ListBullet4">
    <w:name w:val="List Bullet 4"/>
    <w:basedOn w:val="Normal"/>
    <w:pPr>
      <w:numPr>
        <w:numId w:val="26"/>
      </w:numPr>
      <w:spacing w:before="120" w:after="120"/>
      <w:jc w:val="both"/>
    </w:pPr>
    <w:rPr>
      <w:lang w:eastAsia="de-DE"/>
    </w:rPr>
  </w:style>
  <w:style w:type="paragraph" w:styleId="ListNumber">
    <w:name w:val="List Number"/>
    <w:basedOn w:val="Normal"/>
    <w:pPr>
      <w:numPr>
        <w:numId w:val="17"/>
      </w:numPr>
      <w:spacing w:before="120" w:after="120"/>
      <w:jc w:val="both"/>
    </w:pPr>
    <w:rPr>
      <w:lang w:eastAsia="de-DE"/>
    </w:rPr>
  </w:style>
  <w:style w:type="paragraph" w:styleId="ListNumber2">
    <w:name w:val="List Number 2"/>
    <w:basedOn w:val="Normal"/>
    <w:pPr>
      <w:numPr>
        <w:numId w:val="19"/>
      </w:numPr>
      <w:spacing w:before="120" w:after="120"/>
      <w:jc w:val="both"/>
    </w:pPr>
    <w:rPr>
      <w:lang w:eastAsia="de-DE"/>
    </w:rPr>
  </w:style>
  <w:style w:type="paragraph" w:styleId="ListNumber3">
    <w:name w:val="List Number 3"/>
    <w:basedOn w:val="Normal"/>
    <w:pPr>
      <w:numPr>
        <w:numId w:val="20"/>
      </w:numPr>
      <w:spacing w:before="120" w:after="120"/>
      <w:jc w:val="both"/>
    </w:pPr>
    <w:rPr>
      <w:lang w:eastAsia="de-DE"/>
    </w:rPr>
  </w:style>
  <w:style w:type="paragraph" w:styleId="ListNumber4">
    <w:name w:val="List Number 4"/>
    <w:basedOn w:val="Normal"/>
    <w:pPr>
      <w:numPr>
        <w:numId w:val="21"/>
      </w:numPr>
      <w:spacing w:before="120" w:after="120"/>
      <w:jc w:val="both"/>
    </w:pPr>
    <w:rPr>
      <w:lang w:eastAsia="de-DE"/>
    </w:rPr>
  </w:style>
  <w:style w:type="paragraph" w:customStyle="1" w:styleId="ListBullet1">
    <w:name w:val="List Bullet 1"/>
    <w:basedOn w:val="Normal"/>
    <w:pPr>
      <w:numPr>
        <w:numId w:val="23"/>
      </w:numPr>
      <w:spacing w:before="120" w:after="120"/>
      <w:jc w:val="both"/>
    </w:pPr>
    <w:rPr>
      <w:lang w:eastAsia="de-DE"/>
    </w:rPr>
  </w:style>
  <w:style w:type="paragraph" w:customStyle="1" w:styleId="ListDash">
    <w:name w:val="List Dash"/>
    <w:basedOn w:val="Normal"/>
    <w:pPr>
      <w:numPr>
        <w:numId w:val="27"/>
      </w:numPr>
      <w:spacing w:before="120" w:after="120"/>
      <w:jc w:val="both"/>
    </w:pPr>
    <w:rPr>
      <w:lang w:eastAsia="de-DE"/>
    </w:rPr>
  </w:style>
  <w:style w:type="paragraph" w:customStyle="1" w:styleId="ListDash1">
    <w:name w:val="List Dash 1"/>
    <w:basedOn w:val="Normal"/>
    <w:pPr>
      <w:numPr>
        <w:numId w:val="28"/>
      </w:numPr>
      <w:spacing w:before="120" w:after="120"/>
      <w:jc w:val="both"/>
    </w:pPr>
    <w:rPr>
      <w:lang w:eastAsia="de-DE"/>
    </w:rPr>
  </w:style>
  <w:style w:type="paragraph" w:customStyle="1" w:styleId="ListDash2">
    <w:name w:val="List Dash 2"/>
    <w:basedOn w:val="Normal"/>
    <w:pPr>
      <w:numPr>
        <w:numId w:val="29"/>
      </w:numPr>
      <w:spacing w:before="120" w:after="120"/>
      <w:jc w:val="both"/>
    </w:pPr>
    <w:rPr>
      <w:lang w:eastAsia="de-DE"/>
    </w:rPr>
  </w:style>
  <w:style w:type="paragraph" w:customStyle="1" w:styleId="ListDash3">
    <w:name w:val="List Dash 3"/>
    <w:basedOn w:val="Normal"/>
    <w:pPr>
      <w:numPr>
        <w:numId w:val="30"/>
      </w:numPr>
      <w:spacing w:before="120" w:after="120"/>
      <w:jc w:val="both"/>
    </w:pPr>
    <w:rPr>
      <w:lang w:eastAsia="de-DE"/>
    </w:rPr>
  </w:style>
  <w:style w:type="paragraph" w:customStyle="1" w:styleId="ListDash4">
    <w:name w:val="List Dash 4"/>
    <w:basedOn w:val="Normal"/>
    <w:pPr>
      <w:numPr>
        <w:numId w:val="31"/>
      </w:numPr>
      <w:spacing w:before="120" w:after="120"/>
      <w:jc w:val="both"/>
    </w:pPr>
    <w:rPr>
      <w:lang w:eastAsia="de-DE"/>
    </w:rPr>
  </w:style>
  <w:style w:type="paragraph" w:customStyle="1" w:styleId="ListNumber1">
    <w:name w:val="List Number 1"/>
    <w:basedOn w:val="Text1"/>
    <w:pPr>
      <w:numPr>
        <w:numId w:val="18"/>
      </w:numPr>
    </w:pPr>
    <w:rPr>
      <w:lang w:eastAsia="de-DE"/>
    </w:rPr>
  </w:style>
  <w:style w:type="paragraph" w:customStyle="1" w:styleId="ListNumberLevel2">
    <w:name w:val="List Number (Level 2)"/>
    <w:basedOn w:val="Normal"/>
    <w:pPr>
      <w:numPr>
        <w:ilvl w:val="1"/>
        <w:numId w:val="17"/>
      </w:numPr>
      <w:spacing w:before="120" w:after="120"/>
      <w:jc w:val="both"/>
    </w:pPr>
    <w:rPr>
      <w:lang w:eastAsia="de-DE"/>
    </w:rPr>
  </w:style>
  <w:style w:type="paragraph" w:customStyle="1" w:styleId="ListNumber1Level2">
    <w:name w:val="List Number 1 (Level 2)"/>
    <w:basedOn w:val="Text1"/>
    <w:pPr>
      <w:numPr>
        <w:ilvl w:val="1"/>
        <w:numId w:val="18"/>
      </w:numPr>
    </w:pPr>
    <w:rPr>
      <w:lang w:eastAsia="de-DE"/>
    </w:rPr>
  </w:style>
  <w:style w:type="paragraph" w:customStyle="1" w:styleId="ListNumber2Level2">
    <w:name w:val="List Number 2 (Level 2)"/>
    <w:basedOn w:val="Text2"/>
    <w:pPr>
      <w:numPr>
        <w:ilvl w:val="1"/>
        <w:numId w:val="19"/>
      </w:numPr>
    </w:pPr>
    <w:rPr>
      <w:lang w:eastAsia="de-DE"/>
    </w:rPr>
  </w:style>
  <w:style w:type="paragraph" w:customStyle="1" w:styleId="ListNumber3Level2">
    <w:name w:val="List Number 3 (Level 2)"/>
    <w:basedOn w:val="Text3"/>
    <w:pPr>
      <w:numPr>
        <w:ilvl w:val="1"/>
        <w:numId w:val="20"/>
      </w:numPr>
    </w:pPr>
    <w:rPr>
      <w:lang w:eastAsia="de-DE"/>
    </w:rPr>
  </w:style>
  <w:style w:type="paragraph" w:customStyle="1" w:styleId="ListNumber4Level2">
    <w:name w:val="List Number 4 (Level 2)"/>
    <w:basedOn w:val="Text4"/>
    <w:pPr>
      <w:numPr>
        <w:ilvl w:val="1"/>
        <w:numId w:val="21"/>
      </w:numPr>
    </w:pPr>
    <w:rPr>
      <w:lang w:eastAsia="de-DE"/>
    </w:rPr>
  </w:style>
  <w:style w:type="paragraph" w:customStyle="1" w:styleId="ListNumberLevel3">
    <w:name w:val="List Number (Level 3)"/>
    <w:basedOn w:val="Normal"/>
    <w:pPr>
      <w:numPr>
        <w:ilvl w:val="2"/>
        <w:numId w:val="17"/>
      </w:numPr>
      <w:spacing w:before="120" w:after="120"/>
      <w:jc w:val="both"/>
    </w:pPr>
    <w:rPr>
      <w:lang w:eastAsia="de-DE"/>
    </w:rPr>
  </w:style>
  <w:style w:type="paragraph" w:customStyle="1" w:styleId="ListNumber1Level3">
    <w:name w:val="List Number 1 (Level 3)"/>
    <w:basedOn w:val="Text1"/>
    <w:pPr>
      <w:numPr>
        <w:ilvl w:val="2"/>
        <w:numId w:val="18"/>
      </w:numPr>
    </w:pPr>
    <w:rPr>
      <w:lang w:eastAsia="de-DE"/>
    </w:rPr>
  </w:style>
  <w:style w:type="paragraph" w:customStyle="1" w:styleId="ListNumber2Level3">
    <w:name w:val="List Number 2 (Level 3)"/>
    <w:basedOn w:val="Text2"/>
    <w:pPr>
      <w:numPr>
        <w:ilvl w:val="2"/>
        <w:numId w:val="19"/>
      </w:numPr>
    </w:pPr>
    <w:rPr>
      <w:lang w:eastAsia="de-DE"/>
    </w:rPr>
  </w:style>
  <w:style w:type="paragraph" w:customStyle="1" w:styleId="ListNumber3Level3">
    <w:name w:val="List Number 3 (Level 3)"/>
    <w:basedOn w:val="Text3"/>
    <w:pPr>
      <w:numPr>
        <w:ilvl w:val="2"/>
        <w:numId w:val="20"/>
      </w:numPr>
    </w:pPr>
    <w:rPr>
      <w:lang w:eastAsia="de-DE"/>
    </w:rPr>
  </w:style>
  <w:style w:type="paragraph" w:customStyle="1" w:styleId="ListNumber4Level3">
    <w:name w:val="List Number 4 (Level 3)"/>
    <w:basedOn w:val="Text4"/>
    <w:pPr>
      <w:numPr>
        <w:ilvl w:val="2"/>
        <w:numId w:val="21"/>
      </w:numPr>
    </w:pPr>
    <w:rPr>
      <w:lang w:eastAsia="de-DE"/>
    </w:rPr>
  </w:style>
  <w:style w:type="paragraph" w:customStyle="1" w:styleId="ListNumberLevel4">
    <w:name w:val="List Number (Level 4)"/>
    <w:basedOn w:val="Normal"/>
    <w:pPr>
      <w:numPr>
        <w:ilvl w:val="3"/>
        <w:numId w:val="17"/>
      </w:numPr>
      <w:spacing w:before="120" w:after="120"/>
      <w:jc w:val="both"/>
    </w:pPr>
    <w:rPr>
      <w:lang w:eastAsia="de-DE"/>
    </w:rPr>
  </w:style>
  <w:style w:type="paragraph" w:customStyle="1" w:styleId="ListNumber1Level4">
    <w:name w:val="List Number 1 (Level 4)"/>
    <w:basedOn w:val="Text1"/>
    <w:pPr>
      <w:numPr>
        <w:ilvl w:val="3"/>
        <w:numId w:val="18"/>
      </w:numPr>
    </w:pPr>
    <w:rPr>
      <w:lang w:eastAsia="de-DE"/>
    </w:rPr>
  </w:style>
  <w:style w:type="paragraph" w:customStyle="1" w:styleId="ListNumber2Level4">
    <w:name w:val="List Number 2 (Level 4)"/>
    <w:basedOn w:val="Text2"/>
    <w:pPr>
      <w:numPr>
        <w:ilvl w:val="3"/>
        <w:numId w:val="19"/>
      </w:numPr>
    </w:pPr>
    <w:rPr>
      <w:lang w:eastAsia="de-DE"/>
    </w:rPr>
  </w:style>
  <w:style w:type="paragraph" w:customStyle="1" w:styleId="ListNumber3Level4">
    <w:name w:val="List Number 3 (Level 4)"/>
    <w:basedOn w:val="Text3"/>
    <w:pPr>
      <w:numPr>
        <w:ilvl w:val="3"/>
        <w:numId w:val="20"/>
      </w:numPr>
    </w:pPr>
    <w:rPr>
      <w:lang w:eastAsia="de-DE"/>
    </w:rPr>
  </w:style>
  <w:style w:type="paragraph" w:customStyle="1" w:styleId="ListNumber4Level4">
    <w:name w:val="List Number 4 (Level 4)"/>
    <w:basedOn w:val="Text4"/>
    <w:pPr>
      <w:numPr>
        <w:ilvl w:val="3"/>
        <w:numId w:val="21"/>
      </w:numPr>
    </w:pPr>
    <w:rPr>
      <w:lang w:eastAsia="de-DE"/>
    </w:rPr>
  </w:style>
  <w:style w:type="paragraph" w:customStyle="1" w:styleId="Rfrenceinterinstitutionelleprliminaire">
    <w:name w:val="Référence interinstitutionelle (préliminaire)"/>
    <w:basedOn w:val="Normal"/>
    <w:next w:val="Normal"/>
    <w:pPr>
      <w:ind w:left="5103"/>
    </w:pPr>
    <w:rPr>
      <w:lang w:eastAsia="de-DE"/>
    </w:rPr>
  </w:style>
  <w:style w:type="paragraph" w:customStyle="1" w:styleId="Sous-titreobjetprliminaire">
    <w:name w:val="Sous-titre objet (préliminaire)"/>
    <w:basedOn w:val="Normal"/>
    <w:pPr>
      <w:jc w:val="center"/>
    </w:pPr>
    <w:rPr>
      <w:b/>
      <w:lang w:eastAsia="de-DE"/>
    </w:rPr>
  </w:style>
  <w:style w:type="paragraph" w:customStyle="1" w:styleId="Statutprliminaire">
    <w:name w:val="Statut (préliminaire)"/>
    <w:basedOn w:val="Normal"/>
    <w:next w:val="Normal"/>
    <w:pPr>
      <w:spacing w:before="36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jc w:val="center"/>
    </w:pPr>
    <w:rPr>
      <w:b/>
      <w:lang w:eastAsia="de-DE"/>
    </w:rPr>
  </w:style>
  <w:style w:type="paragraph" w:customStyle="1" w:styleId="FichedimpactPMEtitre">
    <w:name w:val="Fiche d'impact PME titre"/>
    <w:basedOn w:val="Normal"/>
    <w:next w:val="Normal"/>
    <w:pPr>
      <w:spacing w:before="120" w:after="120"/>
      <w:jc w:val="center"/>
    </w:pPr>
    <w:rPr>
      <w:b/>
      <w:szCs w:val="20"/>
      <w:lang w:eastAsia="zh-CN"/>
    </w:rPr>
  </w:style>
  <w:style w:type="paragraph" w:customStyle="1" w:styleId="Fichefinanciretextetable">
    <w:name w:val="Fiche financière texte (table)"/>
    <w:basedOn w:val="Normal"/>
    <w:rPr>
      <w:sz w:val="20"/>
      <w:szCs w:val="20"/>
      <w:lang w:eastAsia="zh-CN"/>
    </w:rPr>
  </w:style>
  <w:style w:type="paragraph" w:customStyle="1" w:styleId="Fichefinanciretitreactetable">
    <w:name w:val="Fiche financière titre (acte table)"/>
    <w:basedOn w:val="Normal"/>
    <w:next w:val="Normal"/>
    <w:pPr>
      <w:spacing w:before="120" w:after="120"/>
      <w:jc w:val="center"/>
    </w:pPr>
    <w:rPr>
      <w:b/>
      <w:sz w:val="40"/>
      <w:szCs w:val="20"/>
      <w:lang w:eastAsia="zh-CN"/>
    </w:rPr>
  </w:style>
  <w:style w:type="paragraph" w:customStyle="1" w:styleId="Fichefinanciretitretable">
    <w:name w:val="Fiche financière titre (table)"/>
    <w:basedOn w:val="Normal"/>
    <w:pPr>
      <w:spacing w:before="120" w:after="120"/>
      <w:jc w:val="center"/>
    </w:pPr>
    <w:rPr>
      <w:b/>
      <w:sz w:val="40"/>
      <w:szCs w:val="20"/>
      <w:lang w:eastAsia="zh-CN"/>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ind w:left="360"/>
      <w:jc w:val="both"/>
    </w:pPr>
    <w:rPr>
      <w:szCs w:val="20"/>
      <w:lang w:eastAsia="zh-CN"/>
    </w:rPr>
  </w:style>
  <w:style w:type="paragraph" w:styleId="ListNumber5">
    <w:name w:val="List Number 5"/>
    <w:basedOn w:val="Normal"/>
    <w:pPr>
      <w:numPr>
        <w:numId w:val="15"/>
      </w:numPr>
      <w:tabs>
        <w:tab w:val="clear" w:pos="1492"/>
        <w:tab w:val="num" w:pos="643"/>
      </w:tabs>
      <w:spacing w:after="240"/>
      <w:ind w:left="643"/>
      <w:jc w:val="both"/>
    </w:pPr>
    <w:rPr>
      <w:szCs w:val="20"/>
      <w:lang w:eastAsia="zh-CN"/>
    </w:rPr>
  </w:style>
  <w:style w:type="paragraph" w:styleId="DocumentMap">
    <w:name w:val="Document Map"/>
    <w:basedOn w:val="Normal"/>
    <w:link w:val="DocumentMapChar"/>
    <w:pPr>
      <w:shd w:val="clear" w:color="auto" w:fill="000080"/>
      <w:spacing w:before="120" w:after="120"/>
      <w:jc w:val="both"/>
    </w:pPr>
    <w:rPr>
      <w:rFonts w:ascii="Tahoma" w:hAnsi="Tahoma"/>
      <w:szCs w:val="20"/>
      <w:lang w:eastAsia="zh-CN"/>
    </w:rPr>
  </w:style>
  <w:style w:type="character" w:customStyle="1" w:styleId="DocumentMapChar">
    <w:name w:val="Document Map Char"/>
    <w:link w:val="DocumentMap"/>
    <w:rPr>
      <w:rFonts w:ascii="Tahoma" w:hAnsi="Tahoma"/>
      <w:sz w:val="24"/>
      <w:shd w:val="clear" w:color="auto" w:fill="000080"/>
      <w:lang w:eastAsia="zh-CN"/>
    </w:rPr>
  </w:style>
  <w:style w:type="paragraph" w:customStyle="1" w:styleId="AddressTL">
    <w:name w:val="AddressTL"/>
    <w:basedOn w:val="Normal"/>
    <w:next w:val="Normal"/>
    <w:pPr>
      <w:spacing w:after="720"/>
    </w:pPr>
    <w:rPr>
      <w:szCs w:val="20"/>
      <w:lang w:eastAsia="zh-CN"/>
    </w:rPr>
  </w:style>
  <w:style w:type="paragraph" w:customStyle="1" w:styleId="AddressTR">
    <w:name w:val="AddressTR"/>
    <w:basedOn w:val="Normal"/>
    <w:next w:val="Normal"/>
    <w:pPr>
      <w:spacing w:after="720"/>
      <w:ind w:left="5103"/>
    </w:pPr>
    <w:rPr>
      <w:szCs w:val="20"/>
      <w:lang w:eastAsia="zh-CN"/>
    </w:rPr>
  </w:style>
  <w:style w:type="paragraph" w:styleId="BlockText">
    <w:name w:val="Block Text"/>
    <w:basedOn w:val="Normal"/>
    <w:pPr>
      <w:spacing w:after="120"/>
      <w:ind w:left="1440" w:right="1440"/>
      <w:jc w:val="both"/>
    </w:pPr>
    <w:rPr>
      <w:szCs w:val="20"/>
      <w:lang w:eastAsia="zh-CN"/>
    </w:rPr>
  </w:style>
  <w:style w:type="paragraph" w:styleId="BodyText">
    <w:name w:val="Body Text"/>
    <w:basedOn w:val="Normal"/>
    <w:link w:val="BodyTextChar"/>
    <w:pPr>
      <w:spacing w:after="120"/>
      <w:jc w:val="both"/>
    </w:pPr>
    <w:rPr>
      <w:szCs w:val="20"/>
      <w:lang w:eastAsia="zh-CN"/>
    </w:rPr>
  </w:style>
  <w:style w:type="character" w:customStyle="1" w:styleId="BodyTextChar">
    <w:name w:val="Body Text Char"/>
    <w:link w:val="BodyText"/>
    <w:rPr>
      <w:sz w:val="24"/>
      <w:lang w:eastAsia="zh-CN"/>
    </w:rPr>
  </w:style>
  <w:style w:type="paragraph" w:styleId="BodyText2">
    <w:name w:val="Body Text 2"/>
    <w:basedOn w:val="Normal"/>
    <w:link w:val="BodyText2Char"/>
    <w:pPr>
      <w:spacing w:after="120" w:line="480" w:lineRule="auto"/>
      <w:jc w:val="both"/>
    </w:pPr>
    <w:rPr>
      <w:szCs w:val="20"/>
      <w:lang w:eastAsia="zh-CN"/>
    </w:rPr>
  </w:style>
  <w:style w:type="character" w:customStyle="1" w:styleId="BodyText2Char">
    <w:name w:val="Body Text 2 Char"/>
    <w:link w:val="BodyText2"/>
    <w:rPr>
      <w:sz w:val="24"/>
      <w:lang w:eastAsia="zh-CN"/>
    </w:rPr>
  </w:style>
  <w:style w:type="paragraph" w:styleId="BodyText3">
    <w:name w:val="Body Text 3"/>
    <w:basedOn w:val="Normal"/>
    <w:link w:val="BodyText3Char"/>
    <w:pPr>
      <w:spacing w:after="120"/>
      <w:jc w:val="both"/>
    </w:pPr>
    <w:rPr>
      <w:sz w:val="16"/>
      <w:szCs w:val="20"/>
      <w:lang w:eastAsia="zh-CN"/>
    </w:rPr>
  </w:style>
  <w:style w:type="character" w:customStyle="1" w:styleId="BodyText3Char">
    <w:name w:val="Body Text 3 Char"/>
    <w:link w:val="BodyText3"/>
    <w:rPr>
      <w:sz w:val="16"/>
      <w:lang w:eastAsia="zh-CN"/>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sz w:val="24"/>
      <w:lang w:eastAsia="zh-CN"/>
    </w:rPr>
  </w:style>
  <w:style w:type="paragraph" w:styleId="BodyTextIndent">
    <w:name w:val="Body Text Indent"/>
    <w:basedOn w:val="Normal"/>
    <w:link w:val="BodyTextIndentChar"/>
    <w:pPr>
      <w:spacing w:after="120"/>
      <w:ind w:left="283"/>
      <w:jc w:val="both"/>
    </w:pPr>
    <w:rPr>
      <w:szCs w:val="20"/>
      <w:lang w:eastAsia="zh-CN"/>
    </w:rPr>
  </w:style>
  <w:style w:type="character" w:customStyle="1" w:styleId="BodyTextIndentChar">
    <w:name w:val="Body Text Indent Char"/>
    <w:link w:val="BodyTextIndent"/>
    <w:rPr>
      <w:sz w:val="24"/>
      <w:lang w:eastAsia="zh-CN"/>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sz w:val="24"/>
      <w:lang w:eastAsia="zh-CN"/>
    </w:rPr>
  </w:style>
  <w:style w:type="paragraph" w:styleId="BodyTextIndent2">
    <w:name w:val="Body Text Indent 2"/>
    <w:basedOn w:val="Normal"/>
    <w:link w:val="BodyTextIndent2Char"/>
    <w:pPr>
      <w:spacing w:after="120" w:line="480" w:lineRule="auto"/>
      <w:ind w:left="283"/>
      <w:jc w:val="both"/>
    </w:pPr>
    <w:rPr>
      <w:szCs w:val="20"/>
      <w:lang w:eastAsia="zh-CN"/>
    </w:rPr>
  </w:style>
  <w:style w:type="character" w:customStyle="1" w:styleId="BodyTextIndent2Char">
    <w:name w:val="Body Text Indent 2 Char"/>
    <w:link w:val="BodyTextIndent2"/>
    <w:rPr>
      <w:sz w:val="24"/>
      <w:lang w:eastAsia="zh-CN"/>
    </w:rPr>
  </w:style>
  <w:style w:type="paragraph" w:styleId="BodyTextIndent3">
    <w:name w:val="Body Text Indent 3"/>
    <w:basedOn w:val="Normal"/>
    <w:link w:val="BodyTextIndent3Char"/>
    <w:pPr>
      <w:spacing w:after="120"/>
      <w:ind w:left="283"/>
      <w:jc w:val="both"/>
    </w:pPr>
    <w:rPr>
      <w:sz w:val="16"/>
      <w:szCs w:val="20"/>
      <w:lang w:eastAsia="zh-CN"/>
    </w:rPr>
  </w:style>
  <w:style w:type="character" w:customStyle="1" w:styleId="BodyTextIndent3Char">
    <w:name w:val="Body Text Indent 3 Char"/>
    <w:link w:val="BodyTextIndent3"/>
    <w:rPr>
      <w:sz w:val="16"/>
      <w:lang w:eastAsia="zh-CN"/>
    </w:rPr>
  </w:style>
  <w:style w:type="paragraph" w:styleId="Closing">
    <w:name w:val="Closing"/>
    <w:basedOn w:val="Normal"/>
    <w:next w:val="Signature"/>
    <w:link w:val="ClosingChar"/>
    <w:pPr>
      <w:tabs>
        <w:tab w:val="left" w:pos="5103"/>
      </w:tabs>
      <w:spacing w:before="240" w:after="240"/>
      <w:ind w:left="5103"/>
    </w:pPr>
    <w:rPr>
      <w:szCs w:val="20"/>
      <w:lang w:eastAsia="zh-CN"/>
    </w:rPr>
  </w:style>
  <w:style w:type="character" w:customStyle="1" w:styleId="ClosingChar">
    <w:name w:val="Closing Char"/>
    <w:link w:val="Closing"/>
    <w:rPr>
      <w:sz w:val="24"/>
      <w:lang w:eastAsia="zh-CN"/>
    </w:rPr>
  </w:style>
  <w:style w:type="paragraph" w:styleId="Signature">
    <w:name w:val="Signature"/>
    <w:basedOn w:val="Normal"/>
    <w:next w:val="Contact"/>
    <w:link w:val="SignatureChar"/>
    <w:pPr>
      <w:tabs>
        <w:tab w:val="left" w:pos="5103"/>
      </w:tabs>
      <w:spacing w:before="1200"/>
      <w:ind w:left="5103"/>
      <w:jc w:val="center"/>
    </w:pPr>
    <w:rPr>
      <w:szCs w:val="20"/>
      <w:lang w:eastAsia="zh-CN"/>
    </w:rPr>
  </w:style>
  <w:style w:type="character" w:customStyle="1" w:styleId="SignatureChar">
    <w:name w:val="Signature Char"/>
    <w:link w:val="Signature"/>
    <w:rPr>
      <w:sz w:val="24"/>
      <w:lang w:eastAsia="zh-CN"/>
    </w:rPr>
  </w:style>
  <w:style w:type="paragraph" w:customStyle="1" w:styleId="Contact">
    <w:name w:val="Contact"/>
    <w:basedOn w:val="Normal"/>
    <w:next w:val="Enclosures"/>
    <w:pPr>
      <w:spacing w:before="480"/>
      <w:ind w:left="567" w:hanging="567"/>
    </w:pPr>
    <w:rPr>
      <w:szCs w:val="20"/>
      <w:lang w:eastAsia="zh-CN"/>
    </w:rPr>
  </w:style>
  <w:style w:type="paragraph" w:customStyle="1" w:styleId="Enclosures">
    <w:name w:val="Enclosures"/>
    <w:basedOn w:val="Normal"/>
    <w:next w:val="Participants"/>
    <w:pPr>
      <w:keepNext/>
      <w:keepLines/>
      <w:tabs>
        <w:tab w:val="left" w:pos="5642"/>
      </w:tabs>
      <w:spacing w:before="480"/>
      <w:ind w:left="1792" w:hanging="1792"/>
    </w:pPr>
    <w:rPr>
      <w:szCs w:val="20"/>
      <w:lang w:eastAsia="zh-C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rPr>
      <w:szCs w:val="20"/>
      <w:lang w:eastAsia="zh-CN"/>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rPr>
      <w:szCs w:val="20"/>
      <w:lang w:eastAsia="zh-CN"/>
    </w:rPr>
  </w:style>
  <w:style w:type="paragraph" w:styleId="Date">
    <w:name w:val="Date"/>
    <w:basedOn w:val="Normal"/>
    <w:next w:val="References"/>
    <w:link w:val="DateChar"/>
    <w:pPr>
      <w:ind w:left="5103" w:right="-567"/>
    </w:pPr>
    <w:rPr>
      <w:szCs w:val="20"/>
      <w:lang w:eastAsia="zh-CN"/>
    </w:rPr>
  </w:style>
  <w:style w:type="character" w:customStyle="1" w:styleId="DateChar">
    <w:name w:val="Date Char"/>
    <w:link w:val="Date"/>
    <w:rPr>
      <w:sz w:val="24"/>
      <w:lang w:eastAsia="zh-CN"/>
    </w:rPr>
  </w:style>
  <w:style w:type="paragraph" w:customStyle="1" w:styleId="References">
    <w:name w:val="References"/>
    <w:basedOn w:val="Normal"/>
    <w:next w:val="AddressTR"/>
    <w:pPr>
      <w:spacing w:after="240"/>
      <w:ind w:left="5103"/>
    </w:pPr>
    <w:rPr>
      <w:sz w:val="20"/>
      <w:szCs w:val="20"/>
      <w:lang w:eastAsia="zh-CN"/>
    </w:rPr>
  </w:style>
  <w:style w:type="paragraph" w:customStyle="1" w:styleId="DoubSign">
    <w:name w:val="DoubSign"/>
    <w:basedOn w:val="Normal"/>
    <w:next w:val="Contact"/>
    <w:pPr>
      <w:tabs>
        <w:tab w:val="left" w:pos="5103"/>
      </w:tabs>
      <w:spacing w:before="1200"/>
    </w:pPr>
    <w:rPr>
      <w:szCs w:val="20"/>
      <w:lang w:eastAsia="zh-CN"/>
    </w:rPr>
  </w:style>
  <w:style w:type="paragraph" w:styleId="EnvelopeAddress">
    <w:name w:val="envelope address"/>
    <w:basedOn w:val="Normal"/>
    <w:pPr>
      <w:framePr w:w="7920" w:h="1980" w:hRule="exact" w:hSpace="180" w:wrap="auto" w:hAnchor="page" w:xAlign="center" w:yAlign="bottom"/>
      <w:jc w:val="both"/>
    </w:pPr>
    <w:rPr>
      <w:szCs w:val="20"/>
      <w:lang w:eastAsia="zh-CN"/>
    </w:rPr>
  </w:style>
  <w:style w:type="paragraph" w:styleId="EnvelopeReturn">
    <w:name w:val="envelope return"/>
    <w:basedOn w:val="Normal"/>
    <w:pPr>
      <w:jc w:val="both"/>
    </w:pPr>
    <w:rPr>
      <w:sz w:val="20"/>
      <w:szCs w:val="20"/>
      <w:lang w:eastAsia="zh-CN"/>
    </w:rPr>
  </w:style>
  <w:style w:type="paragraph" w:styleId="Index8">
    <w:name w:val="index 8"/>
    <w:basedOn w:val="Normal"/>
    <w:next w:val="Normal"/>
    <w:autoRedefine/>
    <w:pPr>
      <w:spacing w:after="240"/>
      <w:ind w:left="1920" w:hanging="240"/>
      <w:jc w:val="both"/>
    </w:pPr>
    <w:rPr>
      <w:szCs w:val="20"/>
      <w:lang w:eastAsia="zh-CN"/>
    </w:rPr>
  </w:style>
  <w:style w:type="paragraph" w:styleId="Index1">
    <w:name w:val="index 1"/>
    <w:basedOn w:val="Normal"/>
    <w:next w:val="Normal"/>
    <w:autoRedefine/>
    <w:pPr>
      <w:spacing w:after="240"/>
      <w:ind w:left="240" w:hanging="240"/>
      <w:jc w:val="both"/>
    </w:pPr>
    <w:rPr>
      <w:szCs w:val="20"/>
      <w:lang w:eastAsia="zh-CN"/>
    </w:rPr>
  </w:style>
  <w:style w:type="paragraph" w:styleId="IndexHeading">
    <w:name w:val="index heading"/>
    <w:basedOn w:val="Normal"/>
    <w:next w:val="Index1"/>
    <w:pPr>
      <w:spacing w:after="240"/>
      <w:jc w:val="both"/>
    </w:pPr>
    <w:rPr>
      <w:rFonts w:ascii="Arial" w:hAnsi="Arial"/>
      <w:b/>
      <w:szCs w:val="20"/>
      <w:lang w:eastAsia="zh-CN"/>
    </w:rPr>
  </w:style>
  <w:style w:type="paragraph" w:styleId="List">
    <w:name w:val="List"/>
    <w:basedOn w:val="Normal"/>
    <w:pPr>
      <w:spacing w:after="240"/>
      <w:ind w:left="283" w:hanging="283"/>
      <w:jc w:val="both"/>
    </w:pPr>
    <w:rPr>
      <w:szCs w:val="20"/>
      <w:lang w:eastAsia="zh-CN"/>
    </w:rPr>
  </w:style>
  <w:style w:type="paragraph" w:styleId="List2">
    <w:name w:val="List 2"/>
    <w:basedOn w:val="Normal"/>
    <w:pPr>
      <w:spacing w:after="240"/>
      <w:ind w:left="566" w:hanging="283"/>
      <w:jc w:val="both"/>
    </w:pPr>
    <w:rPr>
      <w:szCs w:val="20"/>
      <w:lang w:eastAsia="zh-CN"/>
    </w:rPr>
  </w:style>
  <w:style w:type="paragraph" w:styleId="List3">
    <w:name w:val="List 3"/>
    <w:basedOn w:val="Normal"/>
    <w:pPr>
      <w:spacing w:after="240"/>
      <w:ind w:left="849" w:hanging="283"/>
      <w:jc w:val="both"/>
    </w:pPr>
    <w:rPr>
      <w:szCs w:val="20"/>
      <w:lang w:eastAsia="zh-CN"/>
    </w:rPr>
  </w:style>
  <w:style w:type="paragraph" w:styleId="List4">
    <w:name w:val="List 4"/>
    <w:basedOn w:val="Normal"/>
    <w:pPr>
      <w:spacing w:after="240"/>
      <w:ind w:left="1132" w:hanging="283"/>
      <w:jc w:val="both"/>
    </w:pPr>
    <w:rPr>
      <w:szCs w:val="20"/>
      <w:lang w:eastAsia="zh-CN"/>
    </w:rPr>
  </w:style>
  <w:style w:type="paragraph" w:styleId="List5">
    <w:name w:val="List 5"/>
    <w:basedOn w:val="Normal"/>
    <w:pPr>
      <w:spacing w:after="240"/>
      <w:ind w:left="1415" w:hanging="283"/>
      <w:jc w:val="both"/>
    </w:pPr>
    <w:rPr>
      <w:szCs w:val="20"/>
      <w:lang w:eastAsia="zh-CN"/>
    </w:rPr>
  </w:style>
  <w:style w:type="paragraph" w:styleId="ListContinue">
    <w:name w:val="List Continue"/>
    <w:basedOn w:val="Normal"/>
    <w:pPr>
      <w:spacing w:after="120"/>
      <w:ind w:left="283"/>
      <w:jc w:val="both"/>
    </w:pPr>
    <w:rPr>
      <w:szCs w:val="20"/>
      <w:lang w:eastAsia="zh-CN"/>
    </w:rPr>
  </w:style>
  <w:style w:type="paragraph" w:styleId="ListContinue2">
    <w:name w:val="List Continue 2"/>
    <w:basedOn w:val="Normal"/>
    <w:pPr>
      <w:spacing w:after="120"/>
      <w:ind w:left="566"/>
      <w:jc w:val="both"/>
    </w:pPr>
    <w:rPr>
      <w:szCs w:val="20"/>
      <w:lang w:eastAsia="zh-CN"/>
    </w:rPr>
  </w:style>
  <w:style w:type="paragraph" w:styleId="ListContinue3">
    <w:name w:val="List Continue 3"/>
    <w:basedOn w:val="Normal"/>
    <w:pPr>
      <w:spacing w:after="120"/>
      <w:ind w:left="849"/>
      <w:jc w:val="both"/>
    </w:pPr>
    <w:rPr>
      <w:szCs w:val="20"/>
      <w:lang w:eastAsia="zh-CN"/>
    </w:rPr>
  </w:style>
  <w:style w:type="paragraph" w:styleId="ListContinue4">
    <w:name w:val="List Continue 4"/>
    <w:basedOn w:val="Normal"/>
    <w:pPr>
      <w:spacing w:after="120"/>
      <w:ind w:left="1132"/>
      <w:jc w:val="both"/>
    </w:pPr>
    <w:rPr>
      <w:szCs w:val="20"/>
      <w:lang w:eastAsia="zh-CN"/>
    </w:rPr>
  </w:style>
  <w:style w:type="paragraph" w:styleId="ListContinue5">
    <w:name w:val="List Continue 5"/>
    <w:basedOn w:val="Normal"/>
    <w:pPr>
      <w:spacing w:after="120"/>
      <w:ind w:left="1415"/>
      <w:jc w:val="both"/>
    </w:pPr>
    <w:rPr>
      <w:szCs w:val="20"/>
      <w:lang w:eastAsia="zh-CN"/>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rPr>
      <w:rFonts w:ascii="Courier New"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eastAsia="zh-CN"/>
    </w:rPr>
  </w:style>
  <w:style w:type="character" w:customStyle="1" w:styleId="MessageHeaderChar">
    <w:name w:val="Message Header Char"/>
    <w:link w:val="MessageHeader"/>
    <w:rPr>
      <w:rFonts w:ascii="Arial" w:hAnsi="Arial"/>
      <w:sz w:val="24"/>
      <w:shd w:val="pct20" w:color="auto" w:fill="auto"/>
      <w:lang w:eastAsia="zh-CN"/>
    </w:rPr>
  </w:style>
  <w:style w:type="paragraph" w:styleId="NormalIndent">
    <w:name w:val="Normal Indent"/>
    <w:basedOn w:val="Normal"/>
    <w:pPr>
      <w:spacing w:after="240"/>
      <w:ind w:left="720"/>
      <w:jc w:val="both"/>
    </w:pPr>
    <w:rPr>
      <w:szCs w:val="20"/>
      <w:lang w:eastAsia="zh-CN"/>
    </w:rPr>
  </w:style>
  <w:style w:type="paragraph" w:styleId="NoteHeading">
    <w:name w:val="Note Heading"/>
    <w:basedOn w:val="Normal"/>
    <w:next w:val="Normal"/>
    <w:link w:val="NoteHeadingChar"/>
    <w:pPr>
      <w:spacing w:after="240"/>
      <w:jc w:val="both"/>
    </w:pPr>
    <w:rPr>
      <w:szCs w:val="20"/>
      <w:lang w:eastAsia="zh-CN"/>
    </w:rPr>
  </w:style>
  <w:style w:type="character" w:customStyle="1" w:styleId="NoteHeadingChar">
    <w:name w:val="Note Heading Char"/>
    <w:link w:val="NoteHeading"/>
    <w:rPr>
      <w:sz w:val="24"/>
      <w:lang w:eastAsia="zh-CN"/>
    </w:rPr>
  </w:style>
  <w:style w:type="paragraph" w:customStyle="1" w:styleId="NoteHead">
    <w:name w:val="NoteHead"/>
    <w:basedOn w:val="Normal"/>
    <w:next w:val="Subject"/>
    <w:pPr>
      <w:spacing w:before="720" w:after="720"/>
      <w:jc w:val="center"/>
    </w:pPr>
    <w:rPr>
      <w:b/>
      <w:smallCaps/>
      <w:szCs w:val="20"/>
      <w:lang w:eastAsia="zh-CN"/>
    </w:rPr>
  </w:style>
  <w:style w:type="paragraph" w:customStyle="1" w:styleId="Subject">
    <w:name w:val="Subject"/>
    <w:basedOn w:val="Normal"/>
    <w:next w:val="Normal"/>
    <w:pPr>
      <w:spacing w:after="480"/>
      <w:ind w:left="1191" w:hanging="1191"/>
    </w:pPr>
    <w:rPr>
      <w:b/>
      <w:szCs w:val="20"/>
      <w:lang w:eastAsia="zh-CN"/>
    </w:rPr>
  </w:style>
  <w:style w:type="paragraph" w:customStyle="1" w:styleId="NoteList">
    <w:name w:val="NoteList"/>
    <w:basedOn w:val="Normal"/>
    <w:next w:val="Subject"/>
    <w:pPr>
      <w:tabs>
        <w:tab w:val="left" w:pos="5823"/>
      </w:tabs>
      <w:spacing w:before="720" w:after="720"/>
      <w:ind w:left="5104" w:hanging="3119"/>
    </w:pPr>
    <w:rPr>
      <w:b/>
      <w:smallCaps/>
      <w:szCs w:val="20"/>
      <w:lang w:eastAsia="zh-CN"/>
    </w:rPr>
  </w:style>
  <w:style w:type="paragraph" w:styleId="PlainText">
    <w:name w:val="Plain Text"/>
    <w:basedOn w:val="Normal"/>
    <w:link w:val="PlainTextChar"/>
    <w:pPr>
      <w:spacing w:after="240"/>
      <w:jc w:val="both"/>
    </w:pPr>
    <w:rPr>
      <w:rFonts w:ascii="Courier New" w:hAnsi="Courier New"/>
      <w:sz w:val="20"/>
      <w:szCs w:val="20"/>
      <w:lang w:eastAsia="zh-CN"/>
    </w:rPr>
  </w:style>
  <w:style w:type="character" w:customStyle="1" w:styleId="PlainTextChar">
    <w:name w:val="Plain Text Char"/>
    <w:link w:val="PlainText"/>
    <w:rPr>
      <w:rFonts w:ascii="Courier New" w:hAnsi="Courier New"/>
      <w:lang w:eastAsia="zh-CN"/>
    </w:rPr>
  </w:style>
  <w:style w:type="paragraph" w:styleId="Salutation">
    <w:name w:val="Salutation"/>
    <w:basedOn w:val="Normal"/>
    <w:next w:val="Normal"/>
    <w:link w:val="SalutationChar"/>
    <w:pPr>
      <w:spacing w:after="240"/>
      <w:jc w:val="both"/>
    </w:pPr>
    <w:rPr>
      <w:szCs w:val="20"/>
      <w:lang w:eastAsia="zh-CN"/>
    </w:rPr>
  </w:style>
  <w:style w:type="character" w:customStyle="1" w:styleId="SalutationChar">
    <w:name w:val="Salutation Char"/>
    <w:link w:val="Salutation"/>
    <w:rPr>
      <w:sz w:val="24"/>
      <w:lang w:eastAsia="zh-CN"/>
    </w:rPr>
  </w:style>
  <w:style w:type="paragraph" w:styleId="Subtitle">
    <w:name w:val="Subtitle"/>
    <w:basedOn w:val="Normal"/>
    <w:link w:val="SubtitleChar"/>
    <w:qFormat/>
    <w:pPr>
      <w:spacing w:after="60"/>
      <w:jc w:val="center"/>
      <w:outlineLvl w:val="1"/>
    </w:pPr>
    <w:rPr>
      <w:rFonts w:ascii="Arial" w:hAnsi="Arial"/>
      <w:szCs w:val="20"/>
      <w:lang w:eastAsia="zh-CN"/>
    </w:rPr>
  </w:style>
  <w:style w:type="character" w:customStyle="1" w:styleId="SubtitleChar">
    <w:name w:val="Subtitle Char"/>
    <w:link w:val="Subtitle"/>
    <w:rPr>
      <w:rFonts w:ascii="Arial" w:hAnsi="Arial"/>
      <w:sz w:val="24"/>
      <w:lang w:eastAsia="zh-CN"/>
    </w:rPr>
  </w:style>
  <w:style w:type="paragraph" w:styleId="Title">
    <w:name w:val="Title"/>
    <w:basedOn w:val="Normal"/>
    <w:link w:val="TitleChar"/>
    <w:qFormat/>
    <w:pPr>
      <w:spacing w:before="240" w:after="60"/>
      <w:jc w:val="center"/>
      <w:outlineLvl w:val="0"/>
    </w:pPr>
    <w:rPr>
      <w:rFonts w:ascii="Arial" w:hAnsi="Arial"/>
      <w:b/>
      <w:kern w:val="28"/>
      <w:sz w:val="32"/>
      <w:szCs w:val="20"/>
      <w:lang w:eastAsia="zh-CN"/>
    </w:rPr>
  </w:style>
  <w:style w:type="character" w:customStyle="1" w:styleId="TitleChar">
    <w:name w:val="Title Char"/>
    <w:link w:val="Title"/>
    <w:rPr>
      <w:rFonts w:ascii="Arial" w:hAnsi="Arial"/>
      <w:b/>
      <w:kern w:val="28"/>
      <w:sz w:val="32"/>
      <w:lang w:eastAsia="zh-CN"/>
    </w:rPr>
  </w:style>
  <w:style w:type="paragraph" w:customStyle="1" w:styleId="YReferences">
    <w:name w:val="YReferences"/>
    <w:basedOn w:val="Normal"/>
    <w:next w:val="Normal"/>
    <w:pPr>
      <w:spacing w:after="480"/>
      <w:ind w:left="1191" w:hanging="1191"/>
      <w:jc w:val="both"/>
    </w:pPr>
    <w:rPr>
      <w:szCs w:val="20"/>
      <w:lang w:eastAsia="zh-CN"/>
    </w:rPr>
  </w:style>
  <w:style w:type="paragraph" w:customStyle="1" w:styleId="DisclaimerNotice">
    <w:name w:val="Disclaimer Notice"/>
    <w:basedOn w:val="Normal"/>
    <w:next w:val="AddressTR"/>
    <w:pPr>
      <w:spacing w:after="240"/>
      <w:ind w:left="5103"/>
    </w:pPr>
    <w:rPr>
      <w:b/>
      <w:smallCaps/>
      <w:sz w:val="20"/>
      <w:szCs w:val="20"/>
      <w:u w:val="single"/>
      <w:lang w:eastAsia="zh-CN"/>
    </w:rPr>
  </w:style>
  <w:style w:type="paragraph" w:customStyle="1" w:styleId="Disclaimer">
    <w:name w:val="Disclaimer"/>
    <w:basedOn w:val="Normal"/>
    <w:pPr>
      <w:keepLines/>
      <w:pBdr>
        <w:top w:val="single" w:sz="4" w:space="1" w:color="auto"/>
      </w:pBdr>
      <w:spacing w:before="480"/>
      <w:jc w:val="both"/>
    </w:pPr>
    <w:rPr>
      <w:i/>
      <w:szCs w:val="20"/>
      <w:lang w:eastAsia="zh-CN"/>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jc w:val="both"/>
    </w:pPr>
    <w:rPr>
      <w:rFonts w:ascii="Arial" w:hAnsi="Arial"/>
      <w:b/>
      <w:sz w:val="16"/>
      <w:szCs w:val="20"/>
      <w:lang w:eastAsia="zh-CN"/>
    </w:rPr>
  </w:style>
  <w:style w:type="paragraph" w:customStyle="1" w:styleId="ZCom">
    <w:name w:val="Z_Com"/>
    <w:basedOn w:val="Normal"/>
    <w:next w:val="ZDGName"/>
    <w:pPr>
      <w:widowControl w:val="0"/>
      <w:ind w:right="85"/>
      <w:jc w:val="both"/>
    </w:pPr>
    <w:rPr>
      <w:rFonts w:ascii="Arial" w:hAnsi="Arial"/>
      <w:szCs w:val="20"/>
      <w:lang w:eastAsia="en-US"/>
    </w:rPr>
  </w:style>
  <w:style w:type="paragraph" w:customStyle="1" w:styleId="ZDGName">
    <w:name w:val="Z_DGName"/>
    <w:basedOn w:val="Normal"/>
    <w:pPr>
      <w:widowControl w:val="0"/>
      <w:ind w:right="85"/>
    </w:pPr>
    <w:rPr>
      <w:rFonts w:ascii="Arial" w:hAnsi="Arial"/>
      <w:sz w:val="16"/>
      <w:szCs w:val="20"/>
      <w:lang w:eastAsia="en-US"/>
    </w:rPr>
  </w:style>
  <w:style w:type="paragraph" w:customStyle="1" w:styleId="Style91">
    <w:name w:val="Style91"/>
    <w:rPr>
      <w:rFonts w:ascii="Arial" w:hAnsi="Arial"/>
      <w:sz w:val="24"/>
      <w:lang w:val="en-US" w:eastAsia="en-US"/>
    </w:rPr>
  </w:style>
  <w:style w:type="paragraph" w:customStyle="1" w:styleId="texte">
    <w:name w:val="texte"/>
    <w:basedOn w:val="Normal"/>
    <w:pPr>
      <w:spacing w:before="100" w:beforeAutospacing="1" w:after="100" w:afterAutospacing="1"/>
      <w:jc w:val="both"/>
    </w:pPr>
    <w:rPr>
      <w:rFonts w:ascii="Arial" w:hAnsi="Arial" w:cs="Arial"/>
      <w:color w:val="333399"/>
      <w:sz w:val="18"/>
      <w:szCs w:val="18"/>
      <w:lang w:eastAsia="zh-CN"/>
    </w:r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Pr>
      <w:rFonts w:cs="Times New Roman"/>
      <w:sz w:val="16"/>
      <w:szCs w:val="16"/>
      <w:shd w:val="clear" w:color="auto" w:fill="auto"/>
    </w:rPr>
  </w:style>
  <w:style w:type="paragraph" w:styleId="CommentText">
    <w:name w:val="annotation text"/>
    <w:basedOn w:val="Normal"/>
    <w:link w:val="CommentTextChar"/>
    <w:pPr>
      <w:spacing w:before="120" w:after="120"/>
      <w:jc w:val="both"/>
    </w:pPr>
    <w:rPr>
      <w:sz w:val="20"/>
      <w:szCs w:val="20"/>
      <w:lang w:eastAsia="zh-CN"/>
    </w:rPr>
  </w:style>
  <w:style w:type="character" w:customStyle="1" w:styleId="CommentTextChar">
    <w:name w:val="Comment Text Char"/>
    <w:link w:val="CommentText"/>
    <w:rPr>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zh-CN"/>
    </w:rPr>
  </w:style>
  <w:style w:type="character" w:customStyle="1" w:styleId="BalloonTextChar">
    <w:name w:val="Balloon Text Char"/>
    <w:link w:val="BalloonText"/>
    <w:semiHidden/>
    <w:rPr>
      <w:rFonts w:ascii="Tahoma" w:hAnsi="Tahoma" w:cs="Tahoma"/>
      <w:sz w:val="16"/>
      <w:szCs w:val="16"/>
    </w:rPr>
  </w:style>
  <w:style w:type="paragraph" w:customStyle="1" w:styleId="Style1">
    <w:name w:val="Style1"/>
    <w:basedOn w:val="Heading1"/>
    <w:pPr>
      <w:numPr>
        <w:numId w:val="0"/>
      </w:numPr>
      <w:tabs>
        <w:tab w:val="left" w:pos="709"/>
      </w:tabs>
      <w:spacing w:before="240" w:after="0"/>
      <w:ind w:left="851" w:hanging="851"/>
      <w:jc w:val="left"/>
    </w:pPr>
    <w:rPr>
      <w:bCs w:val="0"/>
      <w:szCs w:val="20"/>
      <w:lang w:eastAsia="zh-CN"/>
    </w:rPr>
  </w:style>
  <w:style w:type="paragraph" w:customStyle="1" w:styleId="Normal10pt">
    <w:name w:val="Normal + 10 pt"/>
    <w:aliases w:val="Condensed by  0,15 pt"/>
    <w:basedOn w:val="Normal"/>
    <w:pPr>
      <w:keepNext/>
      <w:suppressAutoHyphens/>
      <w:ind w:left="255"/>
    </w:pPr>
    <w:rPr>
      <w:spacing w:val="-3"/>
      <w:sz w:val="18"/>
      <w:szCs w:val="18"/>
      <w:lang w:eastAsia="zh-CN"/>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jc w:val="both"/>
    </w:pPr>
    <w:rPr>
      <w:b/>
      <w:szCs w:val="20"/>
      <w:lang w:eastAsia="en-US"/>
    </w:rPr>
  </w:style>
  <w:style w:type="paragraph" w:styleId="EndnoteText">
    <w:name w:val="endnote text"/>
    <w:basedOn w:val="Normal"/>
    <w:link w:val="EndnoteTextChar"/>
    <w:pPr>
      <w:spacing w:after="240"/>
      <w:jc w:val="both"/>
    </w:pPr>
    <w:rPr>
      <w:sz w:val="20"/>
      <w:szCs w:val="20"/>
      <w:lang w:eastAsia="en-US"/>
    </w:rPr>
  </w:style>
  <w:style w:type="character" w:customStyle="1" w:styleId="EndnoteTextChar">
    <w:name w:val="Endnote Text Char"/>
    <w:link w:val="EndnoteText"/>
    <w:rPr>
      <w:lang w:eastAsia="en-US"/>
    </w:rPr>
  </w:style>
  <w:style w:type="paragraph" w:styleId="Index2">
    <w:name w:val="index 2"/>
    <w:basedOn w:val="Normal"/>
    <w:next w:val="Normal"/>
    <w:autoRedefine/>
    <w:pPr>
      <w:spacing w:after="240"/>
      <w:ind w:left="480" w:hanging="240"/>
      <w:jc w:val="both"/>
    </w:pPr>
    <w:rPr>
      <w:szCs w:val="20"/>
      <w:lang w:eastAsia="en-US"/>
    </w:rPr>
  </w:style>
  <w:style w:type="paragraph" w:styleId="Index3">
    <w:name w:val="index 3"/>
    <w:basedOn w:val="Normal"/>
    <w:next w:val="Normal"/>
    <w:autoRedefine/>
    <w:pPr>
      <w:spacing w:after="240"/>
      <w:ind w:left="720" w:hanging="240"/>
      <w:jc w:val="both"/>
    </w:pPr>
    <w:rPr>
      <w:szCs w:val="20"/>
      <w:lang w:eastAsia="en-US"/>
    </w:rPr>
  </w:style>
  <w:style w:type="paragraph" w:styleId="Index4">
    <w:name w:val="index 4"/>
    <w:basedOn w:val="Normal"/>
    <w:next w:val="Normal"/>
    <w:autoRedefine/>
    <w:pPr>
      <w:spacing w:after="240"/>
      <w:ind w:left="960" w:hanging="240"/>
      <w:jc w:val="both"/>
    </w:pPr>
    <w:rPr>
      <w:szCs w:val="20"/>
      <w:lang w:eastAsia="en-US"/>
    </w:rPr>
  </w:style>
  <w:style w:type="paragraph" w:styleId="Index5">
    <w:name w:val="index 5"/>
    <w:basedOn w:val="Normal"/>
    <w:next w:val="Normal"/>
    <w:autoRedefine/>
    <w:pPr>
      <w:spacing w:after="240"/>
      <w:ind w:left="1200" w:hanging="240"/>
      <w:jc w:val="both"/>
    </w:pPr>
    <w:rPr>
      <w:szCs w:val="20"/>
      <w:lang w:eastAsia="en-US"/>
    </w:rPr>
  </w:style>
  <w:style w:type="paragraph" w:styleId="Index6">
    <w:name w:val="index 6"/>
    <w:basedOn w:val="Normal"/>
    <w:next w:val="Normal"/>
    <w:autoRedefine/>
    <w:pPr>
      <w:spacing w:after="240"/>
      <w:ind w:left="1440" w:hanging="240"/>
      <w:jc w:val="both"/>
    </w:pPr>
    <w:rPr>
      <w:szCs w:val="20"/>
      <w:lang w:eastAsia="en-US"/>
    </w:rPr>
  </w:style>
  <w:style w:type="paragraph" w:styleId="Index7">
    <w:name w:val="index 7"/>
    <w:basedOn w:val="Normal"/>
    <w:next w:val="Normal"/>
    <w:autoRedefine/>
    <w:pPr>
      <w:spacing w:after="240"/>
      <w:ind w:left="1680" w:hanging="240"/>
      <w:jc w:val="both"/>
    </w:pPr>
    <w:rPr>
      <w:szCs w:val="20"/>
      <w:lang w:eastAsia="en-US"/>
    </w:rPr>
  </w:style>
  <w:style w:type="paragraph" w:styleId="Index9">
    <w:name w:val="index 9"/>
    <w:basedOn w:val="Normal"/>
    <w:next w:val="Normal"/>
    <w:autoRedefine/>
    <w:pPr>
      <w:spacing w:after="240"/>
      <w:ind w:left="2160" w:hanging="240"/>
      <w:jc w:val="both"/>
    </w:pPr>
    <w:rPr>
      <w:szCs w:val="20"/>
      <w:lang w:eastAsia="en-US"/>
    </w:rPr>
  </w:style>
  <w:style w:type="paragraph" w:styleId="TableofAuthorities">
    <w:name w:val="table of authorities"/>
    <w:basedOn w:val="Normal"/>
    <w:next w:val="Normal"/>
    <w:pPr>
      <w:spacing w:after="240"/>
      <w:ind w:left="240" w:hanging="240"/>
      <w:jc w:val="both"/>
    </w:pPr>
    <w:rPr>
      <w:szCs w:val="20"/>
      <w:lang w:eastAsia="en-US"/>
    </w:rPr>
  </w:style>
  <w:style w:type="paragraph" w:styleId="TableofFigures">
    <w:name w:val="table of figures"/>
    <w:basedOn w:val="Normal"/>
    <w:next w:val="Normal"/>
    <w:pPr>
      <w:spacing w:after="240"/>
      <w:ind w:left="480" w:hanging="480"/>
      <w:jc w:val="both"/>
    </w:pPr>
    <w:rPr>
      <w:szCs w:val="20"/>
      <w:lang w:eastAsia="en-US"/>
    </w:rPr>
  </w:style>
  <w:style w:type="paragraph" w:styleId="TOAHeading">
    <w:name w:val="toa heading"/>
    <w:basedOn w:val="Normal"/>
    <w:next w:val="Normal"/>
    <w:pPr>
      <w:spacing w:before="120" w:after="240"/>
      <w:jc w:val="both"/>
    </w:pPr>
    <w:rPr>
      <w:rFonts w:ascii="Arial" w:hAnsi="Arial"/>
      <w:b/>
      <w:szCs w:val="20"/>
      <w:lang w:eastAsia="en-US"/>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pPr>
  </w:style>
  <w:style w:type="paragraph" w:styleId="NormalWeb">
    <w:name w:val="Normal (Web)"/>
    <w:basedOn w:val="Normal"/>
    <w:pPr>
      <w:spacing w:before="60" w:after="60"/>
    </w:pPr>
    <w:rPr>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rPr>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jc w:val="center"/>
    </w:pPr>
    <w:rPr>
      <w:b/>
      <w:u w:val="single"/>
      <w:lang w:eastAsia="de-DE"/>
    </w:rPr>
  </w:style>
  <w:style w:type="numbering" w:styleId="111111">
    <w:name w:val="Outline List 2"/>
    <w:basedOn w:val="NoList"/>
    <w:pPr>
      <w:numPr>
        <w:numId w:val="16"/>
      </w:numPr>
    </w:pPr>
  </w:style>
  <w:style w:type="character" w:customStyle="1" w:styleId="Text1Char">
    <w:name w:val="Text 1 Char"/>
    <w:link w:val="Text1"/>
    <w:locked/>
    <w:rPr>
      <w:rFonts w:eastAsia="MS PGothic"/>
      <w:noProof/>
      <w:sz w:val="24"/>
      <w:szCs w:val="24"/>
      <w:lang w:eastAsia="en-US"/>
    </w:rPr>
  </w:style>
  <w:style w:type="character" w:customStyle="1" w:styleId="FooterCoverPageChar">
    <w:name w:val="Footer Cover Page Char"/>
    <w:link w:val="FooterCoverPage"/>
    <w:rPr>
      <w:noProof/>
      <w:sz w:val="24"/>
      <w:szCs w:val="24"/>
    </w:rPr>
  </w:style>
  <w:style w:type="character" w:customStyle="1" w:styleId="HeaderCoverPageChar">
    <w:name w:val="Header Cover Page Char"/>
    <w:link w:val="HeaderCoverPage"/>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1850">
      <w:bodyDiv w:val="1"/>
      <w:marLeft w:val="0"/>
      <w:marRight w:val="0"/>
      <w:marTop w:val="0"/>
      <w:marBottom w:val="0"/>
      <w:divBdr>
        <w:top w:val="none" w:sz="0" w:space="0" w:color="auto"/>
        <w:left w:val="none" w:sz="0" w:space="0" w:color="auto"/>
        <w:bottom w:val="none" w:sz="0" w:space="0" w:color="auto"/>
        <w:right w:val="none" w:sz="0" w:space="0" w:color="auto"/>
      </w:divBdr>
    </w:div>
    <w:div w:id="1510562703">
      <w:bodyDiv w:val="1"/>
      <w:marLeft w:val="0"/>
      <w:marRight w:val="0"/>
      <w:marTop w:val="0"/>
      <w:marBottom w:val="0"/>
      <w:divBdr>
        <w:top w:val="none" w:sz="0" w:space="0" w:color="auto"/>
        <w:left w:val="none" w:sz="0" w:space="0" w:color="auto"/>
        <w:bottom w:val="none" w:sz="0" w:space="0" w:color="auto"/>
        <w:right w:val="none" w:sz="0" w:space="0" w:color="auto"/>
      </w:divBdr>
    </w:div>
    <w:div w:id="1612274041">
      <w:bodyDiv w:val="1"/>
      <w:marLeft w:val="0"/>
      <w:marRight w:val="0"/>
      <w:marTop w:val="0"/>
      <w:marBottom w:val="0"/>
      <w:divBdr>
        <w:top w:val="none" w:sz="0" w:space="0" w:color="auto"/>
        <w:left w:val="none" w:sz="0" w:space="0" w:color="auto"/>
        <w:bottom w:val="none" w:sz="0" w:space="0" w:color="auto"/>
        <w:right w:val="none" w:sz="0" w:space="0" w:color="auto"/>
      </w:divBdr>
    </w:div>
    <w:div w:id="1956406739">
      <w:bodyDiv w:val="1"/>
      <w:marLeft w:val="0"/>
      <w:marRight w:val="0"/>
      <w:marTop w:val="0"/>
      <w:marBottom w:val="0"/>
      <w:divBdr>
        <w:top w:val="none" w:sz="0" w:space="0" w:color="auto"/>
        <w:left w:val="none" w:sz="0" w:space="0" w:color="auto"/>
        <w:bottom w:val="none" w:sz="0" w:space="0" w:color="auto"/>
        <w:right w:val="none" w:sz="0" w:space="0" w:color="auto"/>
      </w:divBdr>
    </w:div>
    <w:div w:id="2043823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footer" Target="footer6.xml"/><Relationship Id="rId34" Type="http://schemas.openxmlformats.org/officeDocument/2006/relationships/image" Target="media/image2.emf"/><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image" Target="media/image13.emf"/><Relationship Id="rId68" Type="http://schemas.openxmlformats.org/officeDocument/2006/relationships/image" Target="media/image18.emf"/><Relationship Id="rId76" Type="http://schemas.openxmlformats.org/officeDocument/2006/relationships/footer" Target="footer22.xml"/><Relationship Id="rId84" Type="http://schemas.openxmlformats.org/officeDocument/2006/relationships/header" Target="header27.xml"/><Relationship Id="rId89" Type="http://schemas.openxmlformats.org/officeDocument/2006/relationships/header" Target="header29.xml"/><Relationship Id="rId7" Type="http://schemas.openxmlformats.org/officeDocument/2006/relationships/footnotes" Target="footnotes.xml"/><Relationship Id="rId71" Type="http://schemas.openxmlformats.org/officeDocument/2006/relationships/image" Target="media/image21.emf"/><Relationship Id="rId92"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image" Target="media/image8.emf"/><Relationship Id="rId66" Type="http://schemas.openxmlformats.org/officeDocument/2006/relationships/image" Target="media/image16.emf"/><Relationship Id="rId74" Type="http://schemas.openxmlformats.org/officeDocument/2006/relationships/header" Target="header22.xml"/><Relationship Id="rId79" Type="http://schemas.openxmlformats.org/officeDocument/2006/relationships/footer" Target="footer24.xml"/><Relationship Id="rId87" Type="http://schemas.openxmlformats.org/officeDocument/2006/relationships/image" Target="media/image25.emf"/><Relationship Id="rId5" Type="http://schemas.openxmlformats.org/officeDocument/2006/relationships/settings" Target="settings.xml"/><Relationship Id="rId61" Type="http://schemas.openxmlformats.org/officeDocument/2006/relationships/image" Target="media/image11.emf"/><Relationship Id="rId82" Type="http://schemas.openxmlformats.org/officeDocument/2006/relationships/footer" Target="footer25.xml"/><Relationship Id="rId90" Type="http://schemas.openxmlformats.org/officeDocument/2006/relationships/footer" Target="footer28.xml"/><Relationship Id="rId95"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image" Target="media/image4.emf"/><Relationship Id="rId56" Type="http://schemas.openxmlformats.org/officeDocument/2006/relationships/image" Target="media/image6.emf"/><Relationship Id="rId64" Type="http://schemas.openxmlformats.org/officeDocument/2006/relationships/image" Target="media/image14.emf"/><Relationship Id="rId69" Type="http://schemas.openxmlformats.org/officeDocument/2006/relationships/image" Target="media/image19.emf"/><Relationship Id="rId77"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image" Target="media/image22.emf"/><Relationship Id="rId80" Type="http://schemas.openxmlformats.org/officeDocument/2006/relationships/header" Target="header25.xml"/><Relationship Id="rId85" Type="http://schemas.openxmlformats.org/officeDocument/2006/relationships/footer" Target="footer27.xml"/><Relationship Id="rId93" Type="http://schemas.openxmlformats.org/officeDocument/2006/relationships/footer" Target="footer3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image" Target="media/image9.emf"/><Relationship Id="rId67" Type="http://schemas.openxmlformats.org/officeDocument/2006/relationships/image" Target="media/image17.emf"/><Relationship Id="rId20" Type="http://schemas.openxmlformats.org/officeDocument/2006/relationships/header" Target="header6.xml"/><Relationship Id="rId41" Type="http://schemas.openxmlformats.org/officeDocument/2006/relationships/image" Target="media/image3.emf"/><Relationship Id="rId54" Type="http://schemas.openxmlformats.org/officeDocument/2006/relationships/header" Target="header21.xml"/><Relationship Id="rId62" Type="http://schemas.openxmlformats.org/officeDocument/2006/relationships/image" Target="media/image12.emf"/><Relationship Id="rId70" Type="http://schemas.openxmlformats.org/officeDocument/2006/relationships/image" Target="media/image20.emf"/><Relationship Id="rId75" Type="http://schemas.openxmlformats.org/officeDocument/2006/relationships/header" Target="header23.xml"/><Relationship Id="rId83" Type="http://schemas.openxmlformats.org/officeDocument/2006/relationships/footer" Target="footer26.xml"/><Relationship Id="rId88" Type="http://schemas.openxmlformats.org/officeDocument/2006/relationships/header" Target="header28.xml"/><Relationship Id="rId91"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image" Target="media/image5.emf"/><Relationship Id="rId57" Type="http://schemas.openxmlformats.org/officeDocument/2006/relationships/image" Target="media/image7.emf"/><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6.xml"/><Relationship Id="rId52" Type="http://schemas.openxmlformats.org/officeDocument/2006/relationships/footer" Target="footer19.xml"/><Relationship Id="rId60" Type="http://schemas.openxmlformats.org/officeDocument/2006/relationships/image" Target="media/image10.emf"/><Relationship Id="rId65" Type="http://schemas.openxmlformats.org/officeDocument/2006/relationships/image" Target="media/image15.emf"/><Relationship Id="rId73" Type="http://schemas.openxmlformats.org/officeDocument/2006/relationships/image" Target="media/image23.emf"/><Relationship Id="rId78" Type="http://schemas.openxmlformats.org/officeDocument/2006/relationships/header" Target="header24.xml"/><Relationship Id="rId81" Type="http://schemas.openxmlformats.org/officeDocument/2006/relationships/header" Target="header26.xml"/><Relationship Id="rId86" Type="http://schemas.openxmlformats.org/officeDocument/2006/relationships/image" Target="media/image24.emf"/><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79FC-F843-4552-9CB6-118BB85C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13246</Words>
  <Characters>71000</Characters>
  <Application>Microsoft Office Word</Application>
  <DocSecurity>0</DocSecurity>
  <Lines>1690</Lines>
  <Paragraphs>968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83278</CharactersWithSpaces>
  <SharedDoc>false</SharedDoc>
  <HLinks>
    <vt:vector size="546" baseType="variant">
      <vt:variant>
        <vt:i4>1703995</vt:i4>
      </vt:variant>
      <vt:variant>
        <vt:i4>542</vt:i4>
      </vt:variant>
      <vt:variant>
        <vt:i4>0</vt:i4>
      </vt:variant>
      <vt:variant>
        <vt:i4>5</vt:i4>
      </vt:variant>
      <vt:variant>
        <vt:lpwstr/>
      </vt:variant>
      <vt:variant>
        <vt:lpwstr>_Toc456686184</vt:lpwstr>
      </vt:variant>
      <vt:variant>
        <vt:i4>1703995</vt:i4>
      </vt:variant>
      <vt:variant>
        <vt:i4>536</vt:i4>
      </vt:variant>
      <vt:variant>
        <vt:i4>0</vt:i4>
      </vt:variant>
      <vt:variant>
        <vt:i4>5</vt:i4>
      </vt:variant>
      <vt:variant>
        <vt:lpwstr/>
      </vt:variant>
      <vt:variant>
        <vt:lpwstr>_Toc456686183</vt:lpwstr>
      </vt:variant>
      <vt:variant>
        <vt:i4>1703995</vt:i4>
      </vt:variant>
      <vt:variant>
        <vt:i4>530</vt:i4>
      </vt:variant>
      <vt:variant>
        <vt:i4>0</vt:i4>
      </vt:variant>
      <vt:variant>
        <vt:i4>5</vt:i4>
      </vt:variant>
      <vt:variant>
        <vt:lpwstr/>
      </vt:variant>
      <vt:variant>
        <vt:lpwstr>_Toc456686182</vt:lpwstr>
      </vt:variant>
      <vt:variant>
        <vt:i4>1703995</vt:i4>
      </vt:variant>
      <vt:variant>
        <vt:i4>524</vt:i4>
      </vt:variant>
      <vt:variant>
        <vt:i4>0</vt:i4>
      </vt:variant>
      <vt:variant>
        <vt:i4>5</vt:i4>
      </vt:variant>
      <vt:variant>
        <vt:lpwstr/>
      </vt:variant>
      <vt:variant>
        <vt:lpwstr>_Toc456686181</vt:lpwstr>
      </vt:variant>
      <vt:variant>
        <vt:i4>1703995</vt:i4>
      </vt:variant>
      <vt:variant>
        <vt:i4>518</vt:i4>
      </vt:variant>
      <vt:variant>
        <vt:i4>0</vt:i4>
      </vt:variant>
      <vt:variant>
        <vt:i4>5</vt:i4>
      </vt:variant>
      <vt:variant>
        <vt:lpwstr/>
      </vt:variant>
      <vt:variant>
        <vt:lpwstr>_Toc456686180</vt:lpwstr>
      </vt:variant>
      <vt:variant>
        <vt:i4>1376315</vt:i4>
      </vt:variant>
      <vt:variant>
        <vt:i4>512</vt:i4>
      </vt:variant>
      <vt:variant>
        <vt:i4>0</vt:i4>
      </vt:variant>
      <vt:variant>
        <vt:i4>5</vt:i4>
      </vt:variant>
      <vt:variant>
        <vt:lpwstr/>
      </vt:variant>
      <vt:variant>
        <vt:lpwstr>_Toc456686179</vt:lpwstr>
      </vt:variant>
      <vt:variant>
        <vt:i4>1376315</vt:i4>
      </vt:variant>
      <vt:variant>
        <vt:i4>506</vt:i4>
      </vt:variant>
      <vt:variant>
        <vt:i4>0</vt:i4>
      </vt:variant>
      <vt:variant>
        <vt:i4>5</vt:i4>
      </vt:variant>
      <vt:variant>
        <vt:lpwstr/>
      </vt:variant>
      <vt:variant>
        <vt:lpwstr>_Toc456686178</vt:lpwstr>
      </vt:variant>
      <vt:variant>
        <vt:i4>1376315</vt:i4>
      </vt:variant>
      <vt:variant>
        <vt:i4>500</vt:i4>
      </vt:variant>
      <vt:variant>
        <vt:i4>0</vt:i4>
      </vt:variant>
      <vt:variant>
        <vt:i4>5</vt:i4>
      </vt:variant>
      <vt:variant>
        <vt:lpwstr/>
      </vt:variant>
      <vt:variant>
        <vt:lpwstr>_Toc456686177</vt:lpwstr>
      </vt:variant>
      <vt:variant>
        <vt:i4>1376315</vt:i4>
      </vt:variant>
      <vt:variant>
        <vt:i4>494</vt:i4>
      </vt:variant>
      <vt:variant>
        <vt:i4>0</vt:i4>
      </vt:variant>
      <vt:variant>
        <vt:i4>5</vt:i4>
      </vt:variant>
      <vt:variant>
        <vt:lpwstr/>
      </vt:variant>
      <vt:variant>
        <vt:lpwstr>_Toc456686176</vt:lpwstr>
      </vt:variant>
      <vt:variant>
        <vt:i4>1376315</vt:i4>
      </vt:variant>
      <vt:variant>
        <vt:i4>488</vt:i4>
      </vt:variant>
      <vt:variant>
        <vt:i4>0</vt:i4>
      </vt:variant>
      <vt:variant>
        <vt:i4>5</vt:i4>
      </vt:variant>
      <vt:variant>
        <vt:lpwstr/>
      </vt:variant>
      <vt:variant>
        <vt:lpwstr>_Toc456686175</vt:lpwstr>
      </vt:variant>
      <vt:variant>
        <vt:i4>1376315</vt:i4>
      </vt:variant>
      <vt:variant>
        <vt:i4>482</vt:i4>
      </vt:variant>
      <vt:variant>
        <vt:i4>0</vt:i4>
      </vt:variant>
      <vt:variant>
        <vt:i4>5</vt:i4>
      </vt:variant>
      <vt:variant>
        <vt:lpwstr/>
      </vt:variant>
      <vt:variant>
        <vt:lpwstr>_Toc456686174</vt:lpwstr>
      </vt:variant>
      <vt:variant>
        <vt:i4>1376315</vt:i4>
      </vt:variant>
      <vt:variant>
        <vt:i4>476</vt:i4>
      </vt:variant>
      <vt:variant>
        <vt:i4>0</vt:i4>
      </vt:variant>
      <vt:variant>
        <vt:i4>5</vt:i4>
      </vt:variant>
      <vt:variant>
        <vt:lpwstr/>
      </vt:variant>
      <vt:variant>
        <vt:lpwstr>_Toc456686173</vt:lpwstr>
      </vt:variant>
      <vt:variant>
        <vt:i4>1376315</vt:i4>
      </vt:variant>
      <vt:variant>
        <vt:i4>470</vt:i4>
      </vt:variant>
      <vt:variant>
        <vt:i4>0</vt:i4>
      </vt:variant>
      <vt:variant>
        <vt:i4>5</vt:i4>
      </vt:variant>
      <vt:variant>
        <vt:lpwstr/>
      </vt:variant>
      <vt:variant>
        <vt:lpwstr>_Toc456686172</vt:lpwstr>
      </vt:variant>
      <vt:variant>
        <vt:i4>1376315</vt:i4>
      </vt:variant>
      <vt:variant>
        <vt:i4>464</vt:i4>
      </vt:variant>
      <vt:variant>
        <vt:i4>0</vt:i4>
      </vt:variant>
      <vt:variant>
        <vt:i4>5</vt:i4>
      </vt:variant>
      <vt:variant>
        <vt:lpwstr/>
      </vt:variant>
      <vt:variant>
        <vt:lpwstr>_Toc456686171</vt:lpwstr>
      </vt:variant>
      <vt:variant>
        <vt:i4>1376315</vt:i4>
      </vt:variant>
      <vt:variant>
        <vt:i4>458</vt:i4>
      </vt:variant>
      <vt:variant>
        <vt:i4>0</vt:i4>
      </vt:variant>
      <vt:variant>
        <vt:i4>5</vt:i4>
      </vt:variant>
      <vt:variant>
        <vt:lpwstr/>
      </vt:variant>
      <vt:variant>
        <vt:lpwstr>_Toc456686170</vt:lpwstr>
      </vt:variant>
      <vt:variant>
        <vt:i4>1310779</vt:i4>
      </vt:variant>
      <vt:variant>
        <vt:i4>452</vt:i4>
      </vt:variant>
      <vt:variant>
        <vt:i4>0</vt:i4>
      </vt:variant>
      <vt:variant>
        <vt:i4>5</vt:i4>
      </vt:variant>
      <vt:variant>
        <vt:lpwstr/>
      </vt:variant>
      <vt:variant>
        <vt:lpwstr>_Toc456686169</vt:lpwstr>
      </vt:variant>
      <vt:variant>
        <vt:i4>1310779</vt:i4>
      </vt:variant>
      <vt:variant>
        <vt:i4>446</vt:i4>
      </vt:variant>
      <vt:variant>
        <vt:i4>0</vt:i4>
      </vt:variant>
      <vt:variant>
        <vt:i4>5</vt:i4>
      </vt:variant>
      <vt:variant>
        <vt:lpwstr/>
      </vt:variant>
      <vt:variant>
        <vt:lpwstr>_Toc456686168</vt:lpwstr>
      </vt:variant>
      <vt:variant>
        <vt:i4>1310779</vt:i4>
      </vt:variant>
      <vt:variant>
        <vt:i4>440</vt:i4>
      </vt:variant>
      <vt:variant>
        <vt:i4>0</vt:i4>
      </vt:variant>
      <vt:variant>
        <vt:i4>5</vt:i4>
      </vt:variant>
      <vt:variant>
        <vt:lpwstr/>
      </vt:variant>
      <vt:variant>
        <vt:lpwstr>_Toc456686167</vt:lpwstr>
      </vt:variant>
      <vt:variant>
        <vt:i4>1310779</vt:i4>
      </vt:variant>
      <vt:variant>
        <vt:i4>434</vt:i4>
      </vt:variant>
      <vt:variant>
        <vt:i4>0</vt:i4>
      </vt:variant>
      <vt:variant>
        <vt:i4>5</vt:i4>
      </vt:variant>
      <vt:variant>
        <vt:lpwstr/>
      </vt:variant>
      <vt:variant>
        <vt:lpwstr>_Toc456686166</vt:lpwstr>
      </vt:variant>
      <vt:variant>
        <vt:i4>1310779</vt:i4>
      </vt:variant>
      <vt:variant>
        <vt:i4>428</vt:i4>
      </vt:variant>
      <vt:variant>
        <vt:i4>0</vt:i4>
      </vt:variant>
      <vt:variant>
        <vt:i4>5</vt:i4>
      </vt:variant>
      <vt:variant>
        <vt:lpwstr/>
      </vt:variant>
      <vt:variant>
        <vt:lpwstr>_Toc456686165</vt:lpwstr>
      </vt:variant>
      <vt:variant>
        <vt:i4>1310779</vt:i4>
      </vt:variant>
      <vt:variant>
        <vt:i4>422</vt:i4>
      </vt:variant>
      <vt:variant>
        <vt:i4>0</vt:i4>
      </vt:variant>
      <vt:variant>
        <vt:i4>5</vt:i4>
      </vt:variant>
      <vt:variant>
        <vt:lpwstr/>
      </vt:variant>
      <vt:variant>
        <vt:lpwstr>_Toc456686164</vt:lpwstr>
      </vt:variant>
      <vt:variant>
        <vt:i4>1310779</vt:i4>
      </vt:variant>
      <vt:variant>
        <vt:i4>416</vt:i4>
      </vt:variant>
      <vt:variant>
        <vt:i4>0</vt:i4>
      </vt:variant>
      <vt:variant>
        <vt:i4>5</vt:i4>
      </vt:variant>
      <vt:variant>
        <vt:lpwstr/>
      </vt:variant>
      <vt:variant>
        <vt:lpwstr>_Toc456686163</vt:lpwstr>
      </vt:variant>
      <vt:variant>
        <vt:i4>1310779</vt:i4>
      </vt:variant>
      <vt:variant>
        <vt:i4>410</vt:i4>
      </vt:variant>
      <vt:variant>
        <vt:i4>0</vt:i4>
      </vt:variant>
      <vt:variant>
        <vt:i4>5</vt:i4>
      </vt:variant>
      <vt:variant>
        <vt:lpwstr/>
      </vt:variant>
      <vt:variant>
        <vt:lpwstr>_Toc456686162</vt:lpwstr>
      </vt:variant>
      <vt:variant>
        <vt:i4>1310779</vt:i4>
      </vt:variant>
      <vt:variant>
        <vt:i4>404</vt:i4>
      </vt:variant>
      <vt:variant>
        <vt:i4>0</vt:i4>
      </vt:variant>
      <vt:variant>
        <vt:i4>5</vt:i4>
      </vt:variant>
      <vt:variant>
        <vt:lpwstr/>
      </vt:variant>
      <vt:variant>
        <vt:lpwstr>_Toc456686161</vt:lpwstr>
      </vt:variant>
      <vt:variant>
        <vt:i4>1310779</vt:i4>
      </vt:variant>
      <vt:variant>
        <vt:i4>398</vt:i4>
      </vt:variant>
      <vt:variant>
        <vt:i4>0</vt:i4>
      </vt:variant>
      <vt:variant>
        <vt:i4>5</vt:i4>
      </vt:variant>
      <vt:variant>
        <vt:lpwstr/>
      </vt:variant>
      <vt:variant>
        <vt:lpwstr>_Toc456686160</vt:lpwstr>
      </vt:variant>
      <vt:variant>
        <vt:i4>1507387</vt:i4>
      </vt:variant>
      <vt:variant>
        <vt:i4>392</vt:i4>
      </vt:variant>
      <vt:variant>
        <vt:i4>0</vt:i4>
      </vt:variant>
      <vt:variant>
        <vt:i4>5</vt:i4>
      </vt:variant>
      <vt:variant>
        <vt:lpwstr/>
      </vt:variant>
      <vt:variant>
        <vt:lpwstr>_Toc456686159</vt:lpwstr>
      </vt:variant>
      <vt:variant>
        <vt:i4>1507387</vt:i4>
      </vt:variant>
      <vt:variant>
        <vt:i4>386</vt:i4>
      </vt:variant>
      <vt:variant>
        <vt:i4>0</vt:i4>
      </vt:variant>
      <vt:variant>
        <vt:i4>5</vt:i4>
      </vt:variant>
      <vt:variant>
        <vt:lpwstr/>
      </vt:variant>
      <vt:variant>
        <vt:lpwstr>_Toc456686158</vt:lpwstr>
      </vt:variant>
      <vt:variant>
        <vt:i4>1507387</vt:i4>
      </vt:variant>
      <vt:variant>
        <vt:i4>380</vt:i4>
      </vt:variant>
      <vt:variant>
        <vt:i4>0</vt:i4>
      </vt:variant>
      <vt:variant>
        <vt:i4>5</vt:i4>
      </vt:variant>
      <vt:variant>
        <vt:lpwstr/>
      </vt:variant>
      <vt:variant>
        <vt:lpwstr>_Toc456686157</vt:lpwstr>
      </vt:variant>
      <vt:variant>
        <vt:i4>1507387</vt:i4>
      </vt:variant>
      <vt:variant>
        <vt:i4>374</vt:i4>
      </vt:variant>
      <vt:variant>
        <vt:i4>0</vt:i4>
      </vt:variant>
      <vt:variant>
        <vt:i4>5</vt:i4>
      </vt:variant>
      <vt:variant>
        <vt:lpwstr/>
      </vt:variant>
      <vt:variant>
        <vt:lpwstr>_Toc456686156</vt:lpwstr>
      </vt:variant>
      <vt:variant>
        <vt:i4>1507387</vt:i4>
      </vt:variant>
      <vt:variant>
        <vt:i4>368</vt:i4>
      </vt:variant>
      <vt:variant>
        <vt:i4>0</vt:i4>
      </vt:variant>
      <vt:variant>
        <vt:i4>5</vt:i4>
      </vt:variant>
      <vt:variant>
        <vt:lpwstr/>
      </vt:variant>
      <vt:variant>
        <vt:lpwstr>_Toc456686155</vt:lpwstr>
      </vt:variant>
      <vt:variant>
        <vt:i4>1507387</vt:i4>
      </vt:variant>
      <vt:variant>
        <vt:i4>362</vt:i4>
      </vt:variant>
      <vt:variant>
        <vt:i4>0</vt:i4>
      </vt:variant>
      <vt:variant>
        <vt:i4>5</vt:i4>
      </vt:variant>
      <vt:variant>
        <vt:lpwstr/>
      </vt:variant>
      <vt:variant>
        <vt:lpwstr>_Toc456686154</vt:lpwstr>
      </vt:variant>
      <vt:variant>
        <vt:i4>1507387</vt:i4>
      </vt:variant>
      <vt:variant>
        <vt:i4>356</vt:i4>
      </vt:variant>
      <vt:variant>
        <vt:i4>0</vt:i4>
      </vt:variant>
      <vt:variant>
        <vt:i4>5</vt:i4>
      </vt:variant>
      <vt:variant>
        <vt:lpwstr/>
      </vt:variant>
      <vt:variant>
        <vt:lpwstr>_Toc456686153</vt:lpwstr>
      </vt:variant>
      <vt:variant>
        <vt:i4>1507387</vt:i4>
      </vt:variant>
      <vt:variant>
        <vt:i4>350</vt:i4>
      </vt:variant>
      <vt:variant>
        <vt:i4>0</vt:i4>
      </vt:variant>
      <vt:variant>
        <vt:i4>5</vt:i4>
      </vt:variant>
      <vt:variant>
        <vt:lpwstr/>
      </vt:variant>
      <vt:variant>
        <vt:lpwstr>_Toc456686152</vt:lpwstr>
      </vt:variant>
      <vt:variant>
        <vt:i4>1507387</vt:i4>
      </vt:variant>
      <vt:variant>
        <vt:i4>344</vt:i4>
      </vt:variant>
      <vt:variant>
        <vt:i4>0</vt:i4>
      </vt:variant>
      <vt:variant>
        <vt:i4>5</vt:i4>
      </vt:variant>
      <vt:variant>
        <vt:lpwstr/>
      </vt:variant>
      <vt:variant>
        <vt:lpwstr>_Toc456686151</vt:lpwstr>
      </vt:variant>
      <vt:variant>
        <vt:i4>1507387</vt:i4>
      </vt:variant>
      <vt:variant>
        <vt:i4>338</vt:i4>
      </vt:variant>
      <vt:variant>
        <vt:i4>0</vt:i4>
      </vt:variant>
      <vt:variant>
        <vt:i4>5</vt:i4>
      </vt:variant>
      <vt:variant>
        <vt:lpwstr/>
      </vt:variant>
      <vt:variant>
        <vt:lpwstr>_Toc456686150</vt:lpwstr>
      </vt:variant>
      <vt:variant>
        <vt:i4>1441851</vt:i4>
      </vt:variant>
      <vt:variant>
        <vt:i4>332</vt:i4>
      </vt:variant>
      <vt:variant>
        <vt:i4>0</vt:i4>
      </vt:variant>
      <vt:variant>
        <vt:i4>5</vt:i4>
      </vt:variant>
      <vt:variant>
        <vt:lpwstr/>
      </vt:variant>
      <vt:variant>
        <vt:lpwstr>_Toc456686149</vt:lpwstr>
      </vt:variant>
      <vt:variant>
        <vt:i4>1441851</vt:i4>
      </vt:variant>
      <vt:variant>
        <vt:i4>326</vt:i4>
      </vt:variant>
      <vt:variant>
        <vt:i4>0</vt:i4>
      </vt:variant>
      <vt:variant>
        <vt:i4>5</vt:i4>
      </vt:variant>
      <vt:variant>
        <vt:lpwstr/>
      </vt:variant>
      <vt:variant>
        <vt:lpwstr>_Toc456686148</vt:lpwstr>
      </vt:variant>
      <vt:variant>
        <vt:i4>1441851</vt:i4>
      </vt:variant>
      <vt:variant>
        <vt:i4>320</vt:i4>
      </vt:variant>
      <vt:variant>
        <vt:i4>0</vt:i4>
      </vt:variant>
      <vt:variant>
        <vt:i4>5</vt:i4>
      </vt:variant>
      <vt:variant>
        <vt:lpwstr/>
      </vt:variant>
      <vt:variant>
        <vt:lpwstr>_Toc456686147</vt:lpwstr>
      </vt:variant>
      <vt:variant>
        <vt:i4>1441851</vt:i4>
      </vt:variant>
      <vt:variant>
        <vt:i4>314</vt:i4>
      </vt:variant>
      <vt:variant>
        <vt:i4>0</vt:i4>
      </vt:variant>
      <vt:variant>
        <vt:i4>5</vt:i4>
      </vt:variant>
      <vt:variant>
        <vt:lpwstr/>
      </vt:variant>
      <vt:variant>
        <vt:lpwstr>_Toc456686146</vt:lpwstr>
      </vt:variant>
      <vt:variant>
        <vt:i4>1441851</vt:i4>
      </vt:variant>
      <vt:variant>
        <vt:i4>308</vt:i4>
      </vt:variant>
      <vt:variant>
        <vt:i4>0</vt:i4>
      </vt:variant>
      <vt:variant>
        <vt:i4>5</vt:i4>
      </vt:variant>
      <vt:variant>
        <vt:lpwstr/>
      </vt:variant>
      <vt:variant>
        <vt:lpwstr>_Toc456686145</vt:lpwstr>
      </vt:variant>
      <vt:variant>
        <vt:i4>1441851</vt:i4>
      </vt:variant>
      <vt:variant>
        <vt:i4>302</vt:i4>
      </vt:variant>
      <vt:variant>
        <vt:i4>0</vt:i4>
      </vt:variant>
      <vt:variant>
        <vt:i4>5</vt:i4>
      </vt:variant>
      <vt:variant>
        <vt:lpwstr/>
      </vt:variant>
      <vt:variant>
        <vt:lpwstr>_Toc456686144</vt:lpwstr>
      </vt:variant>
      <vt:variant>
        <vt:i4>1441851</vt:i4>
      </vt:variant>
      <vt:variant>
        <vt:i4>296</vt:i4>
      </vt:variant>
      <vt:variant>
        <vt:i4>0</vt:i4>
      </vt:variant>
      <vt:variant>
        <vt:i4>5</vt:i4>
      </vt:variant>
      <vt:variant>
        <vt:lpwstr/>
      </vt:variant>
      <vt:variant>
        <vt:lpwstr>_Toc456686143</vt:lpwstr>
      </vt:variant>
      <vt:variant>
        <vt:i4>1441851</vt:i4>
      </vt:variant>
      <vt:variant>
        <vt:i4>290</vt:i4>
      </vt:variant>
      <vt:variant>
        <vt:i4>0</vt:i4>
      </vt:variant>
      <vt:variant>
        <vt:i4>5</vt:i4>
      </vt:variant>
      <vt:variant>
        <vt:lpwstr/>
      </vt:variant>
      <vt:variant>
        <vt:lpwstr>_Toc456686142</vt:lpwstr>
      </vt:variant>
      <vt:variant>
        <vt:i4>1441851</vt:i4>
      </vt:variant>
      <vt:variant>
        <vt:i4>284</vt:i4>
      </vt:variant>
      <vt:variant>
        <vt:i4>0</vt:i4>
      </vt:variant>
      <vt:variant>
        <vt:i4>5</vt:i4>
      </vt:variant>
      <vt:variant>
        <vt:lpwstr/>
      </vt:variant>
      <vt:variant>
        <vt:lpwstr>_Toc456686141</vt:lpwstr>
      </vt:variant>
      <vt:variant>
        <vt:i4>1441851</vt:i4>
      </vt:variant>
      <vt:variant>
        <vt:i4>278</vt:i4>
      </vt:variant>
      <vt:variant>
        <vt:i4>0</vt:i4>
      </vt:variant>
      <vt:variant>
        <vt:i4>5</vt:i4>
      </vt:variant>
      <vt:variant>
        <vt:lpwstr/>
      </vt:variant>
      <vt:variant>
        <vt:lpwstr>_Toc456686140</vt:lpwstr>
      </vt:variant>
      <vt:variant>
        <vt:i4>1114171</vt:i4>
      </vt:variant>
      <vt:variant>
        <vt:i4>272</vt:i4>
      </vt:variant>
      <vt:variant>
        <vt:i4>0</vt:i4>
      </vt:variant>
      <vt:variant>
        <vt:i4>5</vt:i4>
      </vt:variant>
      <vt:variant>
        <vt:lpwstr/>
      </vt:variant>
      <vt:variant>
        <vt:lpwstr>_Toc456686139</vt:lpwstr>
      </vt:variant>
      <vt:variant>
        <vt:i4>1114171</vt:i4>
      </vt:variant>
      <vt:variant>
        <vt:i4>266</vt:i4>
      </vt:variant>
      <vt:variant>
        <vt:i4>0</vt:i4>
      </vt:variant>
      <vt:variant>
        <vt:i4>5</vt:i4>
      </vt:variant>
      <vt:variant>
        <vt:lpwstr/>
      </vt:variant>
      <vt:variant>
        <vt:lpwstr>_Toc456686138</vt:lpwstr>
      </vt:variant>
      <vt:variant>
        <vt:i4>1114171</vt:i4>
      </vt:variant>
      <vt:variant>
        <vt:i4>260</vt:i4>
      </vt:variant>
      <vt:variant>
        <vt:i4>0</vt:i4>
      </vt:variant>
      <vt:variant>
        <vt:i4>5</vt:i4>
      </vt:variant>
      <vt:variant>
        <vt:lpwstr/>
      </vt:variant>
      <vt:variant>
        <vt:lpwstr>_Toc456686137</vt:lpwstr>
      </vt:variant>
      <vt:variant>
        <vt:i4>1114171</vt:i4>
      </vt:variant>
      <vt:variant>
        <vt:i4>254</vt:i4>
      </vt:variant>
      <vt:variant>
        <vt:i4>0</vt:i4>
      </vt:variant>
      <vt:variant>
        <vt:i4>5</vt:i4>
      </vt:variant>
      <vt:variant>
        <vt:lpwstr/>
      </vt:variant>
      <vt:variant>
        <vt:lpwstr>_Toc456686136</vt:lpwstr>
      </vt:variant>
      <vt:variant>
        <vt:i4>1114171</vt:i4>
      </vt:variant>
      <vt:variant>
        <vt:i4>248</vt:i4>
      </vt:variant>
      <vt:variant>
        <vt:i4>0</vt:i4>
      </vt:variant>
      <vt:variant>
        <vt:i4>5</vt:i4>
      </vt:variant>
      <vt:variant>
        <vt:lpwstr/>
      </vt:variant>
      <vt:variant>
        <vt:lpwstr>_Toc456686135</vt:lpwstr>
      </vt:variant>
      <vt:variant>
        <vt:i4>1114171</vt:i4>
      </vt:variant>
      <vt:variant>
        <vt:i4>242</vt:i4>
      </vt:variant>
      <vt:variant>
        <vt:i4>0</vt:i4>
      </vt:variant>
      <vt:variant>
        <vt:i4>5</vt:i4>
      </vt:variant>
      <vt:variant>
        <vt:lpwstr/>
      </vt:variant>
      <vt:variant>
        <vt:lpwstr>_Toc456686134</vt:lpwstr>
      </vt:variant>
      <vt:variant>
        <vt:i4>1114171</vt:i4>
      </vt:variant>
      <vt:variant>
        <vt:i4>236</vt:i4>
      </vt:variant>
      <vt:variant>
        <vt:i4>0</vt:i4>
      </vt:variant>
      <vt:variant>
        <vt:i4>5</vt:i4>
      </vt:variant>
      <vt:variant>
        <vt:lpwstr/>
      </vt:variant>
      <vt:variant>
        <vt:lpwstr>_Toc456686133</vt:lpwstr>
      </vt:variant>
      <vt:variant>
        <vt:i4>1114171</vt:i4>
      </vt:variant>
      <vt:variant>
        <vt:i4>230</vt:i4>
      </vt:variant>
      <vt:variant>
        <vt:i4>0</vt:i4>
      </vt:variant>
      <vt:variant>
        <vt:i4>5</vt:i4>
      </vt:variant>
      <vt:variant>
        <vt:lpwstr/>
      </vt:variant>
      <vt:variant>
        <vt:lpwstr>_Toc456686132</vt:lpwstr>
      </vt:variant>
      <vt:variant>
        <vt:i4>1114171</vt:i4>
      </vt:variant>
      <vt:variant>
        <vt:i4>224</vt:i4>
      </vt:variant>
      <vt:variant>
        <vt:i4>0</vt:i4>
      </vt:variant>
      <vt:variant>
        <vt:i4>5</vt:i4>
      </vt:variant>
      <vt:variant>
        <vt:lpwstr/>
      </vt:variant>
      <vt:variant>
        <vt:lpwstr>_Toc456686131</vt:lpwstr>
      </vt:variant>
      <vt:variant>
        <vt:i4>1114171</vt:i4>
      </vt:variant>
      <vt:variant>
        <vt:i4>218</vt:i4>
      </vt:variant>
      <vt:variant>
        <vt:i4>0</vt:i4>
      </vt:variant>
      <vt:variant>
        <vt:i4>5</vt:i4>
      </vt:variant>
      <vt:variant>
        <vt:lpwstr/>
      </vt:variant>
      <vt:variant>
        <vt:lpwstr>_Toc456686130</vt:lpwstr>
      </vt:variant>
      <vt:variant>
        <vt:i4>1048635</vt:i4>
      </vt:variant>
      <vt:variant>
        <vt:i4>212</vt:i4>
      </vt:variant>
      <vt:variant>
        <vt:i4>0</vt:i4>
      </vt:variant>
      <vt:variant>
        <vt:i4>5</vt:i4>
      </vt:variant>
      <vt:variant>
        <vt:lpwstr/>
      </vt:variant>
      <vt:variant>
        <vt:lpwstr>_Toc456686129</vt:lpwstr>
      </vt:variant>
      <vt:variant>
        <vt:i4>1048635</vt:i4>
      </vt:variant>
      <vt:variant>
        <vt:i4>206</vt:i4>
      </vt:variant>
      <vt:variant>
        <vt:i4>0</vt:i4>
      </vt:variant>
      <vt:variant>
        <vt:i4>5</vt:i4>
      </vt:variant>
      <vt:variant>
        <vt:lpwstr/>
      </vt:variant>
      <vt:variant>
        <vt:lpwstr>_Toc456686128</vt:lpwstr>
      </vt:variant>
      <vt:variant>
        <vt:i4>1048635</vt:i4>
      </vt:variant>
      <vt:variant>
        <vt:i4>200</vt:i4>
      </vt:variant>
      <vt:variant>
        <vt:i4>0</vt:i4>
      </vt:variant>
      <vt:variant>
        <vt:i4>5</vt:i4>
      </vt:variant>
      <vt:variant>
        <vt:lpwstr/>
      </vt:variant>
      <vt:variant>
        <vt:lpwstr>_Toc456686127</vt:lpwstr>
      </vt:variant>
      <vt:variant>
        <vt:i4>1048635</vt:i4>
      </vt:variant>
      <vt:variant>
        <vt:i4>194</vt:i4>
      </vt:variant>
      <vt:variant>
        <vt:i4>0</vt:i4>
      </vt:variant>
      <vt:variant>
        <vt:i4>5</vt:i4>
      </vt:variant>
      <vt:variant>
        <vt:lpwstr/>
      </vt:variant>
      <vt:variant>
        <vt:lpwstr>_Toc456686126</vt:lpwstr>
      </vt:variant>
      <vt:variant>
        <vt:i4>1048635</vt:i4>
      </vt:variant>
      <vt:variant>
        <vt:i4>188</vt:i4>
      </vt:variant>
      <vt:variant>
        <vt:i4>0</vt:i4>
      </vt:variant>
      <vt:variant>
        <vt:i4>5</vt:i4>
      </vt:variant>
      <vt:variant>
        <vt:lpwstr/>
      </vt:variant>
      <vt:variant>
        <vt:lpwstr>_Toc456686125</vt:lpwstr>
      </vt:variant>
      <vt:variant>
        <vt:i4>1048635</vt:i4>
      </vt:variant>
      <vt:variant>
        <vt:i4>182</vt:i4>
      </vt:variant>
      <vt:variant>
        <vt:i4>0</vt:i4>
      </vt:variant>
      <vt:variant>
        <vt:i4>5</vt:i4>
      </vt:variant>
      <vt:variant>
        <vt:lpwstr/>
      </vt:variant>
      <vt:variant>
        <vt:lpwstr>_Toc456686124</vt:lpwstr>
      </vt:variant>
      <vt:variant>
        <vt:i4>1048635</vt:i4>
      </vt:variant>
      <vt:variant>
        <vt:i4>176</vt:i4>
      </vt:variant>
      <vt:variant>
        <vt:i4>0</vt:i4>
      </vt:variant>
      <vt:variant>
        <vt:i4>5</vt:i4>
      </vt:variant>
      <vt:variant>
        <vt:lpwstr/>
      </vt:variant>
      <vt:variant>
        <vt:lpwstr>_Toc456686123</vt:lpwstr>
      </vt:variant>
      <vt:variant>
        <vt:i4>1048635</vt:i4>
      </vt:variant>
      <vt:variant>
        <vt:i4>170</vt:i4>
      </vt:variant>
      <vt:variant>
        <vt:i4>0</vt:i4>
      </vt:variant>
      <vt:variant>
        <vt:i4>5</vt:i4>
      </vt:variant>
      <vt:variant>
        <vt:lpwstr/>
      </vt:variant>
      <vt:variant>
        <vt:lpwstr>_Toc456686122</vt:lpwstr>
      </vt:variant>
      <vt:variant>
        <vt:i4>1048635</vt:i4>
      </vt:variant>
      <vt:variant>
        <vt:i4>164</vt:i4>
      </vt:variant>
      <vt:variant>
        <vt:i4>0</vt:i4>
      </vt:variant>
      <vt:variant>
        <vt:i4>5</vt:i4>
      </vt:variant>
      <vt:variant>
        <vt:lpwstr/>
      </vt:variant>
      <vt:variant>
        <vt:lpwstr>_Toc456686121</vt:lpwstr>
      </vt:variant>
      <vt:variant>
        <vt:i4>1048635</vt:i4>
      </vt:variant>
      <vt:variant>
        <vt:i4>158</vt:i4>
      </vt:variant>
      <vt:variant>
        <vt:i4>0</vt:i4>
      </vt:variant>
      <vt:variant>
        <vt:i4>5</vt:i4>
      </vt:variant>
      <vt:variant>
        <vt:lpwstr/>
      </vt:variant>
      <vt:variant>
        <vt:lpwstr>_Toc456686120</vt:lpwstr>
      </vt:variant>
      <vt:variant>
        <vt:i4>1245243</vt:i4>
      </vt:variant>
      <vt:variant>
        <vt:i4>152</vt:i4>
      </vt:variant>
      <vt:variant>
        <vt:i4>0</vt:i4>
      </vt:variant>
      <vt:variant>
        <vt:i4>5</vt:i4>
      </vt:variant>
      <vt:variant>
        <vt:lpwstr/>
      </vt:variant>
      <vt:variant>
        <vt:lpwstr>_Toc456686119</vt:lpwstr>
      </vt:variant>
      <vt:variant>
        <vt:i4>1245243</vt:i4>
      </vt:variant>
      <vt:variant>
        <vt:i4>146</vt:i4>
      </vt:variant>
      <vt:variant>
        <vt:i4>0</vt:i4>
      </vt:variant>
      <vt:variant>
        <vt:i4>5</vt:i4>
      </vt:variant>
      <vt:variant>
        <vt:lpwstr/>
      </vt:variant>
      <vt:variant>
        <vt:lpwstr>_Toc456686118</vt:lpwstr>
      </vt:variant>
      <vt:variant>
        <vt:i4>1245243</vt:i4>
      </vt:variant>
      <vt:variant>
        <vt:i4>140</vt:i4>
      </vt:variant>
      <vt:variant>
        <vt:i4>0</vt:i4>
      </vt:variant>
      <vt:variant>
        <vt:i4>5</vt:i4>
      </vt:variant>
      <vt:variant>
        <vt:lpwstr/>
      </vt:variant>
      <vt:variant>
        <vt:lpwstr>_Toc456686117</vt:lpwstr>
      </vt:variant>
      <vt:variant>
        <vt:i4>1245243</vt:i4>
      </vt:variant>
      <vt:variant>
        <vt:i4>134</vt:i4>
      </vt:variant>
      <vt:variant>
        <vt:i4>0</vt:i4>
      </vt:variant>
      <vt:variant>
        <vt:i4>5</vt:i4>
      </vt:variant>
      <vt:variant>
        <vt:lpwstr/>
      </vt:variant>
      <vt:variant>
        <vt:lpwstr>_Toc456686116</vt:lpwstr>
      </vt:variant>
      <vt:variant>
        <vt:i4>1245243</vt:i4>
      </vt:variant>
      <vt:variant>
        <vt:i4>128</vt:i4>
      </vt:variant>
      <vt:variant>
        <vt:i4>0</vt:i4>
      </vt:variant>
      <vt:variant>
        <vt:i4>5</vt:i4>
      </vt:variant>
      <vt:variant>
        <vt:lpwstr/>
      </vt:variant>
      <vt:variant>
        <vt:lpwstr>_Toc456686115</vt:lpwstr>
      </vt:variant>
      <vt:variant>
        <vt:i4>1245243</vt:i4>
      </vt:variant>
      <vt:variant>
        <vt:i4>122</vt:i4>
      </vt:variant>
      <vt:variant>
        <vt:i4>0</vt:i4>
      </vt:variant>
      <vt:variant>
        <vt:i4>5</vt:i4>
      </vt:variant>
      <vt:variant>
        <vt:lpwstr/>
      </vt:variant>
      <vt:variant>
        <vt:lpwstr>_Toc456686114</vt:lpwstr>
      </vt:variant>
      <vt:variant>
        <vt:i4>1245243</vt:i4>
      </vt:variant>
      <vt:variant>
        <vt:i4>116</vt:i4>
      </vt:variant>
      <vt:variant>
        <vt:i4>0</vt:i4>
      </vt:variant>
      <vt:variant>
        <vt:i4>5</vt:i4>
      </vt:variant>
      <vt:variant>
        <vt:lpwstr/>
      </vt:variant>
      <vt:variant>
        <vt:lpwstr>_Toc456686113</vt:lpwstr>
      </vt:variant>
      <vt:variant>
        <vt:i4>1245243</vt:i4>
      </vt:variant>
      <vt:variant>
        <vt:i4>110</vt:i4>
      </vt:variant>
      <vt:variant>
        <vt:i4>0</vt:i4>
      </vt:variant>
      <vt:variant>
        <vt:i4>5</vt:i4>
      </vt:variant>
      <vt:variant>
        <vt:lpwstr/>
      </vt:variant>
      <vt:variant>
        <vt:lpwstr>_Toc456686112</vt:lpwstr>
      </vt:variant>
      <vt:variant>
        <vt:i4>1245243</vt:i4>
      </vt:variant>
      <vt:variant>
        <vt:i4>104</vt:i4>
      </vt:variant>
      <vt:variant>
        <vt:i4>0</vt:i4>
      </vt:variant>
      <vt:variant>
        <vt:i4>5</vt:i4>
      </vt:variant>
      <vt:variant>
        <vt:lpwstr/>
      </vt:variant>
      <vt:variant>
        <vt:lpwstr>_Toc456686111</vt:lpwstr>
      </vt:variant>
      <vt:variant>
        <vt:i4>1245243</vt:i4>
      </vt:variant>
      <vt:variant>
        <vt:i4>98</vt:i4>
      </vt:variant>
      <vt:variant>
        <vt:i4>0</vt:i4>
      </vt:variant>
      <vt:variant>
        <vt:i4>5</vt:i4>
      </vt:variant>
      <vt:variant>
        <vt:lpwstr/>
      </vt:variant>
      <vt:variant>
        <vt:lpwstr>_Toc456686110</vt:lpwstr>
      </vt:variant>
      <vt:variant>
        <vt:i4>1179707</vt:i4>
      </vt:variant>
      <vt:variant>
        <vt:i4>92</vt:i4>
      </vt:variant>
      <vt:variant>
        <vt:i4>0</vt:i4>
      </vt:variant>
      <vt:variant>
        <vt:i4>5</vt:i4>
      </vt:variant>
      <vt:variant>
        <vt:lpwstr/>
      </vt:variant>
      <vt:variant>
        <vt:lpwstr>_Toc456686109</vt:lpwstr>
      </vt:variant>
      <vt:variant>
        <vt:i4>1179707</vt:i4>
      </vt:variant>
      <vt:variant>
        <vt:i4>86</vt:i4>
      </vt:variant>
      <vt:variant>
        <vt:i4>0</vt:i4>
      </vt:variant>
      <vt:variant>
        <vt:i4>5</vt:i4>
      </vt:variant>
      <vt:variant>
        <vt:lpwstr/>
      </vt:variant>
      <vt:variant>
        <vt:lpwstr>_Toc456686108</vt:lpwstr>
      </vt:variant>
      <vt:variant>
        <vt:i4>1179707</vt:i4>
      </vt:variant>
      <vt:variant>
        <vt:i4>80</vt:i4>
      </vt:variant>
      <vt:variant>
        <vt:i4>0</vt:i4>
      </vt:variant>
      <vt:variant>
        <vt:i4>5</vt:i4>
      </vt:variant>
      <vt:variant>
        <vt:lpwstr/>
      </vt:variant>
      <vt:variant>
        <vt:lpwstr>_Toc456686107</vt:lpwstr>
      </vt:variant>
      <vt:variant>
        <vt:i4>1179707</vt:i4>
      </vt:variant>
      <vt:variant>
        <vt:i4>74</vt:i4>
      </vt:variant>
      <vt:variant>
        <vt:i4>0</vt:i4>
      </vt:variant>
      <vt:variant>
        <vt:i4>5</vt:i4>
      </vt:variant>
      <vt:variant>
        <vt:lpwstr/>
      </vt:variant>
      <vt:variant>
        <vt:lpwstr>_Toc456686106</vt:lpwstr>
      </vt:variant>
      <vt:variant>
        <vt:i4>1179707</vt:i4>
      </vt:variant>
      <vt:variant>
        <vt:i4>68</vt:i4>
      </vt:variant>
      <vt:variant>
        <vt:i4>0</vt:i4>
      </vt:variant>
      <vt:variant>
        <vt:i4>5</vt:i4>
      </vt:variant>
      <vt:variant>
        <vt:lpwstr/>
      </vt:variant>
      <vt:variant>
        <vt:lpwstr>_Toc456686105</vt:lpwstr>
      </vt:variant>
      <vt:variant>
        <vt:i4>1179707</vt:i4>
      </vt:variant>
      <vt:variant>
        <vt:i4>62</vt:i4>
      </vt:variant>
      <vt:variant>
        <vt:i4>0</vt:i4>
      </vt:variant>
      <vt:variant>
        <vt:i4>5</vt:i4>
      </vt:variant>
      <vt:variant>
        <vt:lpwstr/>
      </vt:variant>
      <vt:variant>
        <vt:lpwstr>_Toc456686104</vt:lpwstr>
      </vt:variant>
      <vt:variant>
        <vt:i4>1179707</vt:i4>
      </vt:variant>
      <vt:variant>
        <vt:i4>56</vt:i4>
      </vt:variant>
      <vt:variant>
        <vt:i4>0</vt:i4>
      </vt:variant>
      <vt:variant>
        <vt:i4>5</vt:i4>
      </vt:variant>
      <vt:variant>
        <vt:lpwstr/>
      </vt:variant>
      <vt:variant>
        <vt:lpwstr>_Toc456686103</vt:lpwstr>
      </vt:variant>
      <vt:variant>
        <vt:i4>1179707</vt:i4>
      </vt:variant>
      <vt:variant>
        <vt:i4>50</vt:i4>
      </vt:variant>
      <vt:variant>
        <vt:i4>0</vt:i4>
      </vt:variant>
      <vt:variant>
        <vt:i4>5</vt:i4>
      </vt:variant>
      <vt:variant>
        <vt:lpwstr/>
      </vt:variant>
      <vt:variant>
        <vt:lpwstr>_Toc456686102</vt:lpwstr>
      </vt:variant>
      <vt:variant>
        <vt:i4>1179707</vt:i4>
      </vt:variant>
      <vt:variant>
        <vt:i4>44</vt:i4>
      </vt:variant>
      <vt:variant>
        <vt:i4>0</vt:i4>
      </vt:variant>
      <vt:variant>
        <vt:i4>5</vt:i4>
      </vt:variant>
      <vt:variant>
        <vt:lpwstr/>
      </vt:variant>
      <vt:variant>
        <vt:lpwstr>_Toc456686101</vt:lpwstr>
      </vt:variant>
      <vt:variant>
        <vt:i4>1179707</vt:i4>
      </vt:variant>
      <vt:variant>
        <vt:i4>38</vt:i4>
      </vt:variant>
      <vt:variant>
        <vt:i4>0</vt:i4>
      </vt:variant>
      <vt:variant>
        <vt:i4>5</vt:i4>
      </vt:variant>
      <vt:variant>
        <vt:lpwstr/>
      </vt:variant>
      <vt:variant>
        <vt:lpwstr>_Toc456686100</vt:lpwstr>
      </vt:variant>
      <vt:variant>
        <vt:i4>1769530</vt:i4>
      </vt:variant>
      <vt:variant>
        <vt:i4>32</vt:i4>
      </vt:variant>
      <vt:variant>
        <vt:i4>0</vt:i4>
      </vt:variant>
      <vt:variant>
        <vt:i4>5</vt:i4>
      </vt:variant>
      <vt:variant>
        <vt:lpwstr/>
      </vt:variant>
      <vt:variant>
        <vt:lpwstr>_Toc456686099</vt:lpwstr>
      </vt:variant>
      <vt:variant>
        <vt:i4>1769530</vt:i4>
      </vt:variant>
      <vt:variant>
        <vt:i4>26</vt:i4>
      </vt:variant>
      <vt:variant>
        <vt:i4>0</vt:i4>
      </vt:variant>
      <vt:variant>
        <vt:i4>5</vt:i4>
      </vt:variant>
      <vt:variant>
        <vt:lpwstr/>
      </vt:variant>
      <vt:variant>
        <vt:lpwstr>_Toc456686098</vt:lpwstr>
      </vt:variant>
      <vt:variant>
        <vt:i4>1769530</vt:i4>
      </vt:variant>
      <vt:variant>
        <vt:i4>20</vt:i4>
      </vt:variant>
      <vt:variant>
        <vt:i4>0</vt:i4>
      </vt:variant>
      <vt:variant>
        <vt:i4>5</vt:i4>
      </vt:variant>
      <vt:variant>
        <vt:lpwstr/>
      </vt:variant>
      <vt:variant>
        <vt:lpwstr>_Toc456686097</vt:lpwstr>
      </vt:variant>
      <vt:variant>
        <vt:i4>1769530</vt:i4>
      </vt:variant>
      <vt:variant>
        <vt:i4>14</vt:i4>
      </vt:variant>
      <vt:variant>
        <vt:i4>0</vt:i4>
      </vt:variant>
      <vt:variant>
        <vt:i4>5</vt:i4>
      </vt:variant>
      <vt:variant>
        <vt:lpwstr/>
      </vt:variant>
      <vt:variant>
        <vt:lpwstr>_Toc456686096</vt:lpwstr>
      </vt:variant>
      <vt:variant>
        <vt:i4>1769530</vt:i4>
      </vt:variant>
      <vt:variant>
        <vt:i4>8</vt:i4>
      </vt:variant>
      <vt:variant>
        <vt:i4>0</vt:i4>
      </vt:variant>
      <vt:variant>
        <vt:i4>5</vt:i4>
      </vt:variant>
      <vt:variant>
        <vt:lpwstr/>
      </vt:variant>
      <vt:variant>
        <vt:lpwstr>_Toc456686095</vt:lpwstr>
      </vt:variant>
      <vt:variant>
        <vt:i4>1769530</vt:i4>
      </vt:variant>
      <vt:variant>
        <vt:i4>2</vt:i4>
      </vt:variant>
      <vt:variant>
        <vt:i4>0</vt:i4>
      </vt:variant>
      <vt:variant>
        <vt:i4>5</vt:i4>
      </vt:variant>
      <vt:variant>
        <vt:lpwstr/>
      </vt:variant>
      <vt:variant>
        <vt:lpwstr>_Toc456686094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2017-06-09T13:02:00Z</cp:lastPrinted>
  <dcterms:created xsi:type="dcterms:W3CDTF">2017-06-15T12:35:00Z</dcterms:created>
  <dcterms:modified xsi:type="dcterms:W3CDTF">2017-08-18T07:33:00Z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
    <vt:lpwstr> </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ies>
</file>