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292E7178E3D424BA685962596A919CD" style="width:450.4pt;height:361.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26"/>
        </w:sectPr>
      </w:pPr>
    </w:p>
    <w:p>
      <w:pPr>
        <w:pStyle w:val="TOCHeading"/>
        <w:rPr>
          <w:noProof/>
        </w:rPr>
      </w:pPr>
      <w:bookmarkStart w:id="1" w:name="_GoBack"/>
      <w:bookmarkEnd w:id="1"/>
      <w:r>
        <w:rPr>
          <w:noProof/>
        </w:rPr>
        <w:lastRenderedPageBreak/>
        <w:t>СЪДЪРЖАНИЕ</w:t>
      </w:r>
    </w:p>
    <w:bookmarkStart w:id="2" w:name="_Toc322938549"/>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"1-1" \h \z \u </w:instrText>
      </w:r>
      <w:r>
        <w:rPr>
          <w:noProof/>
        </w:rPr>
        <w:fldChar w:fldCharType="separate"/>
      </w:r>
      <w:hyperlink w:anchor="_Toc489540938"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БЮДЖЕТНА ПРОЦЕДУРА</w:t>
        </w:r>
        <w:r>
          <w:rPr>
            <w:noProof/>
            <w:webHidden/>
          </w:rPr>
          <w:tab/>
        </w:r>
        <w:r>
          <w:rPr>
            <w:noProof/>
            <w:webHidden/>
          </w:rPr>
          <w:fldChar w:fldCharType="begin"/>
        </w:r>
        <w:r>
          <w:rPr>
            <w:noProof/>
            <w:webHidden/>
          </w:rPr>
          <w:instrText xml:space="preserve"> PAGEREF _Toc489540938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89540939"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КАСОВА ПОЗИЦИЯ И УПРАВЛЕНИЕ НА БЮДЖЕТНИТЕ КРЕДИТИ</w:t>
        </w:r>
        <w:r>
          <w:rPr>
            <w:noProof/>
            <w:webHidden/>
          </w:rPr>
          <w:tab/>
        </w:r>
        <w:r>
          <w:rPr>
            <w:noProof/>
            <w:webHidden/>
          </w:rPr>
          <w:fldChar w:fldCharType="begin"/>
        </w:r>
        <w:r>
          <w:rPr>
            <w:noProof/>
            <w:webHidden/>
          </w:rPr>
          <w:instrText xml:space="preserve"> PAGEREF _Toc489540939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89540940"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ИЗПЪЛНЕНИЕ НА БЮДЖЕТА НА ЕФГЗ ЗА 2016 г.</w:t>
        </w:r>
        <w:r>
          <w:rPr>
            <w:noProof/>
            <w:webHidden/>
          </w:rPr>
          <w:tab/>
        </w:r>
        <w:r>
          <w:rPr>
            <w:noProof/>
            <w:webHidden/>
          </w:rPr>
          <w:fldChar w:fldCharType="begin"/>
        </w:r>
        <w:r>
          <w:rPr>
            <w:noProof/>
            <w:webHidden/>
          </w:rPr>
          <w:instrText xml:space="preserve"> PAGEREF _Toc489540940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89540941"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УСВОЯВАНЕ НА ЦЕЛЕВИТЕ ПРИХОДИ, ПРЕДНАЗНАЧЕНИ ЗА ЕФГЗ</w:t>
        </w:r>
        <w:r>
          <w:rPr>
            <w:noProof/>
            <w:webHidden/>
          </w:rPr>
          <w:tab/>
        </w:r>
        <w:r>
          <w:rPr>
            <w:noProof/>
            <w:webHidden/>
          </w:rPr>
          <w:fldChar w:fldCharType="begin"/>
        </w:r>
        <w:r>
          <w:rPr>
            <w:noProof/>
            <w:webHidden/>
          </w:rPr>
          <w:instrText xml:space="preserve"> PAGEREF _Toc489540941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Calibri" w:hAnsi="Calibri"/>
          <w:noProof/>
          <w:sz w:val="22"/>
          <w:szCs w:val="22"/>
        </w:rPr>
      </w:pPr>
      <w:r>
        <w:rPr>
          <w:noProof/>
        </w:rPr>
        <w:fldChar w:fldCharType="end"/>
      </w:r>
    </w:p>
    <w:tbl>
      <w:tblPr>
        <w:tblW w:w="0" w:type="auto"/>
        <w:tblInd w:w="108" w:type="dxa"/>
        <w:tblLook w:val="01E0" w:firstRow="1" w:lastRow="1" w:firstColumn="1" w:lastColumn="1" w:noHBand="0" w:noVBand="0"/>
      </w:tblPr>
      <w:tblGrid>
        <w:gridCol w:w="1701"/>
        <w:gridCol w:w="7507"/>
      </w:tblGrid>
      <w:tr>
        <w:tc>
          <w:tcPr>
            <w:tcW w:w="1701" w:type="dxa"/>
          </w:tcPr>
          <w:p>
            <w:pPr>
              <w:spacing w:after="0"/>
              <w:ind w:left="-108"/>
              <w:rPr>
                <w:smallCaps/>
                <w:noProof/>
                <w:sz w:val="20"/>
              </w:rPr>
            </w:pPr>
            <w:r>
              <w:rPr>
                <w:smallCaps/>
                <w:noProof/>
                <w:sz w:val="20"/>
              </w:rPr>
              <w:t>Приложение 1</w:t>
            </w:r>
          </w:p>
          <w:p>
            <w:pPr>
              <w:spacing w:before="60" w:after="0"/>
              <w:ind w:left="-108"/>
              <w:rPr>
                <w:smallCaps/>
                <w:noProof/>
                <w:sz w:val="20"/>
              </w:rPr>
            </w:pPr>
            <w:r>
              <w:rPr>
                <w:smallCaps/>
                <w:noProof/>
                <w:sz w:val="20"/>
              </w:rPr>
              <w:t>Приложение 2</w:t>
            </w:r>
          </w:p>
          <w:p>
            <w:pPr>
              <w:spacing w:before="60" w:after="0"/>
              <w:ind w:left="-108"/>
              <w:rPr>
                <w:smallCaps/>
                <w:noProof/>
                <w:sz w:val="20"/>
              </w:rPr>
            </w:pPr>
            <w:r>
              <w:rPr>
                <w:smallCaps/>
                <w:noProof/>
                <w:sz w:val="20"/>
              </w:rPr>
              <w:t>Приложение 3-I</w:t>
            </w:r>
          </w:p>
          <w:p>
            <w:pPr>
              <w:spacing w:before="60" w:after="0"/>
              <w:ind w:left="-108"/>
              <w:rPr>
                <w:smallCaps/>
                <w:noProof/>
                <w:sz w:val="20"/>
              </w:rPr>
            </w:pPr>
            <w:r>
              <w:rPr>
                <w:smallCaps/>
                <w:noProof/>
                <w:sz w:val="20"/>
              </w:rPr>
              <w:t>Приложение 3-II</w:t>
            </w:r>
          </w:p>
          <w:p>
            <w:pPr>
              <w:spacing w:before="60" w:after="0"/>
              <w:ind w:left="-108"/>
              <w:rPr>
                <w:smallCaps/>
                <w:noProof/>
                <w:sz w:val="20"/>
              </w:rPr>
            </w:pPr>
            <w:r>
              <w:rPr>
                <w:smallCaps/>
                <w:noProof/>
                <w:sz w:val="20"/>
              </w:rPr>
              <w:t>Приложение 4</w:t>
            </w:r>
          </w:p>
          <w:p>
            <w:pPr>
              <w:spacing w:before="60" w:after="0"/>
              <w:rPr>
                <w:noProof/>
              </w:rPr>
            </w:pPr>
          </w:p>
        </w:tc>
        <w:tc>
          <w:tcPr>
            <w:tcW w:w="7507" w:type="dxa"/>
          </w:tcPr>
          <w:p>
            <w:pPr>
              <w:spacing w:after="0"/>
              <w:ind w:left="-227" w:firstLine="108"/>
              <w:rPr>
                <w:smallCaps/>
                <w:noProof/>
                <w:sz w:val="20"/>
              </w:rPr>
            </w:pPr>
            <w:r>
              <w:rPr>
                <w:smallCaps/>
                <w:noProof/>
                <w:sz w:val="20"/>
              </w:rPr>
              <w:t>Бюджетна процедура за 2016 г. — Бюджетни кредити по линия на ЕФГЗ</w:t>
            </w:r>
          </w:p>
          <w:p>
            <w:pPr>
              <w:spacing w:before="60" w:after="0"/>
              <w:ind w:left="-227" w:firstLine="108"/>
              <w:rPr>
                <w:smallCaps/>
                <w:noProof/>
                <w:sz w:val="20"/>
              </w:rPr>
            </w:pPr>
            <w:r>
              <w:rPr>
                <w:smallCaps/>
                <w:noProof/>
                <w:sz w:val="20"/>
              </w:rPr>
              <w:t>Анализ на изпълнението на бюджета на ЕФГЗ — 2016 бюджетна година</w:t>
            </w:r>
          </w:p>
          <w:p>
            <w:pPr>
              <w:spacing w:before="60" w:after="0"/>
              <w:ind w:left="-227" w:firstLine="108"/>
              <w:rPr>
                <w:smallCaps/>
                <w:noProof/>
                <w:sz w:val="20"/>
              </w:rPr>
            </w:pPr>
            <w:r>
              <w:rPr>
                <w:smallCaps/>
                <w:noProof/>
                <w:sz w:val="20"/>
              </w:rPr>
              <w:t xml:space="preserve">Анализ на изпълнението на бюджета на ЕФГЗ — 2016 бюджетна година. Целеви приходи. C4 </w:t>
            </w:r>
          </w:p>
          <w:p>
            <w:pPr>
              <w:spacing w:before="60" w:after="0"/>
              <w:ind w:left="-227" w:firstLine="108"/>
              <w:rPr>
                <w:smallCaps/>
                <w:noProof/>
                <w:sz w:val="20"/>
              </w:rPr>
            </w:pPr>
            <w:r>
              <w:rPr>
                <w:smallCaps/>
                <w:noProof/>
                <w:sz w:val="20"/>
              </w:rPr>
              <w:t>Анализ на изпълнението на бюджета на ЕФГЗ — 2016 бюджетна година. Целеви приходи. C5</w:t>
            </w:r>
          </w:p>
          <w:p>
            <w:pPr>
              <w:spacing w:before="60" w:after="0"/>
              <w:ind w:left="-227" w:firstLine="108"/>
              <w:rPr>
                <w:smallCaps/>
                <w:noProof/>
                <w:sz w:val="20"/>
              </w:rPr>
            </w:pPr>
            <w:r>
              <w:rPr>
                <w:smallCaps/>
                <w:noProof/>
                <w:sz w:val="20"/>
              </w:rPr>
              <w:t>Изпълнение на бюджета на ЕФГЗ по статии и държави членки — 2016 бюджетна година</w:t>
            </w:r>
          </w:p>
        </w:tc>
      </w:tr>
      <w:tr>
        <w:tc>
          <w:tcPr>
            <w:tcW w:w="9208" w:type="dxa"/>
            <w:gridSpan w:val="2"/>
          </w:tcPr>
          <w:p>
            <w:pPr>
              <w:ind w:left="-108"/>
              <w:rPr>
                <w:smallCaps/>
                <w:noProof/>
                <w:sz w:val="20"/>
              </w:rPr>
            </w:pPr>
            <w:r>
              <w:rPr>
                <w:i/>
                <w:noProof/>
                <w:u w:val="single"/>
              </w:rPr>
              <w:t>Забележка</w:t>
            </w:r>
            <w:r>
              <w:rPr>
                <w:i/>
                <w:noProof/>
              </w:rPr>
              <w:t>: Настоящият доклад е придружен от подробен работен документ на службите на Комисията. Пълният текст на този работен документ на службите на Комисията (на английски език) и приложените таблици (на английски език) ще бъдат публикувани и на уебсайта на ГД „Земеделие и развитие на селските райони“ в интернет портала „Европа“ (http://ec.europa.eu/agriculture/cap-funding/financial-reports/eagf/index_en.htm).</w:t>
            </w:r>
          </w:p>
        </w:tc>
      </w:tr>
    </w:tbl>
    <w:p>
      <w:pPr>
        <w:rPr>
          <w:b/>
          <w:noProof/>
          <w:color w:val="FF0000"/>
        </w:rPr>
        <w:sectPr>
          <w:headerReference w:type="even" r:id="rId16"/>
          <w:headerReference w:type="default" r:id="rId17"/>
          <w:footerReference w:type="even" r:id="rId18"/>
          <w:footerReference w:type="default" r:id="rId19"/>
          <w:headerReference w:type="first" r:id="rId20"/>
          <w:footerReference w:type="first" r:id="rId21"/>
          <w:pgSz w:w="11906" w:h="16838" w:code="9"/>
          <w:pgMar w:top="1106" w:right="1389" w:bottom="1077" w:left="1389" w:header="240" w:footer="120" w:gutter="0"/>
          <w:pgNumType w:start="2"/>
          <w:cols w:space="720"/>
          <w:docGrid w:linePitch="326"/>
        </w:sectPr>
      </w:pPr>
      <w:r>
        <w:rPr>
          <w:b/>
          <w:smallCaps/>
          <w:noProof/>
          <w:color w:val="FF0000"/>
          <w:sz w:val="20"/>
        </w:rPr>
        <w:t xml:space="preserve"> </w:t>
      </w:r>
    </w:p>
    <w:p>
      <w:pPr>
        <w:pStyle w:val="ManualHeading1"/>
        <w:rPr>
          <w:noProof/>
          <w:vertAlign w:val="superscript"/>
        </w:rPr>
      </w:pPr>
      <w:bookmarkStart w:id="3" w:name="_Toc322938550"/>
      <w:bookmarkStart w:id="4" w:name="_Toc358122330"/>
      <w:bookmarkStart w:id="5" w:name="_Toc487550769"/>
      <w:bookmarkStart w:id="6" w:name="_Toc489540938"/>
      <w:bookmarkEnd w:id="2"/>
      <w:r>
        <w:lastRenderedPageBreak/>
        <w:t>1.</w:t>
      </w:r>
      <w:r>
        <w:tab/>
      </w:r>
      <w:r>
        <w:rPr>
          <w:noProof/>
        </w:rPr>
        <w:t>БЮДЖЕТНА ПРОЦЕДУРА</w:t>
      </w:r>
      <w:bookmarkEnd w:id="3"/>
      <w:r>
        <w:rPr>
          <w:rStyle w:val="FootnoteReference"/>
          <w:noProof/>
        </w:rPr>
        <w:footnoteReference w:id="1"/>
      </w:r>
      <w:bookmarkEnd w:id="4"/>
      <w:bookmarkEnd w:id="5"/>
      <w:bookmarkEnd w:id="6"/>
    </w:p>
    <w:p>
      <w:pPr>
        <w:pStyle w:val="ManualHeading2"/>
        <w:rPr>
          <w:noProof/>
        </w:rPr>
      </w:pPr>
      <w:bookmarkStart w:id="7" w:name="_Toc322938552"/>
      <w:bookmarkStart w:id="8" w:name="_Toc358122331"/>
      <w:r>
        <w:t>1.1.</w:t>
      </w:r>
      <w:r>
        <w:tab/>
      </w:r>
      <w:r>
        <w:rPr>
          <w:noProof/>
        </w:rPr>
        <w:t>Проектобюджет за 2016 г. и писмо за внасяне на корекции № 2/2016</w:t>
      </w:r>
    </w:p>
    <w:p>
      <w:pPr>
        <w:pStyle w:val="Text1"/>
        <w:rPr>
          <w:noProof/>
        </w:rPr>
      </w:pPr>
      <w:r>
        <w:rPr>
          <w:noProof/>
        </w:rPr>
        <w:t>Проектобюджетът за 2016 г. бе приет от Комисията и предложен на бюджетния орган на 24 юни 2015 г. Предложените бюджетни кредити за поети задължения за ЕФГЗ възлизаха на 42 867,6 милиона евро.</w:t>
      </w:r>
    </w:p>
    <w:p>
      <w:pPr>
        <w:pStyle w:val="Text1"/>
        <w:rPr>
          <w:noProof/>
        </w:rPr>
      </w:pPr>
      <w:r>
        <w:rPr>
          <w:noProof/>
        </w:rPr>
        <w:t xml:space="preserve">Съветът прие позиция относно проектобюджета за 2016 г. на 4 септември 2015 г., като намали бюджетните кредити за поети задължения за ЕФГЗ с 198,9 млн. евро. Европейският парламент прие позиция на 28 октомври 2015 г., като увеличи бюджетните кредити за поети задължения за ЕФГЗ с 499,8 млн. евро в сравнение с проектобюджета. </w:t>
      </w:r>
    </w:p>
    <w:p>
      <w:pPr>
        <w:pStyle w:val="Text1"/>
        <w:rPr>
          <w:noProof/>
        </w:rPr>
      </w:pPr>
      <w:r>
        <w:rPr>
          <w:noProof/>
        </w:rPr>
        <w:t>На 14 октомври 2015 г. Комисията прие писмо № 2 за внасяне на корекции в проектобюджета за 2016 г., като намали поисканите бюджетни кредити за поети задължения за ЕФГЗ с 507,3 млн. евро в сравнение с проектобюджета.</w:t>
      </w:r>
    </w:p>
    <w:bookmarkEnd w:id="7"/>
    <w:bookmarkEnd w:id="8"/>
    <w:p>
      <w:pPr>
        <w:pStyle w:val="ManualHeading2"/>
        <w:rPr>
          <w:noProof/>
        </w:rPr>
      </w:pPr>
      <w:r>
        <w:t>1.2.</w:t>
      </w:r>
      <w:r>
        <w:tab/>
      </w:r>
      <w:r>
        <w:rPr>
          <w:noProof/>
        </w:rPr>
        <w:t>Приемане на бюджета за 2016 г.</w:t>
      </w:r>
    </w:p>
    <w:p>
      <w:pPr>
        <w:pStyle w:val="Text1"/>
        <w:rPr>
          <w:noProof/>
        </w:rPr>
      </w:pPr>
      <w:bookmarkStart w:id="9" w:name="_Toc322938555"/>
      <w:r>
        <w:rPr>
          <w:noProof/>
        </w:rPr>
        <w:t>Помирителният комитет, който се състои от членове на Европейския парламент и на Съвета, постигна споразумение по общ проект на 14 ноември 2015 г. Бюджетът за 2016 г. бе обявен за приет от Европейския парламент на 25 ноември 2015 г. Общо за ЕФГЗ бюджетните кредити за поети задължения в бюджета възлязоха на 42 220,3 млн. евро, а бюджетните кредити за плащания — на 42 212,1 млн. евро.</w:t>
      </w:r>
    </w:p>
    <w:p>
      <w:pPr>
        <w:pStyle w:val="Text1"/>
        <w:rPr>
          <w:noProof/>
        </w:rPr>
      </w:pPr>
      <w:r>
        <w:rPr>
          <w:noProof/>
        </w:rPr>
        <w:t>Разликата между бюджетните кредити за поети задължения и бюджетните кредити за плащания се дължи на факта, че за някои мерки, прилагани директно от Комисията, се използват многогодишни бюджетни кредити. Тези мерки са свързани главно с насърчаването на продажбата на селскостопански продукти и с мерките за политическа стратегия и координиране на селското стопанство.</w:t>
      </w:r>
    </w:p>
    <w:p>
      <w:pPr>
        <w:pStyle w:val="Text1"/>
        <w:rPr>
          <w:noProof/>
        </w:rPr>
      </w:pPr>
      <w:r>
        <w:rPr>
          <w:noProof/>
        </w:rPr>
        <w:t xml:space="preserve">По-конкретно, в рамките на гласуваните за ЕФГЗ бюджетни кредити за поети задължения за област на политиката 05, възлизащи на 42 220,3 млн. евро, бяха предвидени 2673,0 млн. евро за интервенции на селскостопанските пазари по глава 05 02, 39 445,7 млн. евро — за преки плащания по глава 05 03, 58,6 млн. евро — за одит на разходите за селско стопанство по глава 05 07, и 33,4 млн. евро — за политическа стратегия и координиране по глава 05 08. </w:t>
      </w:r>
    </w:p>
    <w:p>
      <w:pPr>
        <w:pStyle w:val="Text1"/>
        <w:rPr>
          <w:noProof/>
        </w:rPr>
      </w:pPr>
      <w:r>
        <w:rPr>
          <w:noProof/>
        </w:rPr>
        <w:t>Повече подробности са дадени в приложение 1.</w:t>
      </w:r>
    </w:p>
    <w:p>
      <w:pPr>
        <w:pStyle w:val="Text1"/>
        <w:rPr>
          <w:noProof/>
        </w:rPr>
      </w:pPr>
      <w:r>
        <w:rPr>
          <w:noProof/>
        </w:rPr>
        <w:t>Впоследствие през 2017 бюджетна година бюджетните кредити за ЕФГЗ по статия 05 08 03 (преструктуриране на системите за земеделски проучвания) бяха намалени с 1,25 млн. евро посредством коригиращ бюджет № 4.</w:t>
      </w:r>
    </w:p>
    <w:p>
      <w:pPr>
        <w:pStyle w:val="ManualHeading2"/>
        <w:rPr>
          <w:noProof/>
        </w:rPr>
      </w:pPr>
      <w:bookmarkStart w:id="10" w:name="_Toc322938556"/>
      <w:bookmarkStart w:id="11" w:name="_Toc358122334"/>
      <w:bookmarkEnd w:id="9"/>
      <w:r>
        <w:t>1.3.</w:t>
      </w:r>
      <w:r>
        <w:tab/>
      </w:r>
      <w:r>
        <w:rPr>
          <w:noProof/>
        </w:rPr>
        <w:t>Целеви приходи, предназначени за ЕФГЗ</w:t>
      </w:r>
      <w:r>
        <w:rPr>
          <w:rStyle w:val="FootnoteReference"/>
          <w:noProof/>
        </w:rPr>
        <w:footnoteReference w:id="2"/>
      </w:r>
      <w:bookmarkEnd w:id="10"/>
      <w:bookmarkEnd w:id="11"/>
    </w:p>
    <w:p>
      <w:pPr>
        <w:pStyle w:val="Text1"/>
        <w:rPr>
          <w:noProof/>
        </w:rPr>
      </w:pPr>
      <w:bookmarkStart w:id="12" w:name="_Toc322938558"/>
      <w:bookmarkStart w:id="13" w:name="_Toc358122336"/>
      <w:r>
        <w:rPr>
          <w:noProof/>
        </w:rPr>
        <w:t>В съответствие с член 43 от Регламент (ЕО) № 1306/2013 относно финансирането на Общата селскостопанска политика</w:t>
      </w:r>
      <w:r>
        <w:rPr>
          <w:noProof/>
          <w:vertAlign w:val="superscript"/>
        </w:rPr>
        <w:footnoteReference w:id="3"/>
      </w:r>
      <w:r>
        <w:rPr>
          <w:noProof/>
        </w:rPr>
        <w:t xml:space="preserve"> приходите, получени от финансови корекции по силата на решения за счетоводно уравняване или уравняване по съответствие, от възстановявания във връзка с нередности, както и от налога в сектора на млякото и млечните продукти, се смятат за целеви приходи, предназначени за финансиране на разходите по линия на ЕФГЗ. Съгласно посочените правила целевите приходи могат да се използват за финансиране на всички разходи по линия на ЕФГЗ. Ако част от тези приходи не е усвоена, тя автоматично се пренася към следващата бюджетна година.</w:t>
      </w:r>
    </w:p>
    <w:p>
      <w:pPr>
        <w:pStyle w:val="Text1"/>
        <w:rPr>
          <w:noProof/>
        </w:rPr>
      </w:pPr>
      <w:r>
        <w:rPr>
          <w:noProof/>
        </w:rPr>
        <w:t>При съставянето на бюджета за 2016 г. бе направена прогноза за приходите — както за сумата, която се очакваше да бъде събрана през 2016 бюджетна година, така и за сумата, която се очакваше да бъде пренесена от 2015 бюджетна година към 2016 бюджетна година. Прогнозната сума възлизаше на 2980 млн. евро и бе взета предвид от бюджетния орган при приемането на бюджета за 2016 г. По-специално:</w:t>
      </w:r>
    </w:p>
    <w:p>
      <w:pPr>
        <w:pStyle w:val="Tiret1"/>
        <w:rPr>
          <w:noProof/>
        </w:rPr>
      </w:pPr>
      <w:r>
        <w:rPr>
          <w:noProof/>
        </w:rPr>
        <w:t>прогнозираните приходи от финансови корекции при уравняването по съответствие и от възстановявания във връзка с нередности бяха съответно 1125 млн. евро и 155 млн. евро, а постъпленията от налога в сектора на млякото и млечните продукти — 810 млн. евро. Така общата сума от целевите приходи, която се очакваше да постъпи през 2016 бюджетна година, възлизаше на 2090 млн. евро;</w:t>
      </w:r>
    </w:p>
    <w:p>
      <w:pPr>
        <w:pStyle w:val="Tiret1"/>
        <w:rPr>
          <w:noProof/>
        </w:rPr>
      </w:pPr>
      <w:r>
        <w:rPr>
          <w:noProof/>
        </w:rPr>
        <w:t>прогнозната сума на целевите приходи, която се очакваше да бъде пренесена от бюджетната 2015 г. в бюджетната 2016 г., беше 890 млн. евро.</w:t>
      </w:r>
    </w:p>
    <w:p>
      <w:pPr>
        <w:pStyle w:val="Text1"/>
        <w:rPr>
          <w:noProof/>
        </w:rPr>
      </w:pPr>
      <w:r>
        <w:rPr>
          <w:noProof/>
        </w:rPr>
        <w:t xml:space="preserve">В бюджета за 2016 г. тези първоначално прогнозирани целеви приходи от 2980 млн. евро бяха разпределени по две схеми, а именно: </w:t>
      </w:r>
    </w:p>
    <w:p>
      <w:pPr>
        <w:pStyle w:val="Tiret1"/>
        <w:rPr>
          <w:noProof/>
        </w:rPr>
      </w:pPr>
      <w:r>
        <w:rPr>
          <w:noProof/>
        </w:rPr>
        <w:t xml:space="preserve">600 млн. евро за оперативните фондове на организациите на производители в сектора на плодовете и зеленчуците; </w:t>
      </w:r>
    </w:p>
    <w:p>
      <w:pPr>
        <w:pStyle w:val="Tiret1"/>
        <w:rPr>
          <w:noProof/>
        </w:rPr>
      </w:pPr>
      <w:r>
        <w:rPr>
          <w:noProof/>
        </w:rPr>
        <w:t xml:space="preserve">2380 млн. евро — за схемата за основно плащане (преки плащания). </w:t>
      </w:r>
    </w:p>
    <w:p>
      <w:pPr>
        <w:pStyle w:val="Tiret1"/>
        <w:numPr>
          <w:ilvl w:val="0"/>
          <w:numId w:val="0"/>
        </w:numPr>
        <w:ind w:left="850"/>
        <w:rPr>
          <w:noProof/>
        </w:rPr>
      </w:pPr>
      <w:r>
        <w:rPr>
          <w:noProof/>
        </w:rPr>
        <w:t>За горепосочените схеми сумата на гласуваните от бюджетния орган бюджетни кредити и целевите приходи съответства на общата прогнозна оценка на разполагаемите бюджетни кредити в размер на:</w:t>
      </w:r>
    </w:p>
    <w:p>
      <w:pPr>
        <w:pStyle w:val="Tiret1"/>
        <w:rPr>
          <w:noProof/>
        </w:rPr>
      </w:pPr>
      <w:r>
        <w:rPr>
          <w:noProof/>
        </w:rPr>
        <w:t xml:space="preserve">898 млн. евро за оперативните фондове на организациите на производители в сектора на плодовете и зеленчуците; </w:t>
      </w:r>
    </w:p>
    <w:p>
      <w:pPr>
        <w:pStyle w:val="Tiret1"/>
        <w:rPr>
          <w:noProof/>
        </w:rPr>
      </w:pPr>
      <w:r>
        <w:rPr>
          <w:noProof/>
        </w:rPr>
        <w:t xml:space="preserve">18 307 млн. евро за схемата за основно плащане (преки плащания). </w:t>
      </w:r>
    </w:p>
    <w:p>
      <w:pPr>
        <w:pStyle w:val="ManualHeading1"/>
        <w:rPr>
          <w:noProof/>
        </w:rPr>
      </w:pPr>
      <w:bookmarkStart w:id="14" w:name="_Toc322938559"/>
      <w:bookmarkStart w:id="15" w:name="_Toc358122337"/>
      <w:bookmarkEnd w:id="12"/>
      <w:bookmarkEnd w:id="13"/>
      <w:r>
        <w:rPr>
          <w:noProof/>
        </w:rPr>
        <w:br w:type="page"/>
      </w:r>
      <w:bookmarkStart w:id="16" w:name="_Toc487550770"/>
      <w:bookmarkStart w:id="17" w:name="_Toc489540939"/>
      <w:r>
        <w:t>2.</w:t>
      </w:r>
      <w:r>
        <w:tab/>
      </w:r>
      <w:r>
        <w:rPr>
          <w:noProof/>
        </w:rPr>
        <w:t>КАСОВА ПОЗИЦИЯ И УПРАВЛЕНИЕ НА БЮДЖЕТНИТЕ КРЕДИТИ</w:t>
      </w:r>
      <w:bookmarkEnd w:id="14"/>
      <w:bookmarkEnd w:id="15"/>
      <w:bookmarkEnd w:id="16"/>
      <w:bookmarkEnd w:id="17"/>
      <w:r>
        <w:rPr>
          <w:noProof/>
        </w:rPr>
        <w:t xml:space="preserve"> </w:t>
      </w:r>
    </w:p>
    <w:p>
      <w:pPr>
        <w:pStyle w:val="ManualHeading2"/>
        <w:rPr>
          <w:noProof/>
        </w:rPr>
      </w:pPr>
      <w:bookmarkStart w:id="18" w:name="_Toc322938560"/>
      <w:bookmarkStart w:id="19" w:name="_Toc358122338"/>
      <w:r>
        <w:t>2.1.</w:t>
      </w:r>
      <w:r>
        <w:tab/>
      </w:r>
      <w:r>
        <w:rPr>
          <w:noProof/>
        </w:rPr>
        <w:t>Управление на бюджетните кредити</w:t>
      </w:r>
      <w:bookmarkEnd w:id="18"/>
      <w:bookmarkEnd w:id="19"/>
      <w:r>
        <w:rPr>
          <w:noProof/>
        </w:rPr>
        <w:t xml:space="preserve"> </w:t>
      </w:r>
    </w:p>
    <w:p>
      <w:pPr>
        <w:pStyle w:val="ManualHeading3"/>
        <w:rPr>
          <w:bCs/>
          <w:iCs/>
          <w:noProof/>
        </w:rPr>
      </w:pPr>
      <w:bookmarkStart w:id="20" w:name="_Toc358122339"/>
      <w:bookmarkStart w:id="21" w:name="_Toc322938562"/>
      <w:r>
        <w:t>2.1.1.</w:t>
      </w:r>
      <w:r>
        <w:tab/>
      </w:r>
      <w:r>
        <w:rPr>
          <w:noProof/>
        </w:rPr>
        <w:t>Разполагаеми бюджетни кредити за 2016 бюджетна година</w:t>
      </w:r>
      <w:bookmarkEnd w:id="20"/>
      <w:r>
        <w:rPr>
          <w:noProof/>
        </w:rPr>
        <w:t xml:space="preserve"> </w:t>
      </w:r>
      <w:bookmarkStart w:id="22" w:name="_Toc322938564"/>
      <w:bookmarkStart w:id="23" w:name="_Toc358122340"/>
      <w:bookmarkEnd w:id="21"/>
    </w:p>
    <w:tbl>
      <w:tblPr>
        <w:tblW w:w="8940" w:type="dxa"/>
        <w:tblInd w:w="648" w:type="dxa"/>
        <w:tblLayout w:type="fixed"/>
        <w:tblLook w:val="01E0" w:firstRow="1" w:lastRow="1" w:firstColumn="1" w:lastColumn="1" w:noHBand="0" w:noVBand="0"/>
      </w:tblPr>
      <w:tblGrid>
        <w:gridCol w:w="2220"/>
        <w:gridCol w:w="1800"/>
        <w:gridCol w:w="1676"/>
        <w:gridCol w:w="1804"/>
        <w:gridCol w:w="977"/>
        <w:gridCol w:w="463"/>
      </w:tblGrid>
      <w:tr>
        <w:trPr>
          <w:gridAfter w:val="1"/>
          <w:wAfter w:w="463" w:type="dxa"/>
        </w:trPr>
        <w:tc>
          <w:tcPr>
            <w:tcW w:w="8477" w:type="dxa"/>
            <w:gridSpan w:val="5"/>
            <w:shd w:val="clear" w:color="auto" w:fill="auto"/>
          </w:tcPr>
          <w:p>
            <w:pPr>
              <w:keepNext/>
              <w:keepLines/>
              <w:spacing w:after="0" w:line="240" w:lineRule="auto"/>
              <w:jc w:val="right"/>
              <w:rPr>
                <w:rFonts w:ascii="Times New Roman" w:eastAsia="MS PGothic" w:hAnsi="Times New Roman"/>
                <w:i/>
                <w:noProof/>
                <w:sz w:val="20"/>
                <w:szCs w:val="24"/>
              </w:rPr>
            </w:pPr>
            <w:r>
              <w:rPr>
                <w:rFonts w:ascii="Times New Roman" w:hAnsi="Times New Roman"/>
                <w:i/>
                <w:noProof/>
                <w:sz w:val="20"/>
              </w:rPr>
              <w:t>В EUR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220" w:type="dxa"/>
            <w:tcBorders>
              <w:top w:val="double" w:sz="4" w:space="0" w:color="auto"/>
              <w:left w:val="double" w:sz="4" w:space="0" w:color="auto"/>
              <w:bottom w:val="single" w:sz="6" w:space="0" w:color="auto"/>
              <w:right w:val="dotted" w:sz="4" w:space="0" w:color="auto"/>
            </w:tcBorders>
            <w:shd w:val="clear" w:color="auto" w:fill="99CC00"/>
            <w:noWrap/>
            <w:vAlign w:val="center"/>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Разходна част на бюджета </w:t>
            </w:r>
            <w:r>
              <w:rPr>
                <w:rFonts w:ascii="Times New Roman" w:hAnsi="Times New Roman"/>
                <w:noProof/>
                <w:sz w:val="16"/>
              </w:rPr>
              <w:t>(1)</w:t>
            </w:r>
          </w:p>
        </w:tc>
        <w:tc>
          <w:tcPr>
            <w:tcW w:w="1800" w:type="dxa"/>
            <w:tcBorders>
              <w:top w:val="double" w:sz="4" w:space="0" w:color="auto"/>
              <w:left w:val="dotted" w:sz="4" w:space="0" w:color="auto"/>
              <w:bottom w:val="single" w:sz="6" w:space="0" w:color="auto"/>
              <w:right w:val="dotted" w:sz="4" w:space="0" w:color="auto"/>
            </w:tcBorders>
            <w:shd w:val="clear" w:color="auto" w:fill="99CC00"/>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Бюджетни кредити за поети задължения</w:t>
            </w:r>
          </w:p>
        </w:tc>
        <w:tc>
          <w:tcPr>
            <w:tcW w:w="1676" w:type="dxa"/>
            <w:tcBorders>
              <w:top w:val="double" w:sz="4" w:space="0" w:color="auto"/>
              <w:left w:val="dotted" w:sz="4" w:space="0" w:color="auto"/>
              <w:bottom w:val="single" w:sz="6" w:space="0" w:color="auto"/>
            </w:tcBorders>
            <w:shd w:val="clear" w:color="auto" w:fill="99CC00"/>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Бюджетни кредити за плащания</w:t>
            </w:r>
          </w:p>
        </w:tc>
        <w:tc>
          <w:tcPr>
            <w:tcW w:w="1804" w:type="dxa"/>
            <w:tcBorders>
              <w:top w:val="double" w:sz="4" w:space="0" w:color="auto"/>
              <w:right w:val="dotted" w:sz="4" w:space="0" w:color="auto"/>
            </w:tcBorders>
            <w:shd w:val="clear" w:color="auto" w:fill="99CC00"/>
            <w:noWrap/>
            <w:vAlign w:val="center"/>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Приходна част на бюджета (ЦП) </w:t>
            </w:r>
            <w:r>
              <w:rPr>
                <w:rFonts w:ascii="Times New Roman" w:hAnsi="Times New Roman"/>
                <w:noProof/>
                <w:sz w:val="16"/>
              </w:rPr>
              <w:t>(2)</w:t>
            </w:r>
          </w:p>
        </w:tc>
        <w:tc>
          <w:tcPr>
            <w:tcW w:w="1440" w:type="dxa"/>
            <w:gridSpan w:val="2"/>
            <w:tcBorders>
              <w:top w:val="double" w:sz="4" w:space="0" w:color="auto"/>
              <w:left w:val="dotted" w:sz="4" w:space="0" w:color="auto"/>
              <w:right w:val="double" w:sz="4" w:space="0" w:color="auto"/>
            </w:tcBorders>
            <w:shd w:val="clear" w:color="auto" w:fill="99CC00"/>
            <w:noWrap/>
            <w:vAlign w:val="center"/>
          </w:tcPr>
          <w:p>
            <w:pPr>
              <w:spacing w:before="240" w:after="0" w:line="240" w:lineRule="auto"/>
              <w:jc w:val="center"/>
              <w:rPr>
                <w:rFonts w:ascii="Times New Roman" w:eastAsia="Times New Roman" w:hAnsi="Times New Roman"/>
                <w:noProof/>
                <w:sz w:val="18"/>
                <w:szCs w:val="18"/>
              </w:rPr>
            </w:pPr>
            <w:r>
              <w:rPr>
                <w:rFonts w:ascii="Times New Roman" w:hAnsi="Times New Roman"/>
                <w:noProof/>
                <w:sz w:val="18"/>
              </w:rPr>
              <w:t>Прогнози</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220" w:type="dxa"/>
            <w:tcBorders>
              <w:top w:val="single" w:sz="6" w:space="0" w:color="auto"/>
              <w:left w:val="double" w:sz="4" w:space="0" w:color="auto"/>
              <w:bottom w:val="single" w:sz="6" w:space="0" w:color="auto"/>
              <w:right w:val="dotted" w:sz="4" w:space="0" w:color="auto"/>
            </w:tcBorders>
            <w:shd w:val="clear" w:color="auto" w:fill="auto"/>
            <w:noWrap/>
          </w:tcPr>
          <w:p>
            <w:pPr>
              <w:spacing w:before="60" w:after="60" w:line="240" w:lineRule="auto"/>
              <w:rPr>
                <w:rFonts w:ascii="Times New Roman" w:eastAsia="Times New Roman" w:hAnsi="Times New Roman"/>
                <w:noProof/>
                <w:sz w:val="18"/>
                <w:szCs w:val="18"/>
              </w:rPr>
            </w:pPr>
            <w:r>
              <w:rPr>
                <w:rFonts w:ascii="Times New Roman" w:hAnsi="Times New Roman"/>
                <w:noProof/>
                <w:sz w:val="18"/>
              </w:rPr>
              <w:t>1. Първоначални бюджетни кредити за ЕФГЗ, от които:</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42 220 335 824,00</w:t>
            </w:r>
          </w:p>
        </w:tc>
        <w:tc>
          <w:tcPr>
            <w:tcW w:w="1676" w:type="dxa"/>
            <w:tcBorders>
              <w:top w:val="single" w:sz="6" w:space="0" w:color="auto"/>
              <w:left w:val="dotted" w:sz="4" w:space="0" w:color="auto"/>
              <w:bottom w:val="single" w:sz="6"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42 212 046 297,00</w:t>
            </w:r>
          </w:p>
        </w:tc>
        <w:tc>
          <w:tcPr>
            <w:tcW w:w="1804" w:type="dxa"/>
            <w:tcBorders>
              <w:right w:val="dotted" w:sz="4" w:space="0" w:color="auto"/>
            </w:tcBorders>
            <w:shd w:val="clear" w:color="auto" w:fill="auto"/>
            <w:noWrap/>
            <w:vAlign w:val="center"/>
          </w:tcPr>
          <w:p>
            <w:pPr>
              <w:spacing w:before="60" w:after="60" w:line="240" w:lineRule="auto"/>
              <w:rPr>
                <w:rFonts w:ascii="Times New Roman" w:eastAsia="Times New Roman" w:hAnsi="Times New Roman"/>
                <w:noProof/>
                <w:sz w:val="18"/>
                <w:szCs w:val="18"/>
              </w:rPr>
            </w:pPr>
            <w:r>
              <w:rPr>
                <w:rFonts w:ascii="Times New Roman" w:hAnsi="Times New Roman"/>
                <w:noProof/>
                <w:sz w:val="18"/>
              </w:rPr>
              <w:t>1. Решения за уравняване</w:t>
            </w:r>
          </w:p>
        </w:tc>
        <w:tc>
          <w:tcPr>
            <w:tcW w:w="1440" w:type="dxa"/>
            <w:gridSpan w:val="2"/>
            <w:tcBorders>
              <w:left w:val="dotted" w:sz="4" w:space="0" w:color="auto"/>
              <w:right w:val="doub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xml:space="preserve"> 1 125 000 000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220" w:type="dxa"/>
            <w:tcBorders>
              <w:top w:val="single" w:sz="6" w:space="0" w:color="auto"/>
              <w:left w:val="double" w:sz="4" w:space="0" w:color="auto"/>
              <w:bottom w:val="single" w:sz="6" w:space="0" w:color="auto"/>
              <w:right w:val="dotted" w:sz="4" w:space="0" w:color="auto"/>
            </w:tcBorders>
            <w:shd w:val="clear" w:color="auto" w:fill="auto"/>
            <w:noWrap/>
          </w:tcPr>
          <w:p>
            <w:pPr>
              <w:spacing w:before="60" w:after="60" w:line="240" w:lineRule="auto"/>
              <w:rPr>
                <w:rFonts w:ascii="Times New Roman" w:eastAsia="Times New Roman" w:hAnsi="Times New Roman"/>
                <w:noProof/>
                <w:sz w:val="18"/>
                <w:szCs w:val="18"/>
              </w:rPr>
            </w:pPr>
            <w:r>
              <w:rPr>
                <w:rFonts w:ascii="Times New Roman" w:hAnsi="Times New Roman"/>
                <w:noProof/>
                <w:sz w:val="18"/>
              </w:rPr>
              <w:t xml:space="preserve">1а. Бюджетни кредити под споделено управление </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42 152 208 157,00</w:t>
            </w:r>
          </w:p>
        </w:tc>
        <w:tc>
          <w:tcPr>
            <w:tcW w:w="1676" w:type="dxa"/>
            <w:tcBorders>
              <w:top w:val="single" w:sz="6" w:space="0" w:color="auto"/>
              <w:left w:val="dotted" w:sz="4" w:space="0" w:color="auto"/>
              <w:bottom w:val="single" w:sz="6"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42 152 208 157,00</w:t>
            </w:r>
          </w:p>
        </w:tc>
        <w:tc>
          <w:tcPr>
            <w:tcW w:w="1804" w:type="dxa"/>
            <w:tcBorders>
              <w:right w:val="dotted" w:sz="4" w:space="0" w:color="auto"/>
            </w:tcBorders>
            <w:shd w:val="clear" w:color="auto" w:fill="auto"/>
            <w:noWrap/>
            <w:vAlign w:val="center"/>
          </w:tcPr>
          <w:p>
            <w:pPr>
              <w:spacing w:before="60" w:after="60" w:line="240" w:lineRule="auto"/>
              <w:rPr>
                <w:rFonts w:ascii="Times New Roman" w:eastAsia="Times New Roman" w:hAnsi="Times New Roman"/>
                <w:noProof/>
                <w:sz w:val="18"/>
                <w:szCs w:val="18"/>
              </w:rPr>
            </w:pPr>
            <w:r>
              <w:rPr>
                <w:rFonts w:ascii="Times New Roman" w:hAnsi="Times New Roman"/>
                <w:noProof/>
                <w:sz w:val="18"/>
              </w:rPr>
              <w:t>2. Нередности</w:t>
            </w:r>
          </w:p>
        </w:tc>
        <w:tc>
          <w:tcPr>
            <w:tcW w:w="1440" w:type="dxa"/>
            <w:gridSpan w:val="2"/>
            <w:tcBorders>
              <w:left w:val="dotted" w:sz="4" w:space="0" w:color="auto"/>
              <w:right w:val="doub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xml:space="preserve"> 155 000 000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220" w:type="dxa"/>
            <w:tcBorders>
              <w:top w:val="single" w:sz="6" w:space="0" w:color="auto"/>
              <w:left w:val="double" w:sz="4" w:space="0" w:color="auto"/>
              <w:bottom w:val="single" w:sz="6" w:space="0" w:color="auto"/>
              <w:right w:val="dotted" w:sz="4" w:space="0" w:color="auto"/>
            </w:tcBorders>
            <w:shd w:val="clear" w:color="auto" w:fill="auto"/>
          </w:tcPr>
          <w:p>
            <w:pPr>
              <w:spacing w:before="60" w:after="60" w:line="240" w:lineRule="auto"/>
              <w:rPr>
                <w:rFonts w:ascii="Times New Roman" w:eastAsia="Times New Roman" w:hAnsi="Times New Roman"/>
                <w:noProof/>
                <w:sz w:val="18"/>
                <w:szCs w:val="18"/>
              </w:rPr>
            </w:pPr>
            <w:r>
              <w:rPr>
                <w:rFonts w:ascii="Times New Roman" w:hAnsi="Times New Roman"/>
                <w:noProof/>
                <w:sz w:val="18"/>
              </w:rPr>
              <w:t xml:space="preserve">1б. Бюджетни кредити при пряко управление </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68 127 667,00</w:t>
            </w:r>
          </w:p>
        </w:tc>
        <w:tc>
          <w:tcPr>
            <w:tcW w:w="1676" w:type="dxa"/>
            <w:tcBorders>
              <w:top w:val="single" w:sz="6" w:space="0" w:color="auto"/>
              <w:left w:val="dotted" w:sz="4" w:space="0" w:color="auto"/>
              <w:bottom w:val="single" w:sz="6"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59 838 140,00</w:t>
            </w:r>
          </w:p>
        </w:tc>
        <w:tc>
          <w:tcPr>
            <w:tcW w:w="1804" w:type="dxa"/>
            <w:tcBorders>
              <w:right w:val="dotted" w:sz="4" w:space="0" w:color="auto"/>
            </w:tcBorders>
            <w:shd w:val="clear" w:color="auto" w:fill="auto"/>
            <w:noWrap/>
            <w:vAlign w:val="center"/>
          </w:tcPr>
          <w:p>
            <w:pPr>
              <w:spacing w:before="60" w:after="60" w:line="240" w:lineRule="auto"/>
              <w:rPr>
                <w:rFonts w:ascii="Times New Roman" w:eastAsia="Times New Roman" w:hAnsi="Times New Roman"/>
                <w:noProof/>
                <w:sz w:val="18"/>
                <w:szCs w:val="18"/>
              </w:rPr>
            </w:pPr>
            <w:r>
              <w:rPr>
                <w:rFonts w:ascii="Times New Roman" w:hAnsi="Times New Roman"/>
                <w:noProof/>
                <w:sz w:val="18"/>
              </w:rPr>
              <w:t>3. Допълнителен налог от млекопроизводителите</w:t>
            </w:r>
          </w:p>
        </w:tc>
        <w:tc>
          <w:tcPr>
            <w:tcW w:w="1440" w:type="dxa"/>
            <w:gridSpan w:val="2"/>
            <w:tcBorders>
              <w:left w:val="dotted" w:sz="4" w:space="0" w:color="auto"/>
              <w:right w:val="doub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xml:space="preserve"> 810 000 000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220" w:type="dxa"/>
            <w:tcBorders>
              <w:top w:val="single" w:sz="6" w:space="0" w:color="auto"/>
              <w:left w:val="double" w:sz="4" w:space="0" w:color="auto"/>
              <w:bottom w:val="single" w:sz="6" w:space="0" w:color="auto"/>
              <w:right w:val="dotted" w:sz="4" w:space="0" w:color="auto"/>
            </w:tcBorders>
            <w:shd w:val="clear" w:color="auto" w:fill="auto"/>
            <w:vAlign w:val="center"/>
          </w:tcPr>
          <w:p>
            <w:pPr>
              <w:spacing w:before="60" w:after="60" w:line="240" w:lineRule="auto"/>
              <w:rPr>
                <w:rFonts w:ascii="Times New Roman" w:eastAsia="Times New Roman" w:hAnsi="Times New Roman"/>
                <w:noProof/>
                <w:sz w:val="18"/>
                <w:szCs w:val="18"/>
              </w:rPr>
            </w:pPr>
            <w:r>
              <w:rPr>
                <w:rFonts w:ascii="Times New Roman" w:hAnsi="Times New Roman"/>
                <w:noProof/>
                <w:sz w:val="18"/>
              </w:rPr>
              <w:t xml:space="preserve">2. Коригиращ бюджет </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-1 250 000,00</w:t>
            </w:r>
          </w:p>
        </w:tc>
        <w:tc>
          <w:tcPr>
            <w:tcW w:w="1676" w:type="dxa"/>
            <w:tcBorders>
              <w:top w:val="single" w:sz="6" w:space="0" w:color="auto"/>
              <w:left w:val="dotted" w:sz="4" w:space="0" w:color="auto"/>
              <w:bottom w:val="single" w:sz="6"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p>
        </w:tc>
        <w:tc>
          <w:tcPr>
            <w:tcW w:w="1804" w:type="dxa"/>
            <w:tcBorders>
              <w:right w:val="dotted" w:sz="4" w:space="0" w:color="auto"/>
            </w:tcBorders>
            <w:shd w:val="clear" w:color="auto" w:fill="auto"/>
            <w:noWrap/>
            <w:vAlign w:val="center"/>
          </w:tcPr>
          <w:p>
            <w:pPr>
              <w:spacing w:before="60" w:after="60" w:line="240" w:lineRule="auto"/>
              <w:rPr>
                <w:rFonts w:ascii="Times New Roman" w:eastAsia="Times New Roman" w:hAnsi="Times New Roman"/>
                <w:noProof/>
                <w:sz w:val="18"/>
                <w:szCs w:val="18"/>
              </w:rPr>
            </w:pPr>
            <w:r>
              <w:rPr>
                <w:rFonts w:ascii="Times New Roman" w:hAnsi="Times New Roman"/>
                <w:b/>
                <w:noProof/>
                <w:sz w:val="18"/>
              </w:rPr>
              <w:t>Общо прогнозирани ЦП</w:t>
            </w:r>
          </w:p>
        </w:tc>
        <w:tc>
          <w:tcPr>
            <w:tcW w:w="1440" w:type="dxa"/>
            <w:gridSpan w:val="2"/>
            <w:tcBorders>
              <w:left w:val="dotted" w:sz="4" w:space="0" w:color="auto"/>
              <w:right w:val="double" w:sz="4" w:space="0" w:color="auto"/>
            </w:tcBorders>
            <w:shd w:val="clear" w:color="auto" w:fill="auto"/>
            <w:noWrap/>
            <w:vAlign w:val="center"/>
          </w:tcPr>
          <w:p>
            <w:pPr>
              <w:spacing w:before="60" w:after="60" w:line="240" w:lineRule="auto"/>
              <w:jc w:val="right"/>
              <w:rPr>
                <w:rFonts w:ascii="Times New Roman" w:eastAsia="Times New Roman" w:hAnsi="Times New Roman"/>
                <w:noProof/>
                <w:sz w:val="18"/>
                <w:szCs w:val="18"/>
              </w:rPr>
            </w:pPr>
            <w:r>
              <w:rPr>
                <w:rFonts w:ascii="Times New Roman" w:hAnsi="Times New Roman"/>
                <w:b/>
                <w:noProof/>
                <w:sz w:val="18"/>
              </w:rPr>
              <w:t>2 090 000 000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220" w:type="dxa"/>
            <w:tcBorders>
              <w:top w:val="single" w:sz="6" w:space="0" w:color="auto"/>
              <w:left w:val="double" w:sz="4" w:space="0" w:color="auto"/>
              <w:bottom w:val="single" w:sz="6" w:space="0" w:color="auto"/>
              <w:right w:val="dotted" w:sz="4" w:space="0" w:color="auto"/>
            </w:tcBorders>
            <w:shd w:val="clear" w:color="auto" w:fill="auto"/>
          </w:tcPr>
          <w:p>
            <w:pPr>
              <w:spacing w:before="60" w:after="60" w:line="240" w:lineRule="auto"/>
              <w:rPr>
                <w:rFonts w:ascii="Times New Roman" w:eastAsia="Times New Roman" w:hAnsi="Times New Roman"/>
                <w:noProof/>
                <w:sz w:val="18"/>
                <w:szCs w:val="18"/>
              </w:rPr>
            </w:pPr>
            <w:r>
              <w:rPr>
                <w:rFonts w:ascii="Times New Roman" w:hAnsi="Times New Roman"/>
                <w:noProof/>
                <w:sz w:val="18"/>
              </w:rPr>
              <w:t>3. Прехвърляне към/от ЕФГЗ през годината</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-1 006 523,53</w:t>
            </w:r>
          </w:p>
        </w:tc>
        <w:tc>
          <w:tcPr>
            <w:tcW w:w="1676" w:type="dxa"/>
            <w:tcBorders>
              <w:top w:val="single" w:sz="6" w:space="0" w:color="auto"/>
              <w:left w:val="dotted" w:sz="4" w:space="0" w:color="auto"/>
              <w:bottom w:val="single" w:sz="6"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-2 500 523,53</w:t>
            </w:r>
          </w:p>
        </w:tc>
        <w:tc>
          <w:tcPr>
            <w:tcW w:w="1804" w:type="dxa"/>
            <w:tcBorders>
              <w:right w:val="dotted" w:sz="4" w:space="0" w:color="auto"/>
            </w:tcBorders>
            <w:shd w:val="clear" w:color="auto" w:fill="auto"/>
            <w:vAlign w:val="center"/>
          </w:tcPr>
          <w:p>
            <w:pPr>
              <w:spacing w:before="60" w:after="60" w:line="240" w:lineRule="auto"/>
              <w:rPr>
                <w:rFonts w:ascii="Times New Roman" w:eastAsia="Times New Roman" w:hAnsi="Times New Roman"/>
                <w:noProof/>
                <w:sz w:val="18"/>
                <w:szCs w:val="18"/>
              </w:rPr>
            </w:pPr>
          </w:p>
        </w:tc>
        <w:tc>
          <w:tcPr>
            <w:tcW w:w="1440" w:type="dxa"/>
            <w:gridSpan w:val="2"/>
            <w:tcBorders>
              <w:left w:val="dotted" w:sz="4" w:space="0" w:color="auto"/>
              <w:right w:val="double" w:sz="4" w:space="0" w:color="auto"/>
            </w:tcBorders>
            <w:shd w:val="clear" w:color="auto" w:fill="auto"/>
            <w:noWrap/>
            <w:vAlign w:val="center"/>
          </w:tcPr>
          <w:p>
            <w:pPr>
              <w:spacing w:before="60" w:after="60" w:line="240" w:lineRule="auto"/>
              <w:jc w:val="right"/>
              <w:rPr>
                <w:rFonts w:ascii="Times New Roman" w:eastAsia="Times New Roman" w:hAnsi="Times New Roman"/>
                <w:noProof/>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220" w:type="dxa"/>
            <w:tcBorders>
              <w:top w:val="single" w:sz="6" w:space="0" w:color="auto"/>
              <w:left w:val="double" w:sz="4" w:space="0" w:color="auto"/>
              <w:bottom w:val="single" w:sz="6" w:space="0" w:color="auto"/>
              <w:right w:val="dotted" w:sz="4" w:space="0" w:color="auto"/>
            </w:tcBorders>
            <w:shd w:val="clear" w:color="auto" w:fill="auto"/>
          </w:tcPr>
          <w:p>
            <w:pPr>
              <w:spacing w:before="60" w:after="60" w:line="240" w:lineRule="auto"/>
              <w:rPr>
                <w:rFonts w:ascii="Times New Roman" w:eastAsia="Times New Roman" w:hAnsi="Times New Roman"/>
                <w:noProof/>
                <w:sz w:val="18"/>
                <w:szCs w:val="18"/>
              </w:rPr>
            </w:pPr>
            <w:r>
              <w:rPr>
                <w:rFonts w:ascii="Times New Roman" w:hAnsi="Times New Roman"/>
                <w:noProof/>
                <w:sz w:val="18"/>
              </w:rPr>
              <w:t>4. Окончателни бюджетни кредити за ЕФГЗ, от които:</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b/>
                <w:noProof/>
                <w:sz w:val="18"/>
                <w:szCs w:val="18"/>
              </w:rPr>
            </w:pPr>
            <w:r>
              <w:rPr>
                <w:rFonts w:ascii="Times New Roman" w:hAnsi="Times New Roman"/>
                <w:b/>
                <w:noProof/>
                <w:sz w:val="18"/>
              </w:rPr>
              <w:t>42 218 079 300,47</w:t>
            </w:r>
          </w:p>
        </w:tc>
        <w:tc>
          <w:tcPr>
            <w:tcW w:w="1676" w:type="dxa"/>
            <w:tcBorders>
              <w:top w:val="single" w:sz="6" w:space="0" w:color="auto"/>
              <w:left w:val="dotted" w:sz="4" w:space="0" w:color="auto"/>
              <w:bottom w:val="single" w:sz="6" w:space="0" w:color="auto"/>
            </w:tcBorders>
            <w:shd w:val="clear" w:color="auto" w:fill="auto"/>
            <w:noWrap/>
            <w:vAlign w:val="center"/>
          </w:tcPr>
          <w:p>
            <w:pPr>
              <w:spacing w:after="0" w:line="240" w:lineRule="auto"/>
              <w:jc w:val="right"/>
              <w:rPr>
                <w:rFonts w:ascii="Times New Roman" w:eastAsia="Times New Roman" w:hAnsi="Times New Roman"/>
                <w:b/>
                <w:noProof/>
                <w:sz w:val="18"/>
                <w:szCs w:val="18"/>
              </w:rPr>
            </w:pPr>
            <w:r>
              <w:rPr>
                <w:rFonts w:ascii="Times New Roman" w:hAnsi="Times New Roman"/>
                <w:b/>
                <w:noProof/>
                <w:sz w:val="18"/>
              </w:rPr>
              <w:t>42 209 545 773,47</w:t>
            </w:r>
          </w:p>
        </w:tc>
        <w:tc>
          <w:tcPr>
            <w:tcW w:w="1804" w:type="dxa"/>
            <w:tcBorders>
              <w:right w:val="dotted" w:sz="4" w:space="0" w:color="auto"/>
            </w:tcBorders>
            <w:shd w:val="clear" w:color="auto" w:fill="auto"/>
            <w:noWrap/>
            <w:vAlign w:val="center"/>
          </w:tcPr>
          <w:p>
            <w:pPr>
              <w:spacing w:before="60" w:after="60" w:line="240" w:lineRule="auto"/>
              <w:jc w:val="center"/>
              <w:rPr>
                <w:rFonts w:ascii="Times New Roman" w:eastAsia="Times New Roman" w:hAnsi="Times New Roman"/>
                <w:b/>
                <w:noProof/>
                <w:sz w:val="18"/>
                <w:szCs w:val="18"/>
              </w:rPr>
            </w:pPr>
          </w:p>
        </w:tc>
        <w:tc>
          <w:tcPr>
            <w:tcW w:w="1440" w:type="dxa"/>
            <w:gridSpan w:val="2"/>
            <w:tcBorders>
              <w:left w:val="dotted" w:sz="4" w:space="0" w:color="auto"/>
              <w:right w:val="double" w:sz="4" w:space="0" w:color="auto"/>
            </w:tcBorders>
            <w:shd w:val="clear" w:color="auto" w:fill="auto"/>
            <w:noWrap/>
            <w:vAlign w:val="center"/>
          </w:tcPr>
          <w:p>
            <w:pPr>
              <w:spacing w:before="60" w:after="60" w:line="240" w:lineRule="auto"/>
              <w:jc w:val="right"/>
              <w:rPr>
                <w:rFonts w:ascii="Times New Roman" w:eastAsia="Times New Roman" w:hAnsi="Times New Roman"/>
                <w:b/>
                <w:bCs/>
                <w:noProof/>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220" w:type="dxa"/>
            <w:tcBorders>
              <w:left w:val="double" w:sz="4" w:space="0" w:color="auto"/>
              <w:bottom w:val="single" w:sz="4" w:space="0" w:color="auto"/>
              <w:right w:val="dotted" w:sz="4" w:space="0" w:color="auto"/>
            </w:tcBorders>
            <w:shd w:val="clear" w:color="auto" w:fill="auto"/>
            <w:noWrap/>
          </w:tcPr>
          <w:p>
            <w:pPr>
              <w:spacing w:before="60" w:after="60" w:line="240" w:lineRule="auto"/>
              <w:rPr>
                <w:rFonts w:ascii="Times New Roman" w:eastAsia="Times New Roman" w:hAnsi="Times New Roman"/>
                <w:noProof/>
                <w:sz w:val="18"/>
                <w:szCs w:val="18"/>
              </w:rPr>
            </w:pPr>
            <w:r>
              <w:rPr>
                <w:rFonts w:ascii="Times New Roman" w:hAnsi="Times New Roman"/>
                <w:noProof/>
                <w:sz w:val="18"/>
              </w:rPr>
              <w:t xml:space="preserve">4а. Бюджетни кредити под споделено управление </w:t>
            </w:r>
          </w:p>
        </w:tc>
        <w:tc>
          <w:tcPr>
            <w:tcW w:w="1800" w:type="dxa"/>
            <w:tcBorders>
              <w:left w:val="dotted" w:sz="4" w:space="0" w:color="auto"/>
              <w:bottom w:val="single" w:sz="4"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42 148 674 416,47</w:t>
            </w:r>
          </w:p>
        </w:tc>
        <w:tc>
          <w:tcPr>
            <w:tcW w:w="1676" w:type="dxa"/>
            <w:tcBorders>
              <w:left w:val="dotted" w:sz="4" w:space="0" w:color="auto"/>
              <w:bottom w:val="sing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42 148 674 416,47</w:t>
            </w:r>
          </w:p>
        </w:tc>
        <w:tc>
          <w:tcPr>
            <w:tcW w:w="1804" w:type="dxa"/>
            <w:tcBorders>
              <w:bottom w:val="single" w:sz="4" w:space="0" w:color="auto"/>
              <w:right w:val="dotted" w:sz="4" w:space="0" w:color="auto"/>
            </w:tcBorders>
            <w:shd w:val="clear" w:color="auto" w:fill="auto"/>
            <w:noWrap/>
          </w:tcPr>
          <w:p>
            <w:pPr>
              <w:spacing w:before="60" w:after="60" w:line="240" w:lineRule="auto"/>
              <w:rPr>
                <w:rFonts w:ascii="Times New Roman" w:eastAsia="Times New Roman" w:hAnsi="Times New Roman"/>
                <w:noProof/>
                <w:sz w:val="18"/>
                <w:szCs w:val="18"/>
              </w:rPr>
            </w:pPr>
          </w:p>
        </w:tc>
        <w:tc>
          <w:tcPr>
            <w:tcW w:w="1440" w:type="dxa"/>
            <w:gridSpan w:val="2"/>
            <w:tcBorders>
              <w:left w:val="dotted" w:sz="4" w:space="0" w:color="auto"/>
              <w:bottom w:val="single" w:sz="4" w:space="0" w:color="auto"/>
              <w:right w:val="double" w:sz="4" w:space="0" w:color="auto"/>
            </w:tcBorders>
            <w:shd w:val="clear" w:color="auto" w:fill="auto"/>
            <w:noWrap/>
          </w:tcPr>
          <w:p>
            <w:pPr>
              <w:spacing w:before="60" w:after="60" w:line="240" w:lineRule="auto"/>
              <w:jc w:val="right"/>
              <w:rPr>
                <w:rFonts w:ascii="Times New Roman" w:eastAsia="Times New Roman" w:hAnsi="Times New Roman"/>
                <w:noProof/>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220" w:type="dxa"/>
            <w:tcBorders>
              <w:left w:val="double" w:sz="4" w:space="0" w:color="auto"/>
              <w:bottom w:val="double" w:sz="4" w:space="0" w:color="auto"/>
              <w:right w:val="dotted" w:sz="4" w:space="0" w:color="auto"/>
            </w:tcBorders>
            <w:shd w:val="clear" w:color="auto" w:fill="auto"/>
            <w:noWrap/>
          </w:tcPr>
          <w:p>
            <w:pPr>
              <w:spacing w:before="60" w:after="60" w:line="240" w:lineRule="auto"/>
              <w:rPr>
                <w:rFonts w:ascii="Times New Roman" w:eastAsia="Times New Roman" w:hAnsi="Times New Roman"/>
                <w:noProof/>
                <w:sz w:val="18"/>
                <w:szCs w:val="18"/>
              </w:rPr>
            </w:pPr>
            <w:r>
              <w:rPr>
                <w:rFonts w:ascii="Times New Roman" w:hAnsi="Times New Roman"/>
                <w:noProof/>
                <w:sz w:val="18"/>
              </w:rPr>
              <w:t>4б. Бюджетни кредити при пряко управление</w:t>
            </w:r>
          </w:p>
        </w:tc>
        <w:tc>
          <w:tcPr>
            <w:tcW w:w="1800" w:type="dxa"/>
            <w:tcBorders>
              <w:left w:val="dotted" w:sz="4" w:space="0" w:color="auto"/>
              <w:bottom w:val="double" w:sz="4"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69 404 884,00</w:t>
            </w:r>
          </w:p>
        </w:tc>
        <w:tc>
          <w:tcPr>
            <w:tcW w:w="1676" w:type="dxa"/>
            <w:tcBorders>
              <w:left w:val="dotted" w:sz="4" w:space="0" w:color="auto"/>
              <w:bottom w:val="doub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60 871 357,00</w:t>
            </w:r>
          </w:p>
        </w:tc>
        <w:tc>
          <w:tcPr>
            <w:tcW w:w="1804" w:type="dxa"/>
            <w:tcBorders>
              <w:bottom w:val="double" w:sz="4" w:space="0" w:color="auto"/>
              <w:right w:val="dotted" w:sz="4" w:space="0" w:color="auto"/>
            </w:tcBorders>
            <w:shd w:val="clear" w:color="auto" w:fill="auto"/>
            <w:noWrap/>
          </w:tcPr>
          <w:p>
            <w:pPr>
              <w:spacing w:before="60" w:after="60" w:line="240" w:lineRule="auto"/>
              <w:rPr>
                <w:rFonts w:ascii="Times New Roman" w:eastAsia="Times New Roman" w:hAnsi="Times New Roman"/>
                <w:noProof/>
                <w:sz w:val="18"/>
                <w:szCs w:val="18"/>
              </w:rPr>
            </w:pPr>
          </w:p>
        </w:tc>
        <w:tc>
          <w:tcPr>
            <w:tcW w:w="1440" w:type="dxa"/>
            <w:gridSpan w:val="2"/>
            <w:tcBorders>
              <w:left w:val="dotted" w:sz="4" w:space="0" w:color="auto"/>
              <w:bottom w:val="double" w:sz="4" w:space="0" w:color="auto"/>
              <w:right w:val="double" w:sz="4" w:space="0" w:color="auto"/>
            </w:tcBorders>
            <w:shd w:val="clear" w:color="auto" w:fill="auto"/>
            <w:noWrap/>
          </w:tcPr>
          <w:p>
            <w:pPr>
              <w:spacing w:before="60" w:after="60" w:line="240" w:lineRule="auto"/>
              <w:jc w:val="right"/>
              <w:rPr>
                <w:rFonts w:ascii="Times New Roman" w:eastAsia="Times New Roman" w:hAnsi="Times New Roman"/>
                <w:noProof/>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7"/>
        </w:trPr>
        <w:tc>
          <w:tcPr>
            <w:tcW w:w="8940" w:type="dxa"/>
            <w:gridSpan w:val="6"/>
            <w:tcBorders>
              <w:top w:val="double" w:sz="4" w:space="0" w:color="auto"/>
              <w:left w:val="nil"/>
              <w:bottom w:val="nil"/>
              <w:right w:val="nil"/>
            </w:tcBorders>
            <w:shd w:val="clear" w:color="auto" w:fill="auto"/>
          </w:tcPr>
          <w:p>
            <w:pPr>
              <w:tabs>
                <w:tab w:val="left" w:pos="372"/>
              </w:tabs>
              <w:spacing w:after="0" w:line="240" w:lineRule="auto"/>
              <w:ind w:left="372" w:hanging="372"/>
              <w:jc w:val="both"/>
              <w:rPr>
                <w:rFonts w:ascii="Times New Roman" w:eastAsia="Times New Roman" w:hAnsi="Times New Roman"/>
                <w:noProof/>
                <w:sz w:val="18"/>
                <w:szCs w:val="18"/>
              </w:rPr>
            </w:pPr>
            <w:r>
              <w:rPr>
                <w:rFonts w:ascii="Times New Roman" w:hAnsi="Times New Roman"/>
                <w:noProof/>
                <w:sz w:val="18"/>
              </w:rPr>
              <w:t>(1)</w:t>
            </w:r>
            <w:r>
              <w:rPr>
                <w:noProof/>
              </w:rPr>
              <w:tab/>
            </w:r>
            <w:r>
              <w:rPr>
                <w:rFonts w:ascii="Times New Roman" w:hAnsi="Times New Roman"/>
                <w:noProof/>
                <w:sz w:val="18"/>
              </w:rPr>
              <w:t>Бюджетни кредити, вписани в бюджета за 2016 г. след приспадане на очакваните постъпления от целеви приходи през 2016 г. и на целевите приходи, пренесени от 2015 г. към 2016 г. в съответствие с член 14 от Регламент (ЕС, Евратом) № 966/2012.</w:t>
            </w:r>
          </w:p>
          <w:p>
            <w:pPr>
              <w:tabs>
                <w:tab w:val="left" w:pos="372"/>
              </w:tabs>
              <w:spacing w:after="0" w:line="240" w:lineRule="auto"/>
              <w:ind w:left="372" w:hanging="372"/>
              <w:jc w:val="both"/>
              <w:rPr>
                <w:rFonts w:ascii="Times New Roman" w:eastAsia="Times New Roman" w:hAnsi="Times New Roman"/>
                <w:noProof/>
                <w:sz w:val="18"/>
                <w:szCs w:val="18"/>
              </w:rPr>
            </w:pPr>
            <w:r>
              <w:rPr>
                <w:rFonts w:ascii="Times New Roman" w:hAnsi="Times New Roman"/>
                <w:noProof/>
                <w:sz w:val="18"/>
              </w:rPr>
              <w:t>(2)</w:t>
            </w:r>
            <w:r>
              <w:rPr>
                <w:noProof/>
              </w:rPr>
              <w:tab/>
            </w:r>
            <w:r>
              <w:rPr>
                <w:rFonts w:ascii="Times New Roman" w:hAnsi="Times New Roman"/>
                <w:noProof/>
                <w:sz w:val="18"/>
              </w:rPr>
              <w:t>ЦП: Целеви приходи, които се очаква да постъпят. В ред „Приходи“ (p.m.) не са вписани суми от приходи, но прогнозираната сума е посочена в коментарите по бюджетните редове.</w:t>
            </w:r>
          </w:p>
        </w:tc>
      </w:tr>
    </w:tbl>
    <w:p>
      <w:pPr>
        <w:pStyle w:val="ManualHeading3"/>
        <w:rPr>
          <w:noProof/>
        </w:rPr>
      </w:pPr>
      <w:r>
        <w:t>2.1.2.</w:t>
      </w:r>
      <w:r>
        <w:tab/>
      </w:r>
      <w:r>
        <w:rPr>
          <w:noProof/>
        </w:rPr>
        <w:t>Усвояване на разполагаемите бюджетни кредити за 2016 бюджетна година</w:t>
      </w:r>
      <w:bookmarkStart w:id="24" w:name="_Toc322938569"/>
      <w:bookmarkStart w:id="25" w:name="_Toc358122341"/>
      <w:bookmarkEnd w:id="22"/>
      <w:bookmarkEnd w:id="23"/>
    </w:p>
    <w:tbl>
      <w:tblPr>
        <w:tblW w:w="7920" w:type="dxa"/>
        <w:tblInd w:w="948" w:type="dxa"/>
        <w:tblLayout w:type="fixed"/>
        <w:tblLook w:val="01E0" w:firstRow="1" w:lastRow="1" w:firstColumn="1" w:lastColumn="1" w:noHBand="0" w:noVBand="0"/>
      </w:tblPr>
      <w:tblGrid>
        <w:gridCol w:w="1680"/>
        <w:gridCol w:w="840"/>
        <w:gridCol w:w="2310"/>
        <w:gridCol w:w="426"/>
        <w:gridCol w:w="1824"/>
        <w:gridCol w:w="302"/>
        <w:gridCol w:w="538"/>
      </w:tblGrid>
      <w:tr>
        <w:tc>
          <w:tcPr>
            <w:tcW w:w="1680" w:type="dxa"/>
          </w:tcPr>
          <w:p>
            <w:pPr>
              <w:keepNext/>
              <w:keepLines/>
              <w:spacing w:after="0" w:line="240" w:lineRule="auto"/>
              <w:jc w:val="right"/>
              <w:rPr>
                <w:rFonts w:ascii="Times New Roman" w:eastAsia="Times New Roman" w:hAnsi="Times New Roman"/>
                <w:i/>
                <w:noProof/>
                <w:sz w:val="20"/>
                <w:szCs w:val="24"/>
              </w:rPr>
            </w:pPr>
          </w:p>
        </w:tc>
        <w:tc>
          <w:tcPr>
            <w:tcW w:w="5400" w:type="dxa"/>
            <w:gridSpan w:val="4"/>
            <w:shd w:val="clear" w:color="auto" w:fill="auto"/>
          </w:tcPr>
          <w:p>
            <w:pPr>
              <w:keepNext/>
              <w:keepLines/>
              <w:spacing w:after="0" w:line="240" w:lineRule="auto"/>
              <w:jc w:val="right"/>
              <w:rPr>
                <w:rFonts w:ascii="Times New Roman" w:eastAsia="Times New Roman" w:hAnsi="Times New Roman"/>
                <w:i/>
                <w:noProof/>
                <w:sz w:val="20"/>
                <w:szCs w:val="24"/>
              </w:rPr>
            </w:pPr>
          </w:p>
        </w:tc>
        <w:tc>
          <w:tcPr>
            <w:tcW w:w="840" w:type="dxa"/>
            <w:gridSpan w:val="2"/>
          </w:tcPr>
          <w:p>
            <w:pPr>
              <w:keepNext/>
              <w:keepLines/>
              <w:spacing w:after="0" w:line="240" w:lineRule="auto"/>
              <w:jc w:val="right"/>
              <w:rPr>
                <w:rFonts w:ascii="Times New Roman" w:eastAsia="Times New Roman" w:hAnsi="Times New Roman"/>
                <w:i/>
                <w:noProof/>
                <w:sz w:val="20"/>
                <w:szCs w:val="24"/>
              </w:rPr>
            </w:pPr>
            <w:r>
              <w:rPr>
                <w:rFonts w:ascii="Times New Roman" w:hAnsi="Times New Roman"/>
                <w:i/>
                <w:noProof/>
                <w:sz w:val="20"/>
              </w:rPr>
              <w:t>В EUR</w:t>
            </w:r>
          </w:p>
        </w:tc>
      </w:tr>
      <w:tr>
        <w:tblPrEx>
          <w:tblLook w:val="0000" w:firstRow="0" w:lastRow="0" w:firstColumn="0" w:lastColumn="0" w:noHBand="0" w:noVBand="0"/>
        </w:tblPrEx>
        <w:trPr>
          <w:trHeight w:val="525"/>
        </w:trPr>
        <w:tc>
          <w:tcPr>
            <w:tcW w:w="2520" w:type="dxa"/>
            <w:gridSpan w:val="2"/>
            <w:tcBorders>
              <w:top w:val="double" w:sz="4" w:space="0" w:color="auto"/>
              <w:left w:val="double" w:sz="4" w:space="0" w:color="auto"/>
              <w:bottom w:val="single" w:sz="4" w:space="0" w:color="auto"/>
              <w:right w:val="single" w:sz="4" w:space="0" w:color="auto"/>
            </w:tcBorders>
            <w:shd w:val="clear" w:color="auto" w:fill="99CC00"/>
            <w:noWrap/>
          </w:tcPr>
          <w:p>
            <w:pPr>
              <w:spacing w:before="240" w:after="60" w:line="240" w:lineRule="auto"/>
              <w:jc w:val="center"/>
              <w:rPr>
                <w:rFonts w:ascii="Times New Roman" w:eastAsia="Times New Roman" w:hAnsi="Times New Roman"/>
                <w:b/>
                <w:bCs/>
                <w:noProof/>
                <w:sz w:val="24"/>
                <w:szCs w:val="24"/>
              </w:rPr>
            </w:pPr>
          </w:p>
        </w:tc>
        <w:tc>
          <w:tcPr>
            <w:tcW w:w="2736" w:type="dxa"/>
            <w:gridSpan w:val="2"/>
            <w:tcBorders>
              <w:top w:val="double" w:sz="4" w:space="0" w:color="auto"/>
              <w:left w:val="single" w:sz="4" w:space="0" w:color="auto"/>
              <w:bottom w:val="single" w:sz="4" w:space="0" w:color="auto"/>
              <w:right w:val="single" w:sz="4" w:space="0" w:color="auto"/>
            </w:tcBorders>
            <w:shd w:val="clear" w:color="auto" w:fill="99CC00"/>
            <w:vAlign w:val="center"/>
          </w:tcPr>
          <w:p>
            <w:pPr>
              <w:spacing w:after="0" w:line="240" w:lineRule="auto"/>
              <w:jc w:val="center"/>
              <w:rPr>
                <w:rFonts w:ascii="Times New Roman" w:eastAsia="Times New Roman" w:hAnsi="Times New Roman"/>
                <w:b/>
                <w:noProof/>
                <w:sz w:val="18"/>
                <w:szCs w:val="18"/>
              </w:rPr>
            </w:pPr>
            <w:r>
              <w:rPr>
                <w:rFonts w:ascii="Times New Roman" w:hAnsi="Times New Roman"/>
                <w:b/>
                <w:noProof/>
                <w:sz w:val="18"/>
              </w:rPr>
              <w:t>Усвояване на бюджетните кредити за поети задължения</w:t>
            </w:r>
          </w:p>
        </w:tc>
        <w:tc>
          <w:tcPr>
            <w:tcW w:w="2664" w:type="dxa"/>
            <w:gridSpan w:val="3"/>
            <w:tcBorders>
              <w:top w:val="double" w:sz="4" w:space="0" w:color="auto"/>
              <w:left w:val="single" w:sz="4" w:space="0" w:color="auto"/>
              <w:bottom w:val="single" w:sz="4" w:space="0" w:color="auto"/>
              <w:right w:val="double" w:sz="4" w:space="0" w:color="auto"/>
            </w:tcBorders>
            <w:shd w:val="clear" w:color="auto" w:fill="99CC00"/>
            <w:vAlign w:val="center"/>
          </w:tcPr>
          <w:p>
            <w:pPr>
              <w:spacing w:after="0" w:line="240" w:lineRule="auto"/>
              <w:jc w:val="center"/>
              <w:rPr>
                <w:rFonts w:ascii="Times New Roman" w:eastAsia="Times New Roman" w:hAnsi="Times New Roman"/>
                <w:b/>
                <w:noProof/>
                <w:sz w:val="18"/>
                <w:szCs w:val="18"/>
              </w:rPr>
            </w:pPr>
            <w:r>
              <w:rPr>
                <w:rFonts w:ascii="Times New Roman" w:hAnsi="Times New Roman"/>
                <w:b/>
                <w:noProof/>
                <w:sz w:val="18"/>
              </w:rPr>
              <w:t>Усвояване на бюджетните кредити за плащания</w:t>
            </w:r>
          </w:p>
        </w:tc>
      </w:tr>
      <w:tr>
        <w:tblPrEx>
          <w:tblLook w:val="0000" w:firstRow="0" w:lastRow="0" w:firstColumn="0" w:lastColumn="0" w:noHBand="0" w:noVBand="0"/>
        </w:tblPrEx>
        <w:trPr>
          <w:trHeight w:val="540"/>
        </w:trPr>
        <w:tc>
          <w:tcPr>
            <w:tcW w:w="2520" w:type="dxa"/>
            <w:gridSpan w:val="2"/>
            <w:tcBorders>
              <w:top w:val="single" w:sz="4" w:space="0" w:color="auto"/>
              <w:left w:val="double" w:sz="6" w:space="0" w:color="auto"/>
              <w:bottom w:val="nil"/>
              <w:right w:val="nil"/>
            </w:tcBorders>
            <w:shd w:val="clear" w:color="auto" w:fill="auto"/>
          </w:tcPr>
          <w:p>
            <w:pPr>
              <w:spacing w:before="300" w:after="60" w:line="240" w:lineRule="auto"/>
              <w:rPr>
                <w:rFonts w:ascii="Times New Roman" w:eastAsia="Times New Roman" w:hAnsi="Times New Roman"/>
                <w:noProof/>
                <w:sz w:val="20"/>
                <w:szCs w:val="20"/>
              </w:rPr>
            </w:pPr>
            <w:r>
              <w:rPr>
                <w:rFonts w:ascii="Times New Roman" w:hAnsi="Times New Roman"/>
                <w:noProof/>
                <w:sz w:val="20"/>
              </w:rPr>
              <w:t>Споделено управление (1)</w:t>
            </w:r>
          </w:p>
        </w:tc>
        <w:tc>
          <w:tcPr>
            <w:tcW w:w="2310" w:type="dxa"/>
            <w:tcBorders>
              <w:top w:val="single" w:sz="4" w:space="0" w:color="auto"/>
              <w:left w:val="single" w:sz="4" w:space="0" w:color="auto"/>
            </w:tcBorders>
            <w:shd w:val="clear" w:color="auto" w:fill="auto"/>
            <w:noWrap/>
          </w:tcPr>
          <w:p>
            <w:pPr>
              <w:tabs>
                <w:tab w:val="left" w:pos="502"/>
              </w:tabs>
              <w:spacing w:before="300" w:after="60" w:line="240" w:lineRule="auto"/>
              <w:jc w:val="right"/>
              <w:rPr>
                <w:rFonts w:ascii="Times New Roman" w:eastAsia="Times New Roman" w:hAnsi="Times New Roman"/>
                <w:noProof/>
                <w:sz w:val="18"/>
                <w:szCs w:val="18"/>
              </w:rPr>
            </w:pPr>
            <w:r>
              <w:rPr>
                <w:rFonts w:ascii="Times New Roman" w:hAnsi="Times New Roman"/>
                <w:noProof/>
                <w:sz w:val="18"/>
              </w:rPr>
              <w:t>44 221 202 321,60</w:t>
            </w:r>
          </w:p>
        </w:tc>
        <w:tc>
          <w:tcPr>
            <w:tcW w:w="426" w:type="dxa"/>
            <w:tcBorders>
              <w:top w:val="single" w:sz="4" w:space="0" w:color="auto"/>
              <w:right w:val="single" w:sz="4" w:space="0" w:color="auto"/>
            </w:tcBorders>
          </w:tcPr>
          <w:p>
            <w:pPr>
              <w:spacing w:before="300" w:after="60" w:line="240" w:lineRule="auto"/>
              <w:jc w:val="right"/>
              <w:rPr>
                <w:rFonts w:ascii="Times New Roman" w:eastAsia="Times New Roman" w:hAnsi="Times New Roman"/>
                <w:noProof/>
                <w:color w:val="FF0000"/>
                <w:sz w:val="18"/>
                <w:szCs w:val="18"/>
              </w:rPr>
            </w:pPr>
          </w:p>
        </w:tc>
        <w:tc>
          <w:tcPr>
            <w:tcW w:w="2126" w:type="dxa"/>
            <w:gridSpan w:val="2"/>
            <w:tcBorders>
              <w:top w:val="single" w:sz="4" w:space="0" w:color="auto"/>
              <w:left w:val="single" w:sz="4" w:space="0" w:color="auto"/>
            </w:tcBorders>
            <w:shd w:val="clear" w:color="auto" w:fill="auto"/>
            <w:noWrap/>
          </w:tcPr>
          <w:p>
            <w:pPr>
              <w:spacing w:before="300" w:after="60" w:line="240" w:lineRule="auto"/>
              <w:jc w:val="right"/>
              <w:rPr>
                <w:rFonts w:ascii="Times New Roman" w:eastAsia="Times New Roman" w:hAnsi="Times New Roman"/>
                <w:noProof/>
                <w:sz w:val="18"/>
                <w:szCs w:val="18"/>
              </w:rPr>
            </w:pPr>
            <w:r>
              <w:rPr>
                <w:rFonts w:ascii="Times New Roman" w:hAnsi="Times New Roman"/>
                <w:noProof/>
                <w:sz w:val="18"/>
              </w:rPr>
              <w:t>44 221 202 321,60</w:t>
            </w:r>
          </w:p>
        </w:tc>
        <w:tc>
          <w:tcPr>
            <w:tcW w:w="538" w:type="dxa"/>
            <w:tcBorders>
              <w:top w:val="single" w:sz="4" w:space="0" w:color="auto"/>
              <w:right w:val="double" w:sz="6" w:space="0" w:color="auto"/>
            </w:tcBorders>
          </w:tcPr>
          <w:p>
            <w:pPr>
              <w:spacing w:before="300" w:after="60" w:line="240" w:lineRule="auto"/>
              <w:jc w:val="right"/>
              <w:rPr>
                <w:rFonts w:ascii="Times New Roman" w:eastAsia="Times New Roman" w:hAnsi="Times New Roman"/>
                <w:noProof/>
                <w:color w:val="FF0000"/>
                <w:sz w:val="18"/>
                <w:szCs w:val="18"/>
              </w:rPr>
            </w:pPr>
          </w:p>
        </w:tc>
      </w:tr>
      <w:tr>
        <w:tblPrEx>
          <w:tblLook w:val="0000" w:firstRow="0" w:lastRow="0" w:firstColumn="0" w:lastColumn="0" w:noHBand="0" w:noVBand="0"/>
        </w:tblPrEx>
        <w:trPr>
          <w:trHeight w:val="495"/>
        </w:trPr>
        <w:tc>
          <w:tcPr>
            <w:tcW w:w="2520" w:type="dxa"/>
            <w:gridSpan w:val="2"/>
            <w:tcBorders>
              <w:top w:val="nil"/>
              <w:left w:val="double" w:sz="6" w:space="0" w:color="auto"/>
              <w:bottom w:val="nil"/>
              <w:right w:val="nil"/>
            </w:tcBorders>
            <w:shd w:val="clear" w:color="auto" w:fill="auto"/>
          </w:tcPr>
          <w:p>
            <w:pPr>
              <w:spacing w:after="0" w:line="240" w:lineRule="auto"/>
              <w:rPr>
                <w:rFonts w:ascii="Times New Roman" w:eastAsia="Times New Roman" w:hAnsi="Times New Roman"/>
                <w:noProof/>
                <w:sz w:val="20"/>
                <w:szCs w:val="20"/>
              </w:rPr>
            </w:pPr>
            <w:r>
              <w:rPr>
                <w:rFonts w:ascii="Times New Roman" w:hAnsi="Times New Roman"/>
                <w:noProof/>
                <w:sz w:val="20"/>
              </w:rPr>
              <w:t>Разходи при пряко управление</w:t>
            </w:r>
          </w:p>
        </w:tc>
        <w:tc>
          <w:tcPr>
            <w:tcW w:w="2310" w:type="dxa"/>
            <w:tcBorders>
              <w:left w:val="single" w:sz="4" w:space="0" w:color="auto"/>
            </w:tcBorders>
            <w:shd w:val="clear" w:color="auto" w:fill="auto"/>
            <w:noWrap/>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63 907 387,76</w:t>
            </w:r>
          </w:p>
        </w:tc>
        <w:tc>
          <w:tcPr>
            <w:tcW w:w="426" w:type="dxa"/>
            <w:tcBorders>
              <w:right w:val="single" w:sz="4" w:space="0" w:color="auto"/>
            </w:tcBorders>
          </w:tcPr>
          <w:p>
            <w:pPr>
              <w:spacing w:after="0" w:line="240" w:lineRule="auto"/>
              <w:jc w:val="right"/>
              <w:rPr>
                <w:rFonts w:ascii="Times New Roman" w:eastAsia="Times New Roman" w:hAnsi="Times New Roman"/>
                <w:noProof/>
                <w:color w:val="FF0000"/>
                <w:sz w:val="18"/>
                <w:szCs w:val="18"/>
              </w:rPr>
            </w:pPr>
          </w:p>
        </w:tc>
        <w:tc>
          <w:tcPr>
            <w:tcW w:w="2126" w:type="dxa"/>
            <w:gridSpan w:val="2"/>
            <w:tcBorders>
              <w:left w:val="single" w:sz="4" w:space="0" w:color="auto"/>
            </w:tcBorders>
            <w:shd w:val="clear" w:color="auto" w:fill="auto"/>
            <w:noWrap/>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xml:space="preserve">48 052 725,41 </w:t>
            </w:r>
          </w:p>
        </w:tc>
        <w:tc>
          <w:tcPr>
            <w:tcW w:w="538" w:type="dxa"/>
            <w:tcBorders>
              <w:right w:val="double" w:sz="6" w:space="0" w:color="auto"/>
            </w:tcBorders>
          </w:tcPr>
          <w:p>
            <w:pPr>
              <w:spacing w:after="0" w:line="240" w:lineRule="auto"/>
              <w:jc w:val="right"/>
              <w:rPr>
                <w:rFonts w:ascii="Times New Roman" w:eastAsia="Times New Roman" w:hAnsi="Times New Roman"/>
                <w:noProof/>
                <w:color w:val="FF0000"/>
                <w:sz w:val="18"/>
                <w:szCs w:val="18"/>
              </w:rPr>
            </w:pPr>
          </w:p>
        </w:tc>
      </w:tr>
      <w:tr>
        <w:tblPrEx>
          <w:tblLook w:val="0000" w:firstRow="0" w:lastRow="0" w:firstColumn="0" w:lastColumn="0" w:noHBand="0" w:noVBand="0"/>
        </w:tblPrEx>
        <w:trPr>
          <w:trHeight w:val="360"/>
        </w:trPr>
        <w:tc>
          <w:tcPr>
            <w:tcW w:w="2520" w:type="dxa"/>
            <w:gridSpan w:val="2"/>
            <w:tcBorders>
              <w:top w:val="nil"/>
              <w:left w:val="double" w:sz="6" w:space="0" w:color="auto"/>
              <w:bottom w:val="double" w:sz="6" w:space="0" w:color="auto"/>
              <w:right w:val="nil"/>
            </w:tcBorders>
            <w:shd w:val="clear" w:color="auto" w:fill="auto"/>
            <w:noWrap/>
          </w:tcPr>
          <w:p>
            <w:pPr>
              <w:spacing w:after="0" w:line="240" w:lineRule="auto"/>
              <w:rPr>
                <w:rFonts w:ascii="Times New Roman" w:eastAsia="Times New Roman" w:hAnsi="Times New Roman"/>
                <w:i/>
                <w:noProof/>
                <w:sz w:val="20"/>
                <w:szCs w:val="20"/>
              </w:rPr>
            </w:pPr>
            <w:r>
              <w:rPr>
                <w:rFonts w:ascii="Times New Roman" w:hAnsi="Times New Roman"/>
                <w:b/>
                <w:noProof/>
                <w:sz w:val="20"/>
              </w:rPr>
              <w:t>Общо</w:t>
            </w:r>
          </w:p>
          <w:p>
            <w:pPr>
              <w:spacing w:after="0" w:line="240" w:lineRule="auto"/>
              <w:rPr>
                <w:rFonts w:ascii="Arial Narrow" w:eastAsia="Times New Roman" w:hAnsi="Arial Narrow"/>
                <w:b/>
                <w:noProof/>
                <w:sz w:val="20"/>
                <w:szCs w:val="20"/>
              </w:rPr>
            </w:pPr>
          </w:p>
        </w:tc>
        <w:tc>
          <w:tcPr>
            <w:tcW w:w="2310" w:type="dxa"/>
            <w:tcBorders>
              <w:left w:val="single" w:sz="4" w:space="0" w:color="auto"/>
              <w:bottom w:val="double" w:sz="6" w:space="0" w:color="auto"/>
            </w:tcBorders>
            <w:shd w:val="clear" w:color="auto" w:fill="auto"/>
            <w:noWrap/>
          </w:tcPr>
          <w:p>
            <w:pPr>
              <w:tabs>
                <w:tab w:val="center" w:pos="1712"/>
              </w:tabs>
              <w:spacing w:after="0" w:line="240" w:lineRule="auto"/>
              <w:ind w:left="54" w:right="48" w:firstLine="337"/>
              <w:jc w:val="right"/>
              <w:rPr>
                <w:rFonts w:ascii="Times New Roman" w:eastAsia="Times New Roman" w:hAnsi="Times New Roman"/>
                <w:b/>
                <w:noProof/>
                <w:sz w:val="18"/>
                <w:szCs w:val="18"/>
              </w:rPr>
            </w:pPr>
            <w:r>
              <w:rPr>
                <w:rFonts w:ascii="Times New Roman" w:hAnsi="Times New Roman"/>
                <w:b/>
                <w:noProof/>
                <w:sz w:val="18"/>
              </w:rPr>
              <w:t>44 285 109 709,36</w:t>
            </w:r>
          </w:p>
        </w:tc>
        <w:tc>
          <w:tcPr>
            <w:tcW w:w="426" w:type="dxa"/>
            <w:tcBorders>
              <w:bottom w:val="double" w:sz="6" w:space="0" w:color="auto"/>
              <w:right w:val="single" w:sz="4" w:space="0" w:color="auto"/>
            </w:tcBorders>
          </w:tcPr>
          <w:p>
            <w:pPr>
              <w:spacing w:after="0" w:line="240" w:lineRule="auto"/>
              <w:jc w:val="right"/>
              <w:rPr>
                <w:rFonts w:ascii="Times New Roman" w:eastAsia="Times New Roman" w:hAnsi="Times New Roman"/>
                <w:b/>
                <w:noProof/>
                <w:sz w:val="18"/>
                <w:szCs w:val="18"/>
              </w:rPr>
            </w:pPr>
          </w:p>
        </w:tc>
        <w:tc>
          <w:tcPr>
            <w:tcW w:w="2126" w:type="dxa"/>
            <w:gridSpan w:val="2"/>
            <w:tcBorders>
              <w:left w:val="single" w:sz="4" w:space="0" w:color="auto"/>
              <w:bottom w:val="double" w:sz="6" w:space="0" w:color="auto"/>
            </w:tcBorders>
            <w:shd w:val="clear" w:color="auto" w:fill="auto"/>
            <w:noWrap/>
          </w:tcPr>
          <w:p>
            <w:pPr>
              <w:spacing w:after="0" w:line="240" w:lineRule="auto"/>
              <w:jc w:val="right"/>
              <w:rPr>
                <w:rFonts w:ascii="Times New Roman" w:eastAsia="Times New Roman" w:hAnsi="Times New Roman"/>
                <w:b/>
                <w:noProof/>
                <w:sz w:val="18"/>
                <w:szCs w:val="18"/>
              </w:rPr>
            </w:pPr>
            <w:r>
              <w:rPr>
                <w:rFonts w:ascii="Times New Roman" w:hAnsi="Times New Roman"/>
                <w:b/>
                <w:noProof/>
                <w:sz w:val="18"/>
              </w:rPr>
              <w:t xml:space="preserve">44 269 255 047,01 </w:t>
            </w:r>
          </w:p>
        </w:tc>
        <w:tc>
          <w:tcPr>
            <w:tcW w:w="538" w:type="dxa"/>
            <w:tcBorders>
              <w:bottom w:val="double" w:sz="6" w:space="0" w:color="auto"/>
              <w:right w:val="double" w:sz="6" w:space="0" w:color="auto"/>
            </w:tcBorders>
          </w:tcPr>
          <w:p>
            <w:pPr>
              <w:spacing w:after="0" w:line="240" w:lineRule="auto"/>
              <w:jc w:val="right"/>
              <w:rPr>
                <w:rFonts w:ascii="Times New Roman" w:eastAsia="Times New Roman" w:hAnsi="Times New Roman"/>
                <w:b/>
                <w:noProof/>
                <w:color w:val="FF0000"/>
                <w:sz w:val="18"/>
                <w:szCs w:val="18"/>
              </w:rPr>
            </w:pPr>
          </w:p>
        </w:tc>
      </w:tr>
    </w:tbl>
    <w:p>
      <w:pPr>
        <w:spacing w:after="0" w:line="240" w:lineRule="auto"/>
        <w:ind w:left="720" w:hanging="11"/>
        <w:jc w:val="both"/>
        <w:rPr>
          <w:rFonts w:ascii="Times New Roman" w:eastAsia="Times New Roman" w:hAnsi="Times New Roman"/>
          <w:noProof/>
          <w:sz w:val="18"/>
          <w:szCs w:val="18"/>
        </w:rPr>
      </w:pPr>
      <w:r>
        <w:rPr>
          <w:rFonts w:ascii="Times New Roman" w:hAnsi="Times New Roman"/>
          <w:noProof/>
          <w:sz w:val="18"/>
        </w:rPr>
        <w:t xml:space="preserve"> (1) Суми, за които е поето задължение. Поети задължения и извършени плащания минус целеви приходи в размер на 2 527 141 771,95 EUR (вж. точка 4 и приложение 3-I), получени за споделено управление: 41 694 060 549,65 EUR.</w:t>
      </w:r>
    </w:p>
    <w:p>
      <w:pPr>
        <w:spacing w:before="120" w:after="120" w:line="240" w:lineRule="auto"/>
        <w:ind w:left="850"/>
        <w:jc w:val="both"/>
        <w:rPr>
          <w:rFonts w:ascii="Times New Roman" w:eastAsia="MS PGothic" w:hAnsi="Times New Roman"/>
          <w:noProof/>
          <w:sz w:val="24"/>
          <w:szCs w:val="24"/>
        </w:rPr>
      </w:pPr>
      <w:r>
        <w:rPr>
          <w:rFonts w:ascii="Times New Roman" w:hAnsi="Times New Roman"/>
          <w:noProof/>
          <w:sz w:val="24"/>
        </w:rPr>
        <w:t xml:space="preserve">За 2016 бюджетна година действително усвоените бюджетни кредити за поети задължения възлизат на 44 285 109 709,36 EUR, а действително усвоените бюджетни кредити за плащания — на 44 269 255 047,01 EUR. </w:t>
      </w:r>
    </w:p>
    <w:p>
      <w:pPr>
        <w:spacing w:before="120" w:after="120" w:line="240" w:lineRule="auto"/>
        <w:ind w:left="850"/>
        <w:jc w:val="both"/>
        <w:rPr>
          <w:rFonts w:ascii="Times New Roman" w:eastAsia="MS PGothic" w:hAnsi="Times New Roman"/>
          <w:noProof/>
          <w:sz w:val="24"/>
          <w:szCs w:val="24"/>
        </w:rPr>
      </w:pPr>
      <w:r>
        <w:rPr>
          <w:rFonts w:ascii="Times New Roman" w:hAnsi="Times New Roman"/>
          <w:noProof/>
          <w:sz w:val="24"/>
        </w:rPr>
        <w:t>Изплатената сума (44 084 495 379,84 EUR) беше по-малка поради спрените суми за Франция и Полша.</w:t>
      </w:r>
    </w:p>
    <w:p>
      <w:pPr>
        <w:pStyle w:val="ManualHeading3"/>
        <w:rPr>
          <w:bCs/>
          <w:iCs/>
          <w:noProof/>
        </w:rPr>
      </w:pPr>
      <w:r>
        <w:t>2.1.3.</w:t>
      </w:r>
      <w:r>
        <w:tab/>
      </w:r>
      <w:r>
        <w:rPr>
          <w:noProof/>
        </w:rPr>
        <w:t>Усвояване на гласуваните бюджетни кредити — разходи при пряко управление, извършени от Комисията</w:t>
      </w:r>
      <w:bookmarkEnd w:id="24"/>
      <w:bookmarkEnd w:id="25"/>
      <w:r>
        <w:rPr>
          <w:noProof/>
        </w:rPr>
        <w:t xml:space="preserve"> </w:t>
      </w:r>
    </w:p>
    <w:tbl>
      <w:tblPr>
        <w:tblW w:w="8640" w:type="dxa"/>
        <w:tblInd w:w="948" w:type="dxa"/>
        <w:tblLayout w:type="fixed"/>
        <w:tblLook w:val="01E0" w:firstRow="1" w:lastRow="1" w:firstColumn="1" w:lastColumn="1" w:noHBand="0" w:noVBand="0"/>
      </w:tblPr>
      <w:tblGrid>
        <w:gridCol w:w="2280"/>
        <w:gridCol w:w="1560"/>
        <w:gridCol w:w="1440"/>
        <w:gridCol w:w="1560"/>
        <w:gridCol w:w="1440"/>
        <w:gridCol w:w="360"/>
      </w:tblGrid>
      <w:tr>
        <w:trPr>
          <w:gridAfter w:val="1"/>
          <w:wAfter w:w="360" w:type="dxa"/>
        </w:trPr>
        <w:tc>
          <w:tcPr>
            <w:tcW w:w="8280" w:type="dxa"/>
            <w:gridSpan w:val="5"/>
            <w:shd w:val="clear" w:color="auto" w:fill="auto"/>
          </w:tcPr>
          <w:p>
            <w:pPr>
              <w:keepNext/>
              <w:keepLines/>
              <w:spacing w:after="0" w:line="240" w:lineRule="auto"/>
              <w:jc w:val="right"/>
              <w:rPr>
                <w:rFonts w:ascii="Times New Roman" w:eastAsia="Times New Roman" w:hAnsi="Times New Roman"/>
                <w:i/>
                <w:noProof/>
                <w:sz w:val="20"/>
                <w:szCs w:val="24"/>
              </w:rPr>
            </w:pPr>
            <w:bookmarkStart w:id="26" w:name="_Toc322938571"/>
            <w:bookmarkStart w:id="27" w:name="_Toc358122342"/>
            <w:r>
              <w:rPr>
                <w:rFonts w:ascii="Times New Roman" w:hAnsi="Times New Roman"/>
                <w:i/>
                <w:noProof/>
                <w:sz w:val="20"/>
              </w:rPr>
              <w:t>В EUR</w:t>
            </w:r>
          </w:p>
        </w:tc>
      </w:tr>
      <w:tr>
        <w:tblPrEx>
          <w:tblLook w:val="0000" w:firstRow="0" w:lastRow="0" w:firstColumn="0" w:lastColumn="0" w:noHBand="0" w:noVBand="0"/>
        </w:tblPrEx>
        <w:trPr>
          <w:trHeight w:val="450"/>
        </w:trPr>
        <w:tc>
          <w:tcPr>
            <w:tcW w:w="2280" w:type="dxa"/>
            <w:tcBorders>
              <w:top w:val="double" w:sz="4" w:space="0" w:color="auto"/>
              <w:left w:val="double" w:sz="4" w:space="0" w:color="auto"/>
              <w:bottom w:val="single" w:sz="4" w:space="0" w:color="auto"/>
            </w:tcBorders>
            <w:shd w:val="clear" w:color="auto" w:fill="99CC00"/>
            <w:noWrap/>
            <w:vAlign w:val="center"/>
          </w:tcPr>
          <w:p>
            <w:pPr>
              <w:spacing w:after="0" w:line="240" w:lineRule="auto"/>
              <w:jc w:val="center"/>
              <w:rPr>
                <w:rFonts w:ascii="Times New Roman" w:eastAsia="Times New Roman" w:hAnsi="Times New Roman"/>
                <w:noProof/>
                <w:sz w:val="20"/>
                <w:szCs w:val="20"/>
              </w:rPr>
            </w:pPr>
            <w:r>
              <w:rPr>
                <w:rFonts w:ascii="Times New Roman" w:hAnsi="Times New Roman"/>
                <w:b/>
                <w:noProof/>
                <w:sz w:val="20"/>
              </w:rPr>
              <w:t>Разходи при пряко управление</w:t>
            </w:r>
          </w:p>
        </w:tc>
        <w:tc>
          <w:tcPr>
            <w:tcW w:w="1560" w:type="dxa"/>
            <w:tcBorders>
              <w:top w:val="double" w:sz="4" w:space="0" w:color="auto"/>
              <w:bottom w:val="single" w:sz="4" w:space="0" w:color="auto"/>
            </w:tcBorders>
            <w:shd w:val="clear" w:color="auto" w:fill="99CC00"/>
            <w:noWrap/>
            <w:vAlign w:val="center"/>
          </w:tcPr>
          <w:p>
            <w:pPr>
              <w:spacing w:after="160" w:line="240" w:lineRule="auto"/>
              <w:jc w:val="center"/>
              <w:rPr>
                <w:rFonts w:ascii="Times New Roman" w:eastAsia="Times New Roman" w:hAnsi="Times New Roman"/>
                <w:bCs/>
                <w:noProof/>
                <w:sz w:val="18"/>
                <w:szCs w:val="18"/>
              </w:rPr>
            </w:pPr>
            <w:r>
              <w:rPr>
                <w:rFonts w:ascii="Times New Roman" w:hAnsi="Times New Roman"/>
                <w:noProof/>
                <w:sz w:val="18"/>
              </w:rPr>
              <w:t>Бюджетни кредити за поети задължения</w:t>
            </w:r>
          </w:p>
        </w:tc>
        <w:tc>
          <w:tcPr>
            <w:tcW w:w="1440" w:type="dxa"/>
            <w:tcBorders>
              <w:top w:val="double" w:sz="4" w:space="0" w:color="auto"/>
              <w:bottom w:val="single" w:sz="4" w:space="0" w:color="auto"/>
            </w:tcBorders>
            <w:shd w:val="clear" w:color="auto" w:fill="99CC00"/>
            <w:noWrap/>
            <w:vAlign w:val="center"/>
          </w:tcPr>
          <w:p>
            <w:pPr>
              <w:spacing w:after="160" w:line="240" w:lineRule="auto"/>
              <w:jc w:val="center"/>
              <w:rPr>
                <w:rFonts w:ascii="Times New Roman" w:eastAsia="Times New Roman" w:hAnsi="Times New Roman"/>
                <w:bCs/>
                <w:noProof/>
                <w:sz w:val="18"/>
                <w:szCs w:val="18"/>
              </w:rPr>
            </w:pPr>
            <w:r>
              <w:rPr>
                <w:rFonts w:ascii="Times New Roman" w:hAnsi="Times New Roman"/>
                <w:noProof/>
                <w:sz w:val="18"/>
              </w:rPr>
              <w:t>Отменени бюджетни кредити</w:t>
            </w:r>
          </w:p>
        </w:tc>
        <w:tc>
          <w:tcPr>
            <w:tcW w:w="1560" w:type="dxa"/>
            <w:tcBorders>
              <w:top w:val="double" w:sz="4" w:space="0" w:color="auto"/>
              <w:bottom w:val="single" w:sz="4" w:space="0" w:color="auto"/>
            </w:tcBorders>
            <w:shd w:val="clear" w:color="auto" w:fill="99CC00"/>
            <w:noWrap/>
            <w:vAlign w:val="center"/>
          </w:tcPr>
          <w:p>
            <w:pPr>
              <w:spacing w:after="160" w:line="240" w:lineRule="auto"/>
              <w:jc w:val="center"/>
              <w:rPr>
                <w:rFonts w:ascii="Times New Roman" w:eastAsia="Times New Roman" w:hAnsi="Times New Roman"/>
                <w:bCs/>
                <w:noProof/>
                <w:sz w:val="18"/>
                <w:szCs w:val="18"/>
              </w:rPr>
            </w:pPr>
            <w:r>
              <w:rPr>
                <w:rFonts w:ascii="Times New Roman" w:hAnsi="Times New Roman"/>
                <w:noProof/>
                <w:sz w:val="18"/>
              </w:rPr>
              <w:t>Бюджетни кредити за плащания</w:t>
            </w:r>
          </w:p>
        </w:tc>
        <w:tc>
          <w:tcPr>
            <w:tcW w:w="1800" w:type="dxa"/>
            <w:gridSpan w:val="2"/>
            <w:tcBorders>
              <w:top w:val="double" w:sz="4" w:space="0" w:color="auto"/>
              <w:bottom w:val="single" w:sz="4" w:space="0" w:color="auto"/>
              <w:right w:val="double" w:sz="4" w:space="0" w:color="auto"/>
            </w:tcBorders>
            <w:shd w:val="clear" w:color="auto" w:fill="99CC00"/>
            <w:vAlign w:val="center"/>
          </w:tcPr>
          <w:p>
            <w:pPr>
              <w:spacing w:before="240" w:after="0" w:line="240" w:lineRule="auto"/>
              <w:jc w:val="center"/>
              <w:rPr>
                <w:rFonts w:ascii="Times New Roman" w:eastAsia="Times New Roman" w:hAnsi="Times New Roman"/>
                <w:bCs/>
                <w:noProof/>
                <w:sz w:val="18"/>
                <w:szCs w:val="18"/>
              </w:rPr>
            </w:pPr>
            <w:r>
              <w:rPr>
                <w:rFonts w:ascii="Times New Roman" w:hAnsi="Times New Roman"/>
                <w:noProof/>
                <w:sz w:val="18"/>
              </w:rPr>
              <w:t>Пренасяне към 2017 г. (2)</w:t>
            </w:r>
          </w:p>
        </w:tc>
      </w:tr>
      <w:tr>
        <w:tblPrEx>
          <w:tblLook w:val="0000" w:firstRow="0" w:lastRow="0" w:firstColumn="0" w:lastColumn="0" w:noHBand="0" w:noVBand="0"/>
        </w:tblPrEx>
        <w:trPr>
          <w:trHeight w:val="255"/>
        </w:trPr>
        <w:tc>
          <w:tcPr>
            <w:tcW w:w="2280" w:type="dxa"/>
            <w:tcBorders>
              <w:top w:val="single" w:sz="4" w:space="0" w:color="auto"/>
              <w:left w:val="double" w:sz="4" w:space="0" w:color="auto"/>
            </w:tcBorders>
            <w:shd w:val="clear" w:color="auto" w:fill="auto"/>
            <w:noWrap/>
            <w:vAlign w:val="bottom"/>
          </w:tcPr>
          <w:p>
            <w:pPr>
              <w:spacing w:before="60" w:after="60" w:line="240" w:lineRule="auto"/>
              <w:rPr>
                <w:rFonts w:ascii="Times New Roman" w:eastAsia="Times New Roman" w:hAnsi="Times New Roman"/>
                <w:noProof/>
                <w:sz w:val="18"/>
                <w:szCs w:val="18"/>
              </w:rPr>
            </w:pPr>
            <w:r>
              <w:rPr>
                <w:rFonts w:ascii="Times New Roman" w:hAnsi="Times New Roman"/>
                <w:noProof/>
                <w:sz w:val="18"/>
              </w:rPr>
              <w:t>Бюджетни кредити (C1) (1)</w:t>
            </w:r>
          </w:p>
        </w:tc>
        <w:tc>
          <w:tcPr>
            <w:tcW w:w="1560" w:type="dxa"/>
            <w:tcBorders>
              <w:top w:val="sing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xml:space="preserve"> 69 404 884,00 </w:t>
            </w:r>
          </w:p>
        </w:tc>
        <w:tc>
          <w:tcPr>
            <w:tcW w:w="1440" w:type="dxa"/>
            <w:tcBorders>
              <w:top w:val="single" w:sz="4" w:space="0" w:color="auto"/>
            </w:tcBorders>
            <w:shd w:val="clear" w:color="auto" w:fill="auto"/>
            <w:noWrap/>
            <w:vAlign w:val="bottom"/>
          </w:tcPr>
          <w:p>
            <w:pPr>
              <w:spacing w:before="60" w:after="60" w:line="240" w:lineRule="auto"/>
              <w:jc w:val="center"/>
              <w:rPr>
                <w:rFonts w:ascii="Times New Roman" w:eastAsia="Times New Roman" w:hAnsi="Times New Roman"/>
                <w:noProof/>
                <w:sz w:val="18"/>
                <w:szCs w:val="18"/>
              </w:rPr>
            </w:pPr>
            <w:r>
              <w:rPr>
                <w:rFonts w:ascii="Times New Roman" w:hAnsi="Times New Roman"/>
                <w:noProof/>
                <w:sz w:val="18"/>
              </w:rPr>
              <w:t>—</w:t>
            </w:r>
          </w:p>
        </w:tc>
        <w:tc>
          <w:tcPr>
            <w:tcW w:w="1560" w:type="dxa"/>
            <w:tcBorders>
              <w:top w:val="sing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xml:space="preserve"> 60 871 357,00 </w:t>
            </w:r>
          </w:p>
        </w:tc>
        <w:tc>
          <w:tcPr>
            <w:tcW w:w="1800" w:type="dxa"/>
            <w:gridSpan w:val="2"/>
            <w:tcBorders>
              <w:top w:val="single" w:sz="4" w:space="0" w:color="auto"/>
              <w:right w:val="double" w:sz="4" w:space="0" w:color="auto"/>
            </w:tcBorders>
            <w:shd w:val="clear" w:color="auto" w:fill="auto"/>
            <w:noWrap/>
            <w:vAlign w:val="bottom"/>
          </w:tcPr>
          <w:p>
            <w:pPr>
              <w:spacing w:before="60" w:after="60" w:line="240" w:lineRule="auto"/>
              <w:jc w:val="center"/>
              <w:rPr>
                <w:rFonts w:ascii="Times New Roman" w:eastAsia="Times New Roman" w:hAnsi="Times New Roman"/>
                <w:noProof/>
                <w:sz w:val="18"/>
                <w:szCs w:val="18"/>
              </w:rPr>
            </w:pPr>
            <w:r>
              <w:rPr>
                <w:rFonts w:ascii="Times New Roman" w:hAnsi="Times New Roman"/>
                <w:noProof/>
                <w:sz w:val="18"/>
              </w:rPr>
              <w:t>—</w:t>
            </w:r>
          </w:p>
        </w:tc>
      </w:tr>
      <w:tr>
        <w:tblPrEx>
          <w:tblLook w:val="0000" w:firstRow="0" w:lastRow="0" w:firstColumn="0" w:lastColumn="0" w:noHBand="0" w:noVBand="0"/>
        </w:tblPrEx>
        <w:trPr>
          <w:trHeight w:val="255"/>
        </w:trPr>
        <w:tc>
          <w:tcPr>
            <w:tcW w:w="2280" w:type="dxa"/>
            <w:tcBorders>
              <w:left w:val="double" w:sz="4" w:space="0" w:color="auto"/>
            </w:tcBorders>
            <w:shd w:val="clear" w:color="auto" w:fill="auto"/>
            <w:noWrap/>
            <w:vAlign w:val="bottom"/>
          </w:tcPr>
          <w:p>
            <w:pPr>
              <w:spacing w:before="60" w:after="60" w:line="240" w:lineRule="auto"/>
              <w:rPr>
                <w:rFonts w:ascii="Times New Roman" w:eastAsia="Times New Roman" w:hAnsi="Times New Roman"/>
                <w:noProof/>
                <w:sz w:val="18"/>
                <w:szCs w:val="18"/>
              </w:rPr>
            </w:pPr>
            <w:r>
              <w:rPr>
                <w:rFonts w:ascii="Times New Roman" w:hAnsi="Times New Roman"/>
                <w:noProof/>
                <w:sz w:val="18"/>
              </w:rPr>
              <w:t>Усвояване (C1)</w:t>
            </w:r>
          </w:p>
        </w:tc>
        <w:tc>
          <w:tcPr>
            <w:tcW w:w="1560" w:type="dxa"/>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xml:space="preserve"> 63 907 387,76 </w:t>
            </w:r>
          </w:p>
        </w:tc>
        <w:tc>
          <w:tcPr>
            <w:tcW w:w="1440" w:type="dxa"/>
            <w:shd w:val="clear" w:color="auto" w:fill="auto"/>
            <w:noWrap/>
            <w:vAlign w:val="bottom"/>
          </w:tcPr>
          <w:p>
            <w:pPr>
              <w:spacing w:before="60" w:after="60" w:line="240" w:lineRule="auto"/>
              <w:jc w:val="center"/>
              <w:rPr>
                <w:rFonts w:ascii="Times New Roman" w:eastAsia="Times New Roman" w:hAnsi="Times New Roman"/>
                <w:noProof/>
                <w:sz w:val="18"/>
                <w:szCs w:val="18"/>
              </w:rPr>
            </w:pPr>
            <w:r>
              <w:rPr>
                <w:rFonts w:ascii="Times New Roman" w:hAnsi="Times New Roman"/>
                <w:noProof/>
                <w:sz w:val="18"/>
              </w:rPr>
              <w:t>—</w:t>
            </w:r>
          </w:p>
        </w:tc>
        <w:tc>
          <w:tcPr>
            <w:tcW w:w="1560" w:type="dxa"/>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xml:space="preserve"> 35 670 480,51 </w:t>
            </w:r>
          </w:p>
        </w:tc>
        <w:tc>
          <w:tcPr>
            <w:tcW w:w="1800" w:type="dxa"/>
            <w:gridSpan w:val="2"/>
            <w:tcBorders>
              <w:right w:val="double" w:sz="4" w:space="0" w:color="auto"/>
            </w:tcBorders>
            <w:shd w:val="clear" w:color="auto" w:fill="auto"/>
            <w:noWrap/>
            <w:vAlign w:val="center"/>
          </w:tcPr>
          <w:p>
            <w:pPr>
              <w:spacing w:before="60" w:after="60" w:line="240" w:lineRule="auto"/>
              <w:jc w:val="center"/>
              <w:rPr>
                <w:rFonts w:ascii="Times New Roman" w:eastAsia="Times New Roman" w:hAnsi="Times New Roman"/>
                <w:noProof/>
                <w:sz w:val="18"/>
                <w:szCs w:val="18"/>
              </w:rPr>
            </w:pPr>
            <w:r>
              <w:rPr>
                <w:rFonts w:ascii="Times New Roman" w:hAnsi="Times New Roman"/>
                <w:noProof/>
                <w:sz w:val="18"/>
              </w:rPr>
              <w:t>12 898 533,97</w:t>
            </w:r>
          </w:p>
        </w:tc>
      </w:tr>
      <w:tr>
        <w:tblPrEx>
          <w:tblLook w:val="0000" w:firstRow="0" w:lastRow="0" w:firstColumn="0" w:lastColumn="0" w:noHBand="0" w:noVBand="0"/>
        </w:tblPrEx>
        <w:trPr>
          <w:trHeight w:val="255"/>
        </w:trPr>
        <w:tc>
          <w:tcPr>
            <w:tcW w:w="2280" w:type="dxa"/>
            <w:tcBorders>
              <w:left w:val="double" w:sz="4" w:space="0" w:color="auto"/>
              <w:bottom w:val="double" w:sz="4" w:space="0" w:color="auto"/>
            </w:tcBorders>
            <w:shd w:val="clear" w:color="auto" w:fill="auto"/>
            <w:noWrap/>
            <w:vAlign w:val="bottom"/>
          </w:tcPr>
          <w:p>
            <w:pPr>
              <w:spacing w:before="60" w:after="0" w:line="240" w:lineRule="auto"/>
              <w:rPr>
                <w:rFonts w:ascii="Times New Roman" w:eastAsia="Times New Roman" w:hAnsi="Times New Roman"/>
                <w:noProof/>
                <w:sz w:val="18"/>
                <w:szCs w:val="18"/>
              </w:rPr>
            </w:pPr>
            <w:r>
              <w:rPr>
                <w:rFonts w:ascii="Times New Roman" w:hAnsi="Times New Roman"/>
                <w:noProof/>
                <w:sz w:val="18"/>
              </w:rPr>
              <w:t xml:space="preserve">Анулирани бюджетни кредити </w:t>
            </w:r>
          </w:p>
        </w:tc>
        <w:tc>
          <w:tcPr>
            <w:tcW w:w="1560" w:type="dxa"/>
            <w:tcBorders>
              <w:bottom w:val="doub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xml:space="preserve"> 5 497 496,24 </w:t>
            </w:r>
          </w:p>
        </w:tc>
        <w:tc>
          <w:tcPr>
            <w:tcW w:w="1440" w:type="dxa"/>
            <w:tcBorders>
              <w:bottom w:val="double" w:sz="4" w:space="0" w:color="auto"/>
            </w:tcBorders>
            <w:shd w:val="clear" w:color="auto" w:fill="auto"/>
            <w:noWrap/>
            <w:vAlign w:val="bottom"/>
          </w:tcPr>
          <w:p>
            <w:pPr>
              <w:spacing w:before="60" w:after="0" w:line="240" w:lineRule="auto"/>
              <w:jc w:val="center"/>
              <w:rPr>
                <w:rFonts w:ascii="Times New Roman" w:eastAsia="Times New Roman" w:hAnsi="Times New Roman"/>
                <w:noProof/>
                <w:sz w:val="18"/>
                <w:szCs w:val="18"/>
              </w:rPr>
            </w:pPr>
            <w:r>
              <w:rPr>
                <w:rFonts w:ascii="Times New Roman" w:hAnsi="Times New Roman"/>
                <w:noProof/>
                <w:sz w:val="18"/>
              </w:rPr>
              <w:t>—</w:t>
            </w:r>
          </w:p>
        </w:tc>
        <w:tc>
          <w:tcPr>
            <w:tcW w:w="1560" w:type="dxa"/>
            <w:tcBorders>
              <w:bottom w:val="doub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xml:space="preserve"> 12 302 342,52 </w:t>
            </w:r>
          </w:p>
        </w:tc>
        <w:tc>
          <w:tcPr>
            <w:tcW w:w="1800" w:type="dxa"/>
            <w:gridSpan w:val="2"/>
            <w:tcBorders>
              <w:bottom w:val="double" w:sz="4" w:space="0" w:color="auto"/>
              <w:right w:val="double" w:sz="4" w:space="0" w:color="auto"/>
            </w:tcBorders>
            <w:shd w:val="clear" w:color="auto" w:fill="auto"/>
            <w:noWrap/>
            <w:vAlign w:val="bottom"/>
          </w:tcPr>
          <w:p>
            <w:pPr>
              <w:spacing w:before="60" w:after="0" w:line="240" w:lineRule="auto"/>
              <w:jc w:val="center"/>
              <w:rPr>
                <w:rFonts w:ascii="Times New Roman" w:eastAsia="Times New Roman" w:hAnsi="Times New Roman"/>
                <w:noProof/>
                <w:sz w:val="18"/>
                <w:szCs w:val="18"/>
              </w:rPr>
            </w:pPr>
            <w:r>
              <w:rPr>
                <w:rFonts w:ascii="Times New Roman" w:hAnsi="Times New Roman"/>
                <w:noProof/>
                <w:sz w:val="18"/>
              </w:rPr>
              <w:t>—</w:t>
            </w:r>
          </w:p>
        </w:tc>
      </w:tr>
      <w:tr>
        <w:tblPrEx>
          <w:tblLook w:val="0000" w:firstRow="0" w:lastRow="0" w:firstColumn="0" w:lastColumn="0" w:noHBand="0" w:noVBand="0"/>
        </w:tblPrEx>
        <w:trPr>
          <w:trHeight w:val="255"/>
        </w:trPr>
        <w:tc>
          <w:tcPr>
            <w:tcW w:w="8640" w:type="dxa"/>
            <w:gridSpan w:val="6"/>
            <w:tcBorders>
              <w:top w:val="double" w:sz="4" w:space="0" w:color="auto"/>
              <w:bottom w:val="nil"/>
            </w:tcBorders>
            <w:noWrap/>
            <w:vAlign w:val="bottom"/>
          </w:tcPr>
          <w:p>
            <w:pPr>
              <w:spacing w:after="0" w:line="240" w:lineRule="auto"/>
              <w:jc w:val="both"/>
              <w:rPr>
                <w:rFonts w:ascii="Times New Roman" w:eastAsia="Times New Roman" w:hAnsi="Times New Roman"/>
                <w:noProof/>
                <w:sz w:val="18"/>
                <w:szCs w:val="18"/>
              </w:rPr>
            </w:pPr>
          </w:p>
          <w:p>
            <w:pPr>
              <w:spacing w:after="0" w:line="240" w:lineRule="auto"/>
              <w:jc w:val="both"/>
              <w:rPr>
                <w:rFonts w:ascii="Times New Roman" w:eastAsia="Times New Roman" w:hAnsi="Times New Roman"/>
                <w:noProof/>
                <w:sz w:val="18"/>
                <w:szCs w:val="18"/>
              </w:rPr>
            </w:pPr>
            <w:r>
              <w:rPr>
                <w:rFonts w:ascii="Times New Roman" w:hAnsi="Times New Roman"/>
                <w:noProof/>
                <w:sz w:val="18"/>
              </w:rPr>
              <w:t>(1) С1 означава гласувани бюджетни кредити. Тази сума включва прехвърляне от „споделено управление“ на сума в размер на 2 527 217,00 EUR за бюджетни кредити за поети задължения и бюджетни кредити за плащания, прехвърляне от ЕФГЗ в общ размер на -1 494 000,00 EUR за бюджетни кредити за плащания и коригиращ бюджет в размер на -1 250 000,00 EUR за бюджетни кредити за поети задължения.</w:t>
            </w:r>
          </w:p>
          <w:p>
            <w:pPr>
              <w:spacing w:after="0" w:line="240" w:lineRule="auto"/>
              <w:jc w:val="both"/>
              <w:rPr>
                <w:rFonts w:ascii="Times New Roman" w:eastAsia="Times New Roman" w:hAnsi="Times New Roman"/>
                <w:noProof/>
                <w:sz w:val="18"/>
                <w:szCs w:val="18"/>
              </w:rPr>
            </w:pPr>
            <w:r>
              <w:rPr>
                <w:rFonts w:ascii="Times New Roman" w:hAnsi="Times New Roman"/>
                <w:noProof/>
                <w:sz w:val="18"/>
              </w:rPr>
              <w:t>(2) Пренасяне към 2017 г. единствено на едногодишни бюджетни кредити.</w:t>
            </w:r>
          </w:p>
        </w:tc>
      </w:tr>
    </w:tbl>
    <w:p>
      <w:pPr>
        <w:spacing w:before="120" w:after="120" w:line="240" w:lineRule="auto"/>
        <w:ind w:left="851"/>
        <w:jc w:val="both"/>
        <w:rPr>
          <w:rFonts w:ascii="Times New Roman" w:eastAsia="Times New Roman" w:hAnsi="Times New Roman"/>
          <w:noProof/>
          <w:sz w:val="24"/>
          <w:szCs w:val="24"/>
        </w:rPr>
      </w:pPr>
      <w:r>
        <w:rPr>
          <w:rFonts w:ascii="Times New Roman" w:hAnsi="Times New Roman"/>
          <w:noProof/>
          <w:sz w:val="24"/>
        </w:rPr>
        <w:t>Разполагаемите бюджетни кредити за поети задължения за разходите при пряко управление в бюджета за 2016 г. бяха в размер на 69,4 млн. евро. През 2016 г. бяха поети задължения в размер на 63,9 млн. евро. Остатъкът от тези бюджетни кредити (5,5 млн. евро) беше анулиран.</w:t>
      </w:r>
    </w:p>
    <w:p>
      <w:pPr>
        <w:spacing w:before="120" w:after="120" w:line="240" w:lineRule="auto"/>
        <w:ind w:left="851"/>
        <w:jc w:val="both"/>
        <w:rPr>
          <w:rFonts w:ascii="Times New Roman" w:eastAsia="Times New Roman" w:hAnsi="Times New Roman"/>
          <w:noProof/>
          <w:sz w:val="24"/>
          <w:szCs w:val="24"/>
        </w:rPr>
      </w:pPr>
      <w:r>
        <w:rPr>
          <w:rFonts w:ascii="Times New Roman" w:hAnsi="Times New Roman"/>
          <w:noProof/>
          <w:sz w:val="24"/>
        </w:rPr>
        <w:t>По-голямата част от усвоените бюджетни кредити за поети задължения за ЕФГЗ във връзка с разходите при пряко управление, извършени от Комисията, представляват многогодишни бюджетни кредити.</w:t>
      </w:r>
    </w:p>
    <w:p>
      <w:pPr>
        <w:spacing w:before="120" w:after="120" w:line="240" w:lineRule="auto"/>
        <w:ind w:left="851"/>
        <w:jc w:val="both"/>
        <w:rPr>
          <w:rFonts w:ascii="Times New Roman" w:eastAsia="Times New Roman" w:hAnsi="Times New Roman"/>
          <w:noProof/>
          <w:sz w:val="24"/>
          <w:szCs w:val="24"/>
        </w:rPr>
      </w:pPr>
      <w:r>
        <w:rPr>
          <w:rFonts w:ascii="Times New Roman" w:hAnsi="Times New Roman"/>
          <w:noProof/>
          <w:sz w:val="24"/>
        </w:rPr>
        <w:t>Автоматичното пренасяне към 2017 г., което се отнася само за едногодишните бюджетни кредити, възлиза на 12,9 млн. евро.</w:t>
      </w:r>
    </w:p>
    <w:p>
      <w:pPr>
        <w:pStyle w:val="ManualHeading2"/>
        <w:rPr>
          <w:noProof/>
        </w:rPr>
      </w:pPr>
      <w:r>
        <w:t>2.2.</w:t>
      </w:r>
      <w:r>
        <w:tab/>
      </w:r>
      <w:r>
        <w:rPr>
          <w:noProof/>
        </w:rPr>
        <w:t>Месечни плащания</w:t>
      </w:r>
      <w:bookmarkEnd w:id="26"/>
      <w:bookmarkEnd w:id="27"/>
      <w:r>
        <w:rPr>
          <w:noProof/>
        </w:rPr>
        <w:t xml:space="preserve"> </w:t>
      </w:r>
    </w:p>
    <w:p>
      <w:pPr>
        <w:pStyle w:val="ManualHeading3"/>
        <w:rPr>
          <w:noProof/>
        </w:rPr>
      </w:pPr>
      <w:bookmarkStart w:id="28" w:name="_Toc322938572"/>
      <w:bookmarkStart w:id="29" w:name="_Toc358122343"/>
      <w:r>
        <w:t>2.2.1.</w:t>
      </w:r>
      <w:r>
        <w:tab/>
      </w:r>
      <w:r>
        <w:rPr>
          <w:noProof/>
        </w:rPr>
        <w:t>Месечни плащания в полза на държавите членки</w:t>
      </w:r>
      <w:bookmarkEnd w:id="28"/>
      <w:bookmarkEnd w:id="29"/>
      <w:r>
        <w:rPr>
          <w:noProof/>
        </w:rPr>
        <w:t xml:space="preserve"> при споделено управление</w:t>
      </w:r>
    </w:p>
    <w:p>
      <w:pPr>
        <w:pStyle w:val="ManualHeading4"/>
        <w:rPr>
          <w:noProof/>
        </w:rPr>
      </w:pPr>
      <w:bookmarkStart w:id="30" w:name="_Toc322938573"/>
      <w:bookmarkStart w:id="31" w:name="_Toc358122344"/>
      <w:r>
        <w:t>2.2.1.1.</w:t>
      </w:r>
      <w:r>
        <w:tab/>
      </w:r>
      <w:r>
        <w:rPr>
          <w:noProof/>
        </w:rPr>
        <w:t>Месечни плащания за покриване на разходите</w:t>
      </w:r>
      <w:bookmarkEnd w:id="30"/>
      <w:bookmarkEnd w:id="31"/>
    </w:p>
    <w:p>
      <w:pPr>
        <w:pStyle w:val="Text1"/>
        <w:rPr>
          <w:noProof/>
        </w:rPr>
      </w:pPr>
      <w:r>
        <w:rPr>
          <w:noProof/>
        </w:rPr>
        <w:t>В член 18, параграф 1 от Регламент (ЕС) № 1306/2013 се посочва, че „Комисията извършва месечни плащания за разходите, направени от акредитираните разплащателни агенции на държавите членки през съответния месец“. Месечните плащания се извършват за всяка държава членка най-късно на третия работен ден от втория месец, следващ този, през който са направени разходите.</w:t>
      </w:r>
    </w:p>
    <w:p>
      <w:pPr>
        <w:pStyle w:val="Text1"/>
        <w:rPr>
          <w:noProof/>
        </w:rPr>
      </w:pPr>
      <w:r>
        <w:rPr>
          <w:noProof/>
        </w:rPr>
        <w:t>Месечните плащания представляват възстановяване на вече извършени нетни разходи (след приспадане на приходите) и се предоставят въз основа на месечните декларации, изпращани от държавите членки. Ежемесечното осчетоводяване на разходите и приходите подлежи на проверки и корекции въз основа на тези декларации. Освен това въпросните плащания ще станат окончателни, след като Комисията направи проверките съгласно процедурата за счетоводно уравняване на сметки.</w:t>
      </w:r>
    </w:p>
    <w:p>
      <w:pPr>
        <w:pStyle w:val="Text1"/>
        <w:rPr>
          <w:noProof/>
        </w:rPr>
      </w:pPr>
      <w:r>
        <w:rPr>
          <w:noProof/>
        </w:rPr>
        <w:t xml:space="preserve">Плащанията, извършени от държавите членки от 16 октомври 2015 г. до 15 октомври 2016 г., са обхванати от системата за месечни плащания. </w:t>
      </w:r>
    </w:p>
    <w:p>
      <w:pPr>
        <w:pStyle w:val="Text1"/>
        <w:rPr>
          <w:noProof/>
        </w:rPr>
      </w:pPr>
      <w:r>
        <w:rPr>
          <w:noProof/>
        </w:rPr>
        <w:t>За 2016 бюджетна година общата нетна сума на потвърдените с решение месечни плащания, след приспадане на корекциите във връзка с уравняването и други корекции, е 41 694 060 549,65 EUR. Като се имат предвид спрените суми, бяха изплатени само 41 509 300 882,48 EUR.</w:t>
      </w:r>
    </w:p>
    <w:p>
      <w:pPr>
        <w:pStyle w:val="ManualHeading4"/>
        <w:rPr>
          <w:noProof/>
        </w:rPr>
      </w:pPr>
      <w:bookmarkStart w:id="32" w:name="_Toc322938574"/>
      <w:bookmarkStart w:id="33" w:name="_Toc358122345"/>
      <w:r>
        <w:t>2.2.1.2.</w:t>
      </w:r>
      <w:r>
        <w:tab/>
      </w:r>
      <w:r>
        <w:rPr>
          <w:noProof/>
        </w:rPr>
        <w:t>Решения относно месечните плащания за 201</w:t>
      </w:r>
      <w:bookmarkEnd w:id="32"/>
      <w:r>
        <w:rPr>
          <w:noProof/>
        </w:rPr>
        <w:t>6 г.</w:t>
      </w:r>
      <w:bookmarkEnd w:id="33"/>
    </w:p>
    <w:p>
      <w:pPr>
        <w:pStyle w:val="Text1"/>
        <w:rPr>
          <w:noProof/>
        </w:rPr>
      </w:pPr>
      <w:r>
        <w:rPr>
          <w:noProof/>
        </w:rPr>
        <w:t xml:space="preserve">За 2016 бюджетна година Комисията прие дванадесет решения относно месечни плащания. Освен това през декември 2016 г. беше прието решение за допълнително месечно плащане, коригиращо вече отпуснатите спрямо общия размер на разходите за тази година. </w:t>
      </w:r>
    </w:p>
    <w:p>
      <w:pPr>
        <w:pStyle w:val="ManualHeading1"/>
        <w:rPr>
          <w:noProof/>
        </w:rPr>
      </w:pPr>
      <w:bookmarkStart w:id="34" w:name="_Toc322938577"/>
      <w:bookmarkStart w:id="35" w:name="_Toc358122346"/>
      <w:bookmarkStart w:id="36" w:name="_Toc487550771"/>
      <w:bookmarkStart w:id="37" w:name="_Toc489540940"/>
      <w:r>
        <w:t>3.</w:t>
      </w:r>
      <w:r>
        <w:tab/>
      </w:r>
      <w:r>
        <w:rPr>
          <w:noProof/>
        </w:rPr>
        <w:t>ИЗПЪЛНЕНИЕ НА БЮДЖЕТА НА ЕФГЗ ЗА 2016 г.</w:t>
      </w:r>
      <w:bookmarkEnd w:id="34"/>
      <w:bookmarkEnd w:id="35"/>
      <w:bookmarkEnd w:id="36"/>
      <w:bookmarkEnd w:id="37"/>
    </w:p>
    <w:p>
      <w:pPr>
        <w:pStyle w:val="ManualHeading2"/>
        <w:rPr>
          <w:noProof/>
        </w:rPr>
      </w:pPr>
      <w:bookmarkStart w:id="38" w:name="_Toc322938579"/>
      <w:bookmarkStart w:id="39" w:name="_Toc358122347"/>
      <w:r>
        <w:t>3.1.</w:t>
      </w:r>
      <w:r>
        <w:tab/>
      </w:r>
      <w:r>
        <w:rPr>
          <w:noProof/>
        </w:rPr>
        <w:t>Усвояване на бюджетните кредити за ЕФГЗ</w:t>
      </w:r>
      <w:bookmarkEnd w:id="38"/>
      <w:bookmarkEnd w:id="39"/>
    </w:p>
    <w:p>
      <w:pPr>
        <w:pStyle w:val="Text1"/>
        <w:ind w:left="851"/>
        <w:rPr>
          <w:noProof/>
        </w:rPr>
      </w:pPr>
      <w:r>
        <w:rPr>
          <w:noProof/>
        </w:rPr>
        <w:t xml:space="preserve">Изпълнението на бюджета възлезе на 44 285,1 млн. евро. Тези разходи бяха финансирани от първоначалните бюджетни кредити, като бяха използвани целевите приходи по област на политиката 05 — „Земеделие и развитие на селските райони“, състоящи се от целия размер на пренесените от 2015 г. целеви приходи (896,4 млн. евро) и част от постъпилите през 2016 г. целеви приходи (1223,1 млн. евро от общо 2527,1 млн. евро). </w:t>
      </w:r>
    </w:p>
    <w:p>
      <w:pPr>
        <w:pStyle w:val="Text1"/>
        <w:ind w:left="851"/>
        <w:rPr>
          <w:noProof/>
        </w:rPr>
      </w:pPr>
      <w:r>
        <w:rPr>
          <w:noProof/>
        </w:rPr>
        <w:t>В рамките на област на политиката 05 — „Земеделие и развитие на селските райони“, разходите за пазарни мерки възлязоха на 3154,3 млн. евро, а за преки плащания — на</w:t>
      </w:r>
      <w:r>
        <w:rPr>
          <w:noProof/>
        </w:rPr>
        <w:br/>
        <w:t xml:space="preserve">40 984,1 млн. евро. </w:t>
      </w:r>
    </w:p>
    <w:p>
      <w:pPr>
        <w:pStyle w:val="Text1"/>
        <w:ind w:left="851"/>
        <w:rPr>
          <w:noProof/>
        </w:rPr>
      </w:pPr>
      <w:r>
        <w:rPr>
          <w:noProof/>
        </w:rPr>
        <w:t xml:space="preserve">За подробности относно изпълнението на бюджета по области на политиката вж. приложение 2. </w:t>
      </w:r>
    </w:p>
    <w:p>
      <w:pPr>
        <w:pStyle w:val="Text1"/>
        <w:ind w:left="851"/>
        <w:rPr>
          <w:noProof/>
        </w:rPr>
      </w:pPr>
      <w:r>
        <w:rPr>
          <w:noProof/>
        </w:rPr>
        <w:t>В приложение 4 се представя разпределението на разходите за пазарни мерки, преки плащания и одит на разходите за селско стопанство по статии и по държави членки.</w:t>
      </w:r>
    </w:p>
    <w:p>
      <w:pPr>
        <w:pStyle w:val="ManualHeading2"/>
        <w:rPr>
          <w:noProof/>
        </w:rPr>
      </w:pPr>
      <w:bookmarkStart w:id="40" w:name="_Toc322938580"/>
      <w:bookmarkStart w:id="41" w:name="_Toc484011541"/>
      <w:r>
        <w:t>3.2.</w:t>
      </w:r>
      <w:r>
        <w:tab/>
      </w:r>
      <w:r>
        <w:rPr>
          <w:noProof/>
        </w:rPr>
        <w:t>Коментари относно изпълнението на бюджета на ЕФГЗ за 2016 г.</w:t>
      </w:r>
      <w:bookmarkEnd w:id="40"/>
      <w:bookmarkEnd w:id="41"/>
    </w:p>
    <w:p>
      <w:pPr>
        <w:pStyle w:val="Text1"/>
        <w:ind w:left="851"/>
        <w:rPr>
          <w:noProof/>
        </w:rPr>
      </w:pPr>
      <w:r>
        <w:rPr>
          <w:noProof/>
        </w:rPr>
        <w:t>Въз основа на информацията, включена в приложения 2, 3-I и 3-II, по-долу е представен кратък коментар за най-важните сектори относно изпълнението на бюджетните кредити за ЕФГЗ за 2016 г., както и относно усвояването на разполагаемите целеви приходи през 2016 г.</w:t>
      </w:r>
    </w:p>
    <w:p>
      <w:pPr>
        <w:pStyle w:val="ManualHeading3"/>
        <w:rPr>
          <w:noProof/>
        </w:rPr>
      </w:pPr>
      <w:bookmarkStart w:id="42" w:name="_Toc322938581"/>
      <w:bookmarkStart w:id="43" w:name="_Toc358122349"/>
      <w:r>
        <w:t>3.2.1.</w:t>
      </w:r>
      <w:r>
        <w:tab/>
      </w:r>
      <w:r>
        <w:rPr>
          <w:noProof/>
        </w:rPr>
        <w:t>Глава 05 02: Интервенции на селскостопанските пазари</w:t>
      </w:r>
      <w:bookmarkEnd w:id="42"/>
      <w:bookmarkEnd w:id="43"/>
    </w:p>
    <w:p>
      <w:pPr>
        <w:pStyle w:val="ManualHeading4"/>
        <w:rPr>
          <w:noProof/>
        </w:rPr>
      </w:pPr>
      <w:bookmarkStart w:id="44" w:name="_Toc322938582"/>
      <w:bookmarkStart w:id="45" w:name="_Toc358122350"/>
      <w:r>
        <w:t>3.2.1.1.</w:t>
      </w:r>
      <w:r>
        <w:tab/>
      </w:r>
      <w:r>
        <w:rPr>
          <w:noProof/>
        </w:rPr>
        <w:t>Въведение</w:t>
      </w:r>
      <w:bookmarkEnd w:id="44"/>
      <w:bookmarkEnd w:id="45"/>
    </w:p>
    <w:p>
      <w:pPr>
        <w:pStyle w:val="Text1"/>
        <w:ind w:left="851"/>
        <w:rPr>
          <w:noProof/>
        </w:rPr>
      </w:pPr>
      <w:r>
        <w:rPr>
          <w:noProof/>
        </w:rPr>
        <w:t xml:space="preserve">Общите плащания за тази глава от бюджета за 2016 г. възлязоха на 3154,3 млн. евро и бяха финансирани от гласуваните бюджетни кредити в размер на 2673,0 млн. евро и от целеви приходи в размер на 481,3 млн. евро. Последните бяха използвани за покриване на разходите, извършени в сектора на плодовите и зеленчуковите продукти (за подробна информация виж точка 3.2.1.2). Останалите целеви приходи, събрани през 2016 г., възлизаха на 118,7 млн. евро и бяха пренесени към 2017 г. При позициите, в които бюджетните кредити не стигнаха за пълното задоволяване на нуждите, допълнителните разходи бяха покрити чрез прехвърлянето на средства от други бюджетни позиции. При пазарните мерки, по които разполагаемите бюджетни кредити не са били усвоени изцяло, останалите в резултат на това налични бюджетни кредити бяха прехвърлени към други бюджетни позиции за покриване на допълнителни разходи, където това бе необходимо. </w:t>
      </w:r>
    </w:p>
    <w:p>
      <w:pPr>
        <w:pStyle w:val="ManualHeading4"/>
        <w:rPr>
          <w:noProof/>
        </w:rPr>
      </w:pPr>
      <w:bookmarkStart w:id="46" w:name="_Toc484011544"/>
      <w:r>
        <w:t>3.2.1.2.</w:t>
      </w:r>
      <w:r>
        <w:tab/>
      </w:r>
      <w:r>
        <w:rPr>
          <w:noProof/>
        </w:rPr>
        <w:t>Статия 05 02 08: Плодове и зеленчуци</w:t>
      </w:r>
      <w:bookmarkEnd w:id="46"/>
      <w:r>
        <w:rPr>
          <w:noProof/>
        </w:rPr>
        <w:t xml:space="preserve"> </w:t>
      </w:r>
    </w:p>
    <w:p>
      <w:pPr>
        <w:pStyle w:val="Text1"/>
        <w:rPr>
          <w:noProof/>
        </w:rPr>
      </w:pPr>
      <w:r>
        <w:rPr>
          <w:noProof/>
        </w:rPr>
        <w:t xml:space="preserve">В бюджета за 2016 г. бяха предвидени общи разполагаеми бюджетни кредити в размер на 1211,8 млн. евро за покриване на нуждите по всички мерки за този сектор. Бюджетният орган гласува бюджетни кредити в размер на 611,8 млн. евро, отчитайки прогнозираните целеви приходи за този сектор, възлизащи на 600 млн. евро. Освен това 79,6 млн. евро бяха прехвърлени от други части на бюджета. Разходите, направени от държавите членки през 2016 г., възлизаха на 1172,7 млн. евро. Остатъкът от неизползваните целеви приходи в размер на 118,7 млн. евро беше пренесен към 2017 бюджетна година за покриване на нуждите за посочената година. </w:t>
      </w:r>
    </w:p>
    <w:p>
      <w:pPr>
        <w:pStyle w:val="ManualHeading4"/>
        <w:rPr>
          <w:noProof/>
        </w:rPr>
      </w:pPr>
      <w:bookmarkStart w:id="47" w:name="_Toc484011545"/>
      <w:r>
        <w:t>3.2.1.3.</w:t>
      </w:r>
      <w:r>
        <w:tab/>
      </w:r>
      <w:r>
        <w:rPr>
          <w:noProof/>
        </w:rPr>
        <w:t>Статия 05 02 09: Продукти на лозаро-винарския сектор</w:t>
      </w:r>
      <w:bookmarkEnd w:id="47"/>
      <w:r>
        <w:rPr>
          <w:noProof/>
        </w:rPr>
        <w:t xml:space="preserve"> </w:t>
      </w:r>
    </w:p>
    <w:p>
      <w:pPr>
        <w:spacing w:before="120" w:after="120" w:line="240" w:lineRule="auto"/>
        <w:ind w:left="851"/>
        <w:jc w:val="both"/>
        <w:rPr>
          <w:rFonts w:ascii="Times New Roman" w:hAnsi="Times New Roman"/>
          <w:noProof/>
          <w:sz w:val="24"/>
          <w:szCs w:val="24"/>
        </w:rPr>
      </w:pPr>
      <w:r>
        <w:rPr>
          <w:rFonts w:ascii="Times New Roman" w:hAnsi="Times New Roman"/>
          <w:noProof/>
          <w:sz w:val="24"/>
        </w:rPr>
        <w:t>В бюджета за 2016 г. бяха предвидени общи разполагаеми бюджетни кредити в размер на 1076 млн. евро за покриване на нуждите по всички мерки за този сектор. Неусвоената сума в размер на 48,9 млн. евро в сравнение с прогнозираните бюджетни нужди за 2016 г. за националните програми за подпомагане, се дължи на по-ниските разходи, направени от някои държави членки за компонентите „насърчаване“, „преструктуриране“ и „инвестиции“ на техните национални програми в лозаро-винарския сектор.</w:t>
      </w:r>
    </w:p>
    <w:p>
      <w:pPr>
        <w:pStyle w:val="ManualHeading4"/>
        <w:rPr>
          <w:noProof/>
        </w:rPr>
      </w:pPr>
      <w:bookmarkStart w:id="48" w:name="_Toc322938591"/>
      <w:bookmarkStart w:id="49" w:name="_Toc484011546"/>
      <w:r>
        <w:t>3.2.1.4.</w:t>
      </w:r>
      <w:r>
        <w:tab/>
      </w:r>
      <w:r>
        <w:rPr>
          <w:noProof/>
        </w:rPr>
        <w:t>Статия 05 02 10: Насърчаване</w:t>
      </w:r>
      <w:bookmarkEnd w:id="48"/>
      <w:bookmarkEnd w:id="49"/>
    </w:p>
    <w:p>
      <w:pPr>
        <w:pStyle w:val="Text1"/>
        <w:ind w:left="851"/>
        <w:rPr>
          <w:noProof/>
        </w:rPr>
      </w:pPr>
      <w:r>
        <w:rPr>
          <w:noProof/>
        </w:rPr>
        <w:t xml:space="preserve">Що се отнася до извършените от държавите членки плащания по мерките за насърчаване, неусвоената сума в размер на 14,4 млн. евро в сравнение с прогнозираните бюджетни нужди за 2016 г. се дължи на по-ниските разходи, направени от някои държави членки за техните програми за насърчаване, които са одобрени от Комисията, в сравнение с разходите, предвидени в бюджета за 2016 г. за тези програми. </w:t>
      </w:r>
    </w:p>
    <w:p>
      <w:pPr>
        <w:pStyle w:val="Text1"/>
        <w:ind w:left="851"/>
        <w:rPr>
          <w:noProof/>
        </w:rPr>
      </w:pPr>
      <w:r>
        <w:rPr>
          <w:noProof/>
        </w:rPr>
        <w:t>По отношение на директните плащания, извършени от Европейския съюз, поетите от Комисията задължения за бюджетни кредити бяха в размер на около 18,5 млн. евро, което е с 2,5 млн. евро повече от сумата, предвидена в бюджета за 2016 г. за тези плащания.</w:t>
      </w:r>
    </w:p>
    <w:p>
      <w:pPr>
        <w:pStyle w:val="ManualHeading4"/>
        <w:rPr>
          <w:noProof/>
        </w:rPr>
      </w:pPr>
      <w:bookmarkStart w:id="50" w:name="_Toc322938592"/>
      <w:bookmarkStart w:id="51" w:name="_Toc484011547"/>
      <w:r>
        <w:t>3.2.1.5.</w:t>
      </w:r>
      <w:r>
        <w:tab/>
      </w:r>
      <w:r>
        <w:rPr>
          <w:noProof/>
        </w:rPr>
        <w:t>Статия 05 02 11: Други растителни продукти/мерки</w:t>
      </w:r>
      <w:bookmarkEnd w:id="50"/>
      <w:bookmarkEnd w:id="51"/>
    </w:p>
    <w:p>
      <w:pPr>
        <w:pStyle w:val="Text1"/>
        <w:rPr>
          <w:noProof/>
        </w:rPr>
      </w:pPr>
      <w:r>
        <w:rPr>
          <w:noProof/>
        </w:rPr>
        <w:t xml:space="preserve">Бюджетните кредити по тази бюджетна статия бяха преизпълнени с 2,6 млн. евро в сравнение с прогнозираните бюджетни нужди за 2016 г. в размер на 239,4 млн. евро; това преизпълнение се дължеше на несъществено пренасочване в една държава членка през бюджетната година, а именно от програми POSEI – преки плащания към програми POSEI – пазарни мерки. </w:t>
      </w:r>
    </w:p>
    <w:p>
      <w:pPr>
        <w:pStyle w:val="ManualHeading4"/>
        <w:rPr>
          <w:noProof/>
        </w:rPr>
      </w:pPr>
      <w:bookmarkStart w:id="52" w:name="_Toc322938593"/>
      <w:bookmarkStart w:id="53" w:name="_Toc484011548"/>
      <w:r>
        <w:t>3.2.1.6.</w:t>
      </w:r>
      <w:r>
        <w:tab/>
      </w:r>
      <w:r>
        <w:rPr>
          <w:noProof/>
        </w:rPr>
        <w:t>Статия 05 02 12: Мляко и млечни продукти</w:t>
      </w:r>
      <w:bookmarkEnd w:id="52"/>
      <w:bookmarkEnd w:id="53"/>
    </w:p>
    <w:p>
      <w:pPr>
        <w:pStyle w:val="Text1"/>
        <w:rPr>
          <w:noProof/>
        </w:rPr>
      </w:pPr>
      <w:r>
        <w:rPr>
          <w:noProof/>
        </w:rPr>
        <w:t xml:space="preserve">В бюджета за 2016 г. бяха предвидени общи разполагаеми бюджетни кредити в размер на 537,1 млн. евро за покриване на нуждите по всички мерки за този сектор. Разходите, направени от държавите членки през 2016 г., възлизаха на 406,6 млн. евро. Средствата по всички схеми, финансирани по тази статия, не бяха усвоени изцяло в сравнение с предвиденото в бюджета за 2016 г. </w:t>
      </w:r>
    </w:p>
    <w:p>
      <w:pPr>
        <w:pStyle w:val="ManualHeading4"/>
        <w:rPr>
          <w:noProof/>
        </w:rPr>
      </w:pPr>
      <w:bookmarkStart w:id="54" w:name="_Toc322938595"/>
      <w:bookmarkStart w:id="55" w:name="_Toc484011549"/>
      <w:r>
        <w:t>3.2.1.7.</w:t>
      </w:r>
      <w:r>
        <w:tab/>
      </w:r>
      <w:r>
        <w:rPr>
          <w:noProof/>
        </w:rPr>
        <w:t>Статия 05 02 15: Свинско месо, яйца и птиче месо, пчеларство и други животински продукти</w:t>
      </w:r>
      <w:bookmarkEnd w:id="54"/>
      <w:bookmarkEnd w:id="55"/>
    </w:p>
    <w:p>
      <w:pPr>
        <w:pStyle w:val="Text1"/>
        <w:rPr>
          <w:noProof/>
        </w:rPr>
      </w:pPr>
      <w:r>
        <w:rPr>
          <w:noProof/>
        </w:rPr>
        <w:t>В бюджета за 2016 г. бяха предвидени общи разполагаеми бюджетни кредити в размер на 64,0 млн. евро за покриване на нуждите по всички мерки за този сектор. Разходите, направени от държавите членки през 2016 г. обаче, възлизаха на 140,6 млн. евро и бяха финансирани от гласуваните бюджетни кредити и от прехвърляне на бюджетни кредити в размер на 76,6 млн. евро от други области на бюджета за 2016 г.</w:t>
      </w:r>
    </w:p>
    <w:p>
      <w:pPr>
        <w:pStyle w:val="ManualHeading3"/>
        <w:rPr>
          <w:noProof/>
        </w:rPr>
      </w:pPr>
      <w:bookmarkStart w:id="56" w:name="_Toc322938596"/>
      <w:bookmarkStart w:id="57" w:name="_Toc358122364"/>
      <w:r>
        <w:t>3.2.2.</w:t>
      </w:r>
      <w:r>
        <w:tab/>
      </w:r>
      <w:r>
        <w:rPr>
          <w:noProof/>
        </w:rPr>
        <w:t xml:space="preserve">Глава 05 03: Преки </w:t>
      </w:r>
      <w:bookmarkEnd w:id="56"/>
      <w:bookmarkEnd w:id="57"/>
      <w:r>
        <w:rPr>
          <w:noProof/>
        </w:rPr>
        <w:t>плащания</w:t>
      </w:r>
    </w:p>
    <w:p>
      <w:pPr>
        <w:pStyle w:val="Text1"/>
        <w:rPr>
          <w:noProof/>
        </w:rPr>
      </w:pPr>
      <w:r>
        <w:rPr>
          <w:noProof/>
        </w:rPr>
        <w:t xml:space="preserve">Бюджетната 2016 година беше първата година на изпълнение на всички схеми в рамките на реформираната структура на преките плащания, както беше решено при реформата на ОСП от 2013 г. Общите плащания по тази глава от бюджета за 2016 г. възлязоха на 40 984,1 млн. евро. Тук се включва изплатената сума в размер на 395,4 млн. евро за възстановяване на разходите за директни плащания в полза на земеделските стопани във връзка с финансовата дисциплина, финансирана чрез пренесената от 2015 г. сума в размер на 409,8 млн. евро (за повече подробности вж. точка 3.2.2.3). Останалата част от извършените плащания (40 588,8 млн. евро) беше финансирана от гласуваните бюджетни кредити в размер на 38 950,6 млн. евро и от целеви приходи в размер на 1638,2 млн. евро. Последните бяха използвани за покриване на направените разходи в рамките на схемата за основно плащане. Неизползваните гласувани бюджетни кредити възлизат на 495,1 млн. евро, както е видно от разликата между гласуваните бюджетни кредити в размер на 38 950,6 млн. евро, използвани за възстановяване на разходи на държавите членки, и първоначално гласуваните бюджетни кредити в размер на 39 445,7 млн. евро, включени в бюджета за 2016 г. Тези неизползвани гласувани бюджетни кредити бяха намалени чрез прехвърляне на гласувани бюджетни кредити в размер на 52,8 млн. евро към други части от бюджета на ЕФГЗ. Освен това неизползваните средства от резерва за кризи (441,6 млн. евро), който беше създаден с предложения механизъм за финансова дисциплина през 2016 г., бяха прехвърлени към бюджетна статия 05 03 09, така че бе възможно сумата на ефективно прилагания механизъм за финансова дисциплина (433,1 млн. евро) да бъде пренесена към 2017 г., за да бъде възстановена на съответните държави членки (вж. точка 3.2.2.3). Останалите целеви приходи, събрани през 2016 г., възлизаха на 1185,3 млн. евро и бяха пренесени към 2017 г. При позициите, в които гласуваните бюджетни кредити не стигнаха за пълното задоволяване на нуждите, допълнителните разходи бяха покрити чрез прехвърлянето на гласувани бюджетни кредити от други бюджетни позиции или на целеви приходи. Аналогично, при директните плащания, по които разполагаемите бюджетни кредити не са били усвоени изцяло, останалите в резултат на това налични бюджетни кредити бяха прехвърлени към други бюджетни позиции за покриване на допълнителни разходи, където това бе необходимо. По-специално бяха извършени прехвърляния от различни други схеми за преки плащания с цел покриване на разходите по схемата за дребните земеделски стопани, която през 2016 г. беше включена в бюджета с „p.m.“, тъй като нуждите по тази схема на онзи етап бяха все още неизвестни. </w:t>
      </w:r>
    </w:p>
    <w:p>
      <w:pPr>
        <w:pStyle w:val="ManualHeading4"/>
        <w:rPr>
          <w:noProof/>
        </w:rPr>
      </w:pPr>
      <w:bookmarkStart w:id="58" w:name="_Toc322938597"/>
      <w:bookmarkStart w:id="59" w:name="_Toc422396272"/>
      <w:r>
        <w:t>3.2.2.1.</w:t>
      </w:r>
      <w:r>
        <w:tab/>
      </w:r>
      <w:r>
        <w:rPr>
          <w:noProof/>
        </w:rPr>
        <w:t xml:space="preserve">Статия 05 03 01: Отделени от производството преки </w:t>
      </w:r>
      <w:bookmarkEnd w:id="58"/>
      <w:bookmarkEnd w:id="59"/>
      <w:r>
        <w:rPr>
          <w:noProof/>
        </w:rPr>
        <w:t>плащания</w:t>
      </w:r>
    </w:p>
    <w:p>
      <w:pPr>
        <w:pStyle w:val="Text1"/>
        <w:rPr>
          <w:noProof/>
        </w:rPr>
      </w:pPr>
      <w:bookmarkStart w:id="60" w:name="_Toc322938598"/>
      <w:r>
        <w:rPr>
          <w:noProof/>
        </w:rPr>
        <w:t xml:space="preserve">Основните схеми, финансирани чрез бюджетни кредити по тази статия, са схемата за единно плащане на площ (СЕПП), схемата за основно плащане (СОП), плащането за селскостопански практики, които са благоприятни за климата и околната среда, преразпределителното плащане и плащането за млади земеделски стопани. Средствата по всички схеми за помощ по тази статия се изплащат независимо от производството, но при определени условия, като например съблюдаване на изискванията за кръстосано спазване. Бюджетните нужди за 2016 г. за отделените от производството преки плащания възлязоха на 36 649,2 млн. евро, за които бюджетният орган гласува бюджетни кредити в размер на 34 269,2 млн. евро, след като взе предвид целевите приходи, възлизащи на 2380 млн. евро. Разходите, направени от държавите членки за всички схеми по тази статия, възлязоха на 35 204,1 млн. евро, като по този начин надхвърлиха гласуваните бюджетни кредити с 934,9 млн. евро. Тази последна сума на декларираните разходи бе покрита от целеви приходи. Разходите, направени от държавите членки за отделени от производството преки плащания, съответстваха на 96,1 % от нуждите, предвидени в бюджета за 2016 г. за тези схеми. Това неусвояване представляваше отчасти логична последица от факта, че част от разходите за различни схеми бяха заменени с разходи за схемата за дребните земеделски стопани по 05 03 02, в съответствие с горепосочените прехвърляния на бюджетни кредити към схемата. Освен това неусвояването, което се наблюдаваше по няколко схеми, беше свързано и със закъснялото изпълнение в някои държави членки, които все още извършваха разходи по някои редове след края на бюджетната 2016 година. </w:t>
      </w:r>
    </w:p>
    <w:p>
      <w:pPr>
        <w:pStyle w:val="ManualHeading4"/>
        <w:rPr>
          <w:noProof/>
        </w:rPr>
      </w:pPr>
      <w:bookmarkStart w:id="61" w:name="_Toc422396273"/>
      <w:r>
        <w:t>3.2.2.2.</w:t>
      </w:r>
      <w:r>
        <w:tab/>
      </w:r>
      <w:r>
        <w:rPr>
          <w:noProof/>
        </w:rPr>
        <w:t xml:space="preserve">Статия 05 03 02: Други преки </w:t>
      </w:r>
      <w:bookmarkEnd w:id="60"/>
      <w:bookmarkEnd w:id="61"/>
      <w:r>
        <w:rPr>
          <w:noProof/>
        </w:rPr>
        <w:t>плащания</w:t>
      </w:r>
    </w:p>
    <w:p>
      <w:pPr>
        <w:pStyle w:val="Text1"/>
        <w:rPr>
          <w:noProof/>
        </w:rPr>
      </w:pPr>
      <w:r>
        <w:rPr>
          <w:noProof/>
        </w:rPr>
        <w:t>Бюджетните кредити по тази статия покриваха разходите за „други преки плащания“. Тук се включват схемите, по които плащането все още може да е обвързано с производството, при добре определени условия и в ясни граници. В резултат на реформата от 2013 г. бяха добавени нови схеми по тази статия, а именно доброволно обвързаното с производството подпомагане и схемата за дребните земеделски стопани, докато много редове от 2016 г. обхващаха само сравнително малки остатъчни плащания по схеми с изтекъл срок.</w:t>
      </w:r>
    </w:p>
    <w:p>
      <w:pPr>
        <w:pStyle w:val="Text1"/>
        <w:rPr>
          <w:noProof/>
        </w:rPr>
      </w:pPr>
      <w:r>
        <w:rPr>
          <w:noProof/>
        </w:rPr>
        <w:t xml:space="preserve">Според прогнозите на Комисията, през 2016 г. по тази статия бяха необходими бюджетни кредити в размер на 4734,8 млн. евро. Държавите членки извършиха разходи в размер на 5384,7 млн. евро, тоест повече от бюджетните кредити, вписани в бюджета. </w:t>
      </w:r>
    </w:p>
    <w:p>
      <w:pPr>
        <w:pStyle w:val="ManualHeading4"/>
        <w:rPr>
          <w:noProof/>
        </w:rPr>
      </w:pPr>
      <w:bookmarkStart w:id="62" w:name="_Toc484011554"/>
      <w:r>
        <w:t>3.2.2.3.</w:t>
      </w:r>
      <w:r>
        <w:tab/>
      </w:r>
      <w:r>
        <w:rPr>
          <w:noProof/>
        </w:rPr>
        <w:t>Статия 05 03 09: Възстановяване на разходите за преки плащания във връзка с финансовата дисциплина</w:t>
      </w:r>
      <w:bookmarkEnd w:id="62"/>
    </w:p>
    <w:p>
      <w:pPr>
        <w:pStyle w:val="Text1"/>
        <w:rPr>
          <w:noProof/>
        </w:rPr>
      </w:pPr>
      <w:r>
        <w:rPr>
          <w:noProof/>
        </w:rPr>
        <w:t>По тази статия бюджетният орган не е разпределил бюджетни кредити. Тази статия е предназначена за събиране на гласуваните бюджетни кредити, за които няма поети задължения, в това число по-специално бюджетните кредити на неусвоения резерв за кризи, за да бъдат пренесени към бюджетната година N+1 и с тях да се финансира възстановяването на разходи във връзка с финансовата дисциплина, прилагана по отношение на преките плащания за календарната година N</w:t>
      </w:r>
      <w:r>
        <w:rPr>
          <w:noProof/>
          <w:vertAlign w:val="superscript"/>
        </w:rPr>
        <w:footnoteReference w:id="4"/>
      </w:r>
      <w:r>
        <w:rPr>
          <w:noProof/>
        </w:rPr>
        <w:t xml:space="preserve">. </w:t>
      </w:r>
    </w:p>
    <w:p>
      <w:pPr>
        <w:pStyle w:val="Text1"/>
        <w:rPr>
          <w:noProof/>
        </w:rPr>
      </w:pPr>
      <w:r>
        <w:rPr>
          <w:noProof/>
        </w:rPr>
        <w:t xml:space="preserve">От сумата в размер на 409,8 млн. евро, съответстваща на прилагания през бюджетната 2015 година механизъм за финансова дисциплина и пренесена в бюджета за 2016 г. с цел възстановяване на разходи, държавите членки са възстановили 395,4 млн. евро. Разликата от 14,4 млн. евро беше върната в бюджета за 2016 г., за да бъде възстановена на държавите членки чрез коригиращ бюджет през следващата бюджетна година. </w:t>
      </w:r>
    </w:p>
    <w:p>
      <w:pPr>
        <w:pStyle w:val="ManualHeading4"/>
        <w:rPr>
          <w:noProof/>
        </w:rPr>
      </w:pPr>
      <w:bookmarkStart w:id="63" w:name="_Toc422396276"/>
      <w:r>
        <w:t>3.2.2.4.</w:t>
      </w:r>
      <w:r>
        <w:tab/>
      </w:r>
      <w:r>
        <w:rPr>
          <w:noProof/>
        </w:rPr>
        <w:t>Статия 05 03 10: Резерв за кризи в селскостопанския сектор</w:t>
      </w:r>
      <w:bookmarkEnd w:id="63"/>
    </w:p>
    <w:p>
      <w:pPr>
        <w:pStyle w:val="Text1"/>
        <w:rPr>
          <w:noProof/>
        </w:rPr>
      </w:pPr>
      <w:r>
        <w:rPr>
          <w:noProof/>
        </w:rPr>
        <w:t>Бюджетните кредити по тази статия са предназначени за покриване на разходите за мерки, необходими за преодоляване на сериозни кризи, които засягат производството и разпространението на земеделски продукти. Резервът за кризи се създава, като в началото на всяка година се прилага намаляване на преките плащания, което се извършва чрез механизма за финансова дисциплина в съответствие с членове 25 и 26 от Регламент (ЕС) № 1306/2013, както и с член 8 от Регламент (ЕС) № 1307/2013</w:t>
      </w:r>
      <w:r>
        <w:rPr>
          <w:noProof/>
          <w:vertAlign w:val="superscript"/>
        </w:rPr>
        <w:footnoteReference w:id="5"/>
      </w:r>
      <w:r>
        <w:rPr>
          <w:noProof/>
        </w:rPr>
        <w:t>. Този резерв се определя с годишен размер 400 млн. евро (по цени от 2011 г.). За 2016 бюджетна година еквивалентният размер на резерва за кризи по текущи цени бе 441,6 млн. евро. През бюджетната 2016 година резервът не е бил използван.</w:t>
      </w:r>
    </w:p>
    <w:p>
      <w:pPr>
        <w:pStyle w:val="Text1"/>
        <w:rPr>
          <w:noProof/>
          <w:color w:val="FF0000"/>
        </w:rPr>
      </w:pPr>
      <w:r>
        <w:rPr>
          <w:noProof/>
        </w:rPr>
        <w:t xml:space="preserve">За референтната 2015 година механизмът за финансова дисциплина бе предвиден единствено за създаване на резерва за кризи в размер на 441,6 млн. евро. При все това, в края на бюджетната година гласуваните бюджетни кредити, за които няма поети задължения, съответстващи на сумата по механизма за финансова дисциплина, ефективно приложен за референтната 2015 година (като се вземат предвид неизползваните средства от резерва за кризи), бяха прехвърлени към бюджетна статия 05 03 09 с цел да бъдат пренесени в следващата бюджетна година и по този начин да се финансира възстановяването на разходи във връзка с механизма за финансова дисциплина, наложен на земеделските стопани през календарната 2016 година. </w:t>
      </w:r>
    </w:p>
    <w:p>
      <w:pPr>
        <w:pStyle w:val="ManualHeading3"/>
        <w:rPr>
          <w:noProof/>
        </w:rPr>
      </w:pPr>
      <w:bookmarkStart w:id="64" w:name="_Toc322938602"/>
      <w:bookmarkStart w:id="65" w:name="_Toc358122365"/>
      <w:r>
        <w:t>3.2.3.</w:t>
      </w:r>
      <w:r>
        <w:tab/>
      </w:r>
      <w:r>
        <w:rPr>
          <w:noProof/>
        </w:rPr>
        <w:t>Глава 05 07: Одит на разходите за селско стопанство</w:t>
      </w:r>
      <w:bookmarkEnd w:id="64"/>
      <w:bookmarkEnd w:id="65"/>
    </w:p>
    <w:p>
      <w:pPr>
        <w:pStyle w:val="ManualHeading4"/>
        <w:rPr>
          <w:noProof/>
        </w:rPr>
      </w:pPr>
      <w:bookmarkStart w:id="66" w:name="_Toc322938603"/>
      <w:bookmarkStart w:id="67" w:name="_Toc422396280"/>
      <w:bookmarkStart w:id="68" w:name="_Toc322938628"/>
      <w:bookmarkStart w:id="69" w:name="_Toc358122367"/>
      <w:r>
        <w:t>3.2.3.1.</w:t>
      </w:r>
      <w:r>
        <w:tab/>
      </w:r>
      <w:r>
        <w:rPr>
          <w:noProof/>
        </w:rPr>
        <w:t>Статия 05 07 01: Контрол на разходите за селско стопанство</w:t>
      </w:r>
      <w:bookmarkEnd w:id="66"/>
      <w:bookmarkEnd w:id="67"/>
    </w:p>
    <w:p>
      <w:pPr>
        <w:pStyle w:val="Text1"/>
        <w:rPr>
          <w:noProof/>
        </w:rPr>
      </w:pPr>
      <w:r>
        <w:rPr>
          <w:noProof/>
        </w:rPr>
        <w:t>Тази статия включва мерките, предприети за засилване на средствата за контрол на място и за подобряване на системите за проверка, така че да се ограничи рискът от измами и нередности в ущърб на бюджета на Съюза. Тя включва и разходите за финансиране на евентуални счетоводни корекции и корекции във връзка с привеждане в съответствие в полза на държавите членки.</w:t>
      </w:r>
    </w:p>
    <w:p>
      <w:pPr>
        <w:pStyle w:val="ManualHeading4"/>
        <w:rPr>
          <w:noProof/>
        </w:rPr>
      </w:pPr>
      <w:bookmarkStart w:id="70" w:name="_Toc322938604"/>
      <w:bookmarkStart w:id="71" w:name="_Toc422396281"/>
      <w:r>
        <w:t>3.2.3.2.</w:t>
      </w:r>
      <w:r>
        <w:tab/>
      </w:r>
      <w:r>
        <w:rPr>
          <w:noProof/>
        </w:rPr>
        <w:t>Статия 05 07 02: Уреждане на спорове</w:t>
      </w:r>
      <w:bookmarkEnd w:id="70"/>
      <w:bookmarkEnd w:id="71"/>
    </w:p>
    <w:p>
      <w:pPr>
        <w:pStyle w:val="Text1"/>
        <w:rPr>
          <w:noProof/>
        </w:rPr>
      </w:pPr>
      <w:r>
        <w:rPr>
          <w:noProof/>
        </w:rPr>
        <w:t>Бюджетните кредити по тази статия са предназначени за покриване на разходи, за които Комисията може да се окаже отговорна вследствие на съдебно решение, включително разходите за изплащане на обезщетения и лихви. На 27 септември 2012 г. Съдът на Европейския съюз произнесе решението си по съединени дела C-113/10, C-147/10 и C-234/10 (решение Jüllich-II). В бюджета за 2016 г. бяха предвидени бюджетни кредити в размер на 29,5 млн. евро за изплащането на компенсаторна лихва на операторите по силата на това решение. Въпреки това извършените и декларирани от държавите членки разходи за тези плащания бяха около 52,4 млн. евро. Затова от други позиции на бюджета за 2016 г. бяха прехвърлени бюджетни кредити в размер на 22,9 млн. евро.</w:t>
      </w:r>
    </w:p>
    <w:p>
      <w:pPr>
        <w:pStyle w:val="ManualHeading1"/>
        <w:rPr>
          <w:noProof/>
        </w:rPr>
      </w:pPr>
      <w:bookmarkStart w:id="72" w:name="_Toc484011566"/>
      <w:bookmarkStart w:id="73" w:name="_Toc487550772"/>
      <w:bookmarkStart w:id="74" w:name="_Toc489540941"/>
      <w:bookmarkEnd w:id="68"/>
      <w:r>
        <w:t>4.</w:t>
      </w:r>
      <w:r>
        <w:tab/>
      </w:r>
      <w:r>
        <w:rPr>
          <w:noProof/>
        </w:rPr>
        <w:t>УСВОЯВАНЕ НА ЦЕЛЕВИТЕ ПРИХОДИ, ПРЕДНАЗНАЧЕНИ ЗА ЕФГЗ</w:t>
      </w:r>
      <w:bookmarkEnd w:id="72"/>
      <w:bookmarkEnd w:id="73"/>
      <w:bookmarkEnd w:id="74"/>
      <w:r>
        <w:rPr>
          <w:noProof/>
        </w:rPr>
        <w:t xml:space="preserve"> </w:t>
      </w:r>
      <w:bookmarkEnd w:id="69"/>
    </w:p>
    <w:p>
      <w:pPr>
        <w:pStyle w:val="Text1"/>
        <w:rPr>
          <w:noProof/>
        </w:rPr>
      </w:pPr>
      <w:r>
        <w:rPr>
          <w:noProof/>
        </w:rPr>
        <w:t xml:space="preserve">Действително пренесените от 2015 г. към 2016 г. целеви приходи възлязоха на 896,4 млн. евро и в съответствие с член 14 от Финансовия регламент бяха изцяло използвани за финансиране на разходите за 2016 бюджетна година. Както е видно от приложение 3-II, в тази сума се включват разходи в размер на 199,8 млн. евро за оперативните фондове на организациите на производители в сектора на плодовете и зеленчуците и 696,6 млн. евро за схемата за основно плащане. </w:t>
      </w:r>
    </w:p>
    <w:p>
      <w:pPr>
        <w:pStyle w:val="Text1"/>
        <w:rPr>
          <w:noProof/>
        </w:rPr>
      </w:pPr>
      <w:r>
        <w:rPr>
          <w:noProof/>
        </w:rPr>
        <w:t>От приложение 3-I става ясно, че размерът на постъпилите през 2016 г. целеви приходи е 2527,1 млн. евро, като те са възникнали от:</w:t>
      </w:r>
    </w:p>
    <w:p>
      <w:pPr>
        <w:pStyle w:val="Tiret1"/>
        <w:rPr>
          <w:noProof/>
        </w:rPr>
      </w:pPr>
      <w:r>
        <w:rPr>
          <w:noProof/>
        </w:rPr>
        <w:t>корекциите по процедурата за уравняване по съответствие — 1593,7 млн. евро;</w:t>
      </w:r>
    </w:p>
    <w:p>
      <w:pPr>
        <w:pStyle w:val="Tiret1"/>
        <w:rPr>
          <w:noProof/>
        </w:rPr>
      </w:pPr>
      <w:r>
        <w:rPr>
          <w:noProof/>
        </w:rPr>
        <w:t>постъпленията във връзка с нередности — 118,4 млн. евро;</w:t>
      </w:r>
    </w:p>
    <w:p>
      <w:pPr>
        <w:pStyle w:val="Tiret1"/>
        <w:rPr>
          <w:noProof/>
        </w:rPr>
      </w:pPr>
      <w:r>
        <w:rPr>
          <w:noProof/>
        </w:rPr>
        <w:t>събрания налог в сектора на млякото и млечните продукти — 815,1 млн. евро.</w:t>
      </w:r>
    </w:p>
    <w:p>
      <w:pPr>
        <w:pStyle w:val="Text1"/>
        <w:rPr>
          <w:noProof/>
        </w:rPr>
      </w:pPr>
      <w:r>
        <w:rPr>
          <w:noProof/>
        </w:rPr>
        <w:t xml:space="preserve">Целевите приходи, събрани през 2016 г., бяха използвани за покриване на направените разходи за следните мерки: </w:t>
      </w:r>
    </w:p>
    <w:p>
      <w:pPr>
        <w:pStyle w:val="Tiret1"/>
        <w:rPr>
          <w:noProof/>
        </w:rPr>
      </w:pPr>
      <w:r>
        <w:rPr>
          <w:noProof/>
        </w:rPr>
        <w:t xml:space="preserve">281,5 млн. евро за оперативните фондове на организациите на производители в сектора на плодовете и зеленчуците; </w:t>
      </w:r>
    </w:p>
    <w:p>
      <w:pPr>
        <w:pStyle w:val="Tiret1"/>
        <w:rPr>
          <w:noProof/>
        </w:rPr>
      </w:pPr>
      <w:r>
        <w:rPr>
          <w:noProof/>
        </w:rPr>
        <w:t xml:space="preserve">941,6 млн. евро за схемата за основно плащане (СОП) (преки плащания). </w:t>
      </w:r>
    </w:p>
    <w:p>
      <w:pPr>
        <w:pStyle w:val="Text1"/>
        <w:rPr>
          <w:noProof/>
        </w:rPr>
      </w:pPr>
      <w:r>
        <w:rPr>
          <w:noProof/>
        </w:rPr>
        <w:t xml:space="preserve">Остатъкът от постъпилите през 2016 г. целеви приходи в размер на 1304 млн. евро автоматично беше пренесен в бюджета за 2017 г. за финансиране на бюджетните нужди за посочената година. </w:t>
      </w:r>
    </w:p>
    <w:p>
      <w:pPr>
        <w:pStyle w:val="Text1"/>
        <w:rPr>
          <w:noProof/>
        </w:rPr>
      </w:pPr>
      <w:r>
        <w:rPr>
          <w:noProof/>
        </w:rPr>
        <w:t>За повече подробности вж. приложения 3-I и 3-II.</w:t>
      </w:r>
    </w:p>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w:t>
    </w:r>
    <w:r>
      <w:rPr>
        <w:noProof/>
      </w:rPr>
      <w:fldChar w:fldCharType="end"/>
    </w:r>
  </w:p>
  <w:p>
    <w:pPr>
      <w:pStyle w:val="Footer"/>
      <w:rPr>
        <w:rFonts w:ascii="Arial" w:hAnsi="Arial" w:cs="Arial"/>
        <w:b/>
        <w:sz w:val="4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Процедурата е представена в приложение 1.</w:t>
      </w:r>
    </w:p>
  </w:footnote>
  <w:footnote w:id="2">
    <w:p>
      <w:pPr>
        <w:pStyle w:val="FootnoteText"/>
      </w:pPr>
      <w:r>
        <w:rPr>
          <w:rStyle w:val="FootnoteReference"/>
        </w:rPr>
        <w:footnoteRef/>
      </w:r>
      <w:r>
        <w:tab/>
        <w:t>Тези суми не са вписани в бюджетните редове „Приходи“ (статия 670 за целевите приходи, предназначени за ЕФГЗ), в които е записан символичен запис „p.m.“ („pro memoria“), но прогнозираната сума е посочена в коментарите по бюджетните редове относно тази статия.</w:t>
      </w:r>
    </w:p>
  </w:footnote>
  <w:footnote w:id="3">
    <w:p>
      <w:pPr>
        <w:pStyle w:val="FootnoteText"/>
      </w:pPr>
      <w:r>
        <w:rPr>
          <w:rStyle w:val="FootnoteReference"/>
        </w:rPr>
        <w:footnoteRef/>
      </w:r>
      <w:r>
        <w:tab/>
        <w:t>ОВ L 347, 20.12.2013 г., стр. 549.</w:t>
      </w:r>
    </w:p>
  </w:footnote>
  <w:footnote w:id="4">
    <w:p>
      <w:pPr>
        <w:pStyle w:val="FootnoteText"/>
      </w:pPr>
      <w:r>
        <w:rPr>
          <w:rStyle w:val="FootnoteReference"/>
        </w:rPr>
        <w:footnoteRef/>
      </w:r>
      <w:r>
        <w:t xml:space="preserve"> </w:t>
      </w:r>
      <w:r>
        <w:tab/>
        <w:t>Тези бюджетни кредити могат да бъдат пренесени в съответствие с член 169, параграф 3 от Финансовия регламент (ЕС, Евратом) № 966/2012, като в съответствие с член 26, параграф 5 от Регламент (ЕС) № 1306/2013 държавите членки възстановяват бюджетните кредити на крайните получатели, подлежащи на прилагане на механизма за финансова дисциплина през финансовата година, към която са пренесени бюджетните кредити, в съответствие с член 26, параграфи 1—4 от посочения регламент.</w:t>
      </w:r>
    </w:p>
  </w:footnote>
  <w:footnote w:id="5">
    <w:p>
      <w:pPr>
        <w:pStyle w:val="FootnoteText"/>
        <w:rPr>
          <w:lang w:val="pl-PL"/>
        </w:rPr>
      </w:pPr>
      <w:r>
        <w:rPr>
          <w:rStyle w:val="FootnoteReference"/>
        </w:rPr>
        <w:footnoteRef/>
      </w:r>
      <w:r>
        <w:tab/>
        <w:t>ОВ L 347, 20.12.2013 г., стр. 608.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FAFEA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3C40B18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F212747"/>
    <w:multiLevelType w:val="multilevel"/>
    <w:tmpl w:val="FBD0F488"/>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6">
    <w:nsid w:val="14727C55"/>
    <w:multiLevelType w:val="multilevel"/>
    <w:tmpl w:val="D3422DA4"/>
    <w:lvl w:ilvl="0">
      <w:start w:val="1"/>
      <w:numFmt w:val="decimal"/>
      <w:lvlRestart w:val="0"/>
      <w:pStyle w:val="Heading1"/>
      <w:lvlText w:val="%1."/>
      <w:lvlJc w:val="left"/>
      <w:pPr>
        <w:tabs>
          <w:tab w:val="num" w:pos="850"/>
        </w:tabs>
        <w:ind w:left="850" w:hanging="850"/>
      </w:pPr>
      <w:rPr>
        <w:sz w:val="24"/>
        <w:szCs w:val="24"/>
        <w:vertAlign w:val="baseline"/>
      </w:rPr>
    </w:lvl>
    <w:lvl w:ilvl="1">
      <w:start w:val="1"/>
      <w:numFmt w:val="decimal"/>
      <w:pStyle w:val="Heading2"/>
      <w:lvlText w:val="%1.%2."/>
      <w:lvlJc w:val="left"/>
      <w:pPr>
        <w:tabs>
          <w:tab w:val="num" w:pos="850"/>
        </w:tabs>
        <w:ind w:left="850" w:hanging="850"/>
      </w:pPr>
      <w:rPr>
        <w:color w:val="auto"/>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49674C4"/>
    <w:multiLevelType w:val="singleLevel"/>
    <w:tmpl w:val="8A2AF054"/>
    <w:name w:val="0,6340992"/>
    <w:lvl w:ilvl="0">
      <w:start w:val="1"/>
      <w:numFmt w:val="bullet"/>
      <w:lvlRestart w:val="0"/>
      <w:pStyle w:val="Tiret1"/>
      <w:lvlText w:val="–"/>
      <w:lvlJc w:val="left"/>
      <w:pPr>
        <w:tabs>
          <w:tab w:val="num" w:pos="1417"/>
        </w:tabs>
        <w:ind w:left="1417" w:hanging="567"/>
      </w:pPr>
    </w:lvl>
  </w:abstractNum>
  <w:abstractNum w:abstractNumId="8">
    <w:nsid w:val="15592001"/>
    <w:multiLevelType w:val="singleLevel"/>
    <w:tmpl w:val="3C6C7C7E"/>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9">
    <w:nsid w:val="158411A6"/>
    <w:multiLevelType w:val="singleLevel"/>
    <w:tmpl w:val="891A2EB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241162DB"/>
    <w:multiLevelType w:val="singleLevel"/>
    <w:tmpl w:val="B27E1B54"/>
    <w:lvl w:ilvl="0">
      <w:start w:val="1"/>
      <w:numFmt w:val="bullet"/>
      <w:lvlRestart w:val="0"/>
      <w:pStyle w:val="Tiret2"/>
      <w:lvlText w:val="–"/>
      <w:lvlJc w:val="left"/>
      <w:pPr>
        <w:tabs>
          <w:tab w:val="num" w:pos="1984"/>
        </w:tabs>
        <w:ind w:left="1984" w:hanging="567"/>
      </w:pPr>
    </w:lvl>
  </w:abstractNum>
  <w:abstractNum w:abstractNumId="11">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F076C74"/>
    <w:multiLevelType w:val="multilevel"/>
    <w:tmpl w:val="CC8EDB14"/>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3">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4">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40FF3500"/>
    <w:multiLevelType w:val="singleLevel"/>
    <w:tmpl w:val="84DA1EE8"/>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4BF12751"/>
    <w:multiLevelType w:val="multilevel"/>
    <w:tmpl w:val="0809001F"/>
    <w:name w:val="NumPar"/>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596D67A1"/>
    <w:multiLevelType w:val="singleLevel"/>
    <w:tmpl w:val="9AC8831A"/>
    <w:name w:val="Tiret 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8">
    <w:nsid w:val="5F8C3B69"/>
    <w:multiLevelType w:val="multilevel"/>
    <w:tmpl w:val="9B14DAA8"/>
    <w:name w:val="Bullet 0"/>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62A8042C"/>
    <w:multiLevelType w:val="singleLevel"/>
    <w:tmpl w:val="CCF20C06"/>
    <w:name w:val="Bullet 2"/>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nsid w:val="63B26268"/>
    <w:multiLevelType w:val="singleLevel"/>
    <w:tmpl w:val="491E6360"/>
    <w:name w:val="Tiret 2"/>
    <w:lvl w:ilvl="0">
      <w:start w:val="1"/>
      <w:numFmt w:val="decimal"/>
      <w:lvlRestart w:val="0"/>
      <w:pStyle w:val="Considrant"/>
      <w:lvlText w:val="(%1)"/>
      <w:lvlJc w:val="left"/>
      <w:pPr>
        <w:tabs>
          <w:tab w:val="num" w:pos="709"/>
        </w:tabs>
        <w:ind w:left="709" w:hanging="709"/>
      </w:pPr>
      <w:rPr>
        <w:rFonts w:cs="Times New Roman"/>
      </w:rPr>
    </w:lvl>
  </w:abstractNum>
  <w:abstractNum w:abstractNumId="21">
    <w:nsid w:val="6A6901C1"/>
    <w:multiLevelType w:val="singleLevel"/>
    <w:tmpl w:val="208841AE"/>
    <w:name w:val="0,8228368"/>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nsid w:val="6D2B5511"/>
    <w:multiLevelType w:val="singleLevel"/>
    <w:tmpl w:val="74A09970"/>
    <w:name w:val="5,794489E-0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3">
    <w:nsid w:val="6EC300CA"/>
    <w:multiLevelType w:val="singleLevel"/>
    <w:tmpl w:val="055ABBD0"/>
    <w:name w:val="Point"/>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712E4B18"/>
    <w:multiLevelType w:val="singleLevel"/>
    <w:tmpl w:val="66ECC298"/>
    <w:lvl w:ilvl="0">
      <w:start w:val="1"/>
      <w:numFmt w:val="bullet"/>
      <w:lvlRestart w:val="0"/>
      <w:pStyle w:val="Tiret3"/>
      <w:lvlText w:val="–"/>
      <w:lvlJc w:val="left"/>
      <w:pPr>
        <w:tabs>
          <w:tab w:val="num" w:pos="2551"/>
        </w:tabs>
        <w:ind w:left="2551" w:hanging="567"/>
      </w:pPr>
    </w:lvl>
  </w:abstractNum>
  <w:abstractNum w:abstractNumId="25">
    <w:nsid w:val="729504D5"/>
    <w:multiLevelType w:val="singleLevel"/>
    <w:tmpl w:val="1BC6DBFC"/>
    <w:name w:val="0,1023829"/>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6">
    <w:nsid w:val="78A241BD"/>
    <w:multiLevelType w:val="singleLevel"/>
    <w:tmpl w:val="53C4DF32"/>
    <w:name w:val="0,4901348"/>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7">
    <w:nsid w:val="79C96D36"/>
    <w:multiLevelType w:val="multilevel"/>
    <w:tmpl w:val="BE983CE4"/>
    <w:name w:val="0,38967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7B454D54"/>
    <w:multiLevelType w:val="singleLevel"/>
    <w:tmpl w:val="8A02E4B2"/>
    <w:lvl w:ilvl="0">
      <w:start w:val="1"/>
      <w:numFmt w:val="bullet"/>
      <w:lvlRestart w:val="0"/>
      <w:pStyle w:val="Tiret4"/>
      <w:lvlText w:val="–"/>
      <w:lvlJc w:val="left"/>
      <w:pPr>
        <w:tabs>
          <w:tab w:val="num" w:pos="3118"/>
        </w:tabs>
        <w:ind w:left="3118" w:hanging="567"/>
      </w:pPr>
    </w:lvl>
  </w:abstractNum>
  <w:abstractNum w:abstractNumId="29">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0">
    <w:nsid w:val="7E8224EA"/>
    <w:multiLevelType w:val="singleLevel"/>
    <w:tmpl w:val="34DEB8CE"/>
    <w:lvl w:ilvl="0">
      <w:start w:val="1"/>
      <w:numFmt w:val="bullet"/>
      <w:lvlRestart w:val="0"/>
      <w:pStyle w:val="Tiret0"/>
      <w:lvlText w:val="–"/>
      <w:lvlJc w:val="left"/>
      <w:pPr>
        <w:tabs>
          <w:tab w:val="num" w:pos="850"/>
        </w:tabs>
        <w:ind w:left="850" w:hanging="850"/>
      </w:pPr>
    </w:lvl>
  </w:abstractNum>
  <w:abstractNum w:abstractNumId="31">
    <w:nsid w:val="7F7154E1"/>
    <w:multiLevelType w:val="singleLevel"/>
    <w:tmpl w:val="E3F6D2C6"/>
    <w:name w:val="0,109158"/>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30"/>
  </w:num>
  <w:num w:numId="2">
    <w:abstractNumId w:val="7"/>
  </w:num>
  <w:num w:numId="3">
    <w:abstractNumId w:val="10"/>
  </w:num>
  <w:num w:numId="4">
    <w:abstractNumId w:val="24"/>
  </w:num>
  <w:num w:numId="5">
    <w:abstractNumId w:val="28"/>
  </w:num>
  <w:num w:numId="6">
    <w:abstractNumId w:val="4"/>
  </w:num>
  <w:num w:numId="7">
    <w:abstractNumId w:val="12"/>
  </w:num>
  <w:num w:numId="8">
    <w:abstractNumId w:val="8"/>
  </w:num>
  <w:num w:numId="9">
    <w:abstractNumId w:val="15"/>
  </w:num>
  <w:num w:numId="10">
    <w:abstractNumId w:val="9"/>
  </w:num>
  <w:num w:numId="11">
    <w:abstractNumId w:val="25"/>
  </w:num>
  <w:num w:numId="12">
    <w:abstractNumId w:val="23"/>
  </w:num>
  <w:num w:numId="13">
    <w:abstractNumId w:val="20"/>
  </w:num>
  <w:num w:numId="14">
    <w:abstractNumId w:val="1"/>
  </w:num>
  <w:num w:numId="15">
    <w:abstractNumId w:val="0"/>
  </w:num>
  <w:num w:numId="16">
    <w:abstractNumId w:val="16"/>
  </w:num>
  <w:num w:numId="17">
    <w:abstractNumId w:val="18"/>
  </w:num>
  <w:num w:numId="18">
    <w:abstractNumId w:val="27"/>
  </w:num>
  <w:num w:numId="19">
    <w:abstractNumId w:val="11"/>
  </w:num>
  <w:num w:numId="20">
    <w:abstractNumId w:val="3"/>
  </w:num>
  <w:num w:numId="21">
    <w:abstractNumId w:val="2"/>
  </w:num>
  <w:num w:numId="22">
    <w:abstractNumId w:val="22"/>
  </w:num>
  <w:num w:numId="23">
    <w:abstractNumId w:val="21"/>
  </w:num>
  <w:num w:numId="24">
    <w:abstractNumId w:val="5"/>
  </w:num>
  <w:num w:numId="25">
    <w:abstractNumId w:val="13"/>
  </w:num>
  <w:num w:numId="26">
    <w:abstractNumId w:val="31"/>
  </w:num>
  <w:num w:numId="27">
    <w:abstractNumId w:val="14"/>
  </w:num>
  <w:num w:numId="28">
    <w:abstractNumId w:val="19"/>
  </w:num>
  <w:num w:numId="29">
    <w:abstractNumId w:val="17"/>
  </w:num>
  <w:num w:numId="30">
    <w:abstractNumId w:val="26"/>
  </w:num>
  <w:num w:numId="31">
    <w:abstractNumId w:val="29"/>
  </w:num>
  <w:num w:numId="32">
    <w:abstractNumId w:val="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2292E7178E3D424BA685962596A919CD"/>
    <w:docVar w:name="LW_CROSSREFERENCE" w:val="{SWD(2017) 285 final}"/>
    <w:docVar w:name="LW_DocType" w:val="NORMAL"/>
    <w:docVar w:name="LW_EMISSION" w:val="28.8.2017"/>
    <w:docVar w:name="LW_EMISSION_ISODATE" w:val="2017-08-28"/>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456"/>
    <w:docVar w:name="LW_REF.INTERNE" w:val="&lt;UNUSED&gt;"/>
    <w:docVar w:name="LW_SOUS.TITRE.OBJ.CP" w:val="&lt;UNUSED&gt;"/>
    <w:docVar w:name="LW_SUPERTITRE" w:val="&lt;UNUSED&gt;"/>
    <w:docVar w:name="LW_TITRE.OBJ.CP" w:val="\u1044?\u1045?\u1057?\u1045?\u1058?\u1048? \u1060?\u1048?\u1053?\u1040?\u1053?\u1057?\u1054?\u1042? \u1044?\u1054?\u1050?\u1051?\u1040?\u1044? \u1053?\u1040? \u1050?\u1054?\u1052?\u1048?\u1057?\u1048?\u1071?\u1058?\u1040? \u1044?\u1054? \u1045?\u1042?\u1056?\u1054?\u1055?\u1045?\u1049?\u1057?\u1050?\u1048?\u1071?_x000b_\u1055?\u1040?\u1056?\u1051?\u1040?\u1052?\u1045?\u1053?\u1058? \u1048? \u1057?\u1066?\u1042?\u1045?\u1058?\u1040? \u1054?\u1058?\u1053?\u1054?\u1057?\u1053?\u1054? \u1045?\u1042?\u1056?\u1054?\u1055?\u1045?\u1049?\u1057?\u1050?\u1048?\u1071? \u1060?\u1054?\u1053?\u1044? \u1047?\u1040?_x000b_\u1043?\u1040?\u1056?\u1040?\u1053?\u1058?\u1048?\u1056?\u1040?\u1053?\u1045? \u1053?\u1040? \u1047?\u1045?\u1052?\u1045?\u1044?\u1045?\u1051?\u1048?\u1045?\u1058?\u1054?_x000b__x000b_2016 \u1041?\u1070?\u1044?\u1046?\u1045?\u1058?\u1053?\u1040? \u1043?\u1054?\u1044?\u1048?\u1053?\u104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32"/>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32"/>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32"/>
      </w:numPr>
      <w:spacing w:before="120" w:after="120" w:line="240" w:lineRule="auto"/>
      <w:jc w:val="both"/>
      <w:outlineLvl w:val="2"/>
    </w:pPr>
    <w:rPr>
      <w:rFonts w:ascii="Times New Roman" w:eastAsia="Times New Roman" w:hAnsi="Times New Roman"/>
      <w:i/>
      <w:iCs/>
      <w:noProof/>
      <w:sz w:val="24"/>
      <w:szCs w:val="26"/>
    </w:rPr>
  </w:style>
  <w:style w:type="paragraph" w:styleId="Heading4">
    <w:name w:val="heading 4"/>
    <w:basedOn w:val="Normal"/>
    <w:next w:val="Text1"/>
    <w:link w:val="Heading4Char"/>
    <w:qFormat/>
    <w:pPr>
      <w:keepNext/>
      <w:numPr>
        <w:ilvl w:val="3"/>
        <w:numId w:val="32"/>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szCs w:val="20"/>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rPr>
      <w:rFonts w:ascii="Times New Roman" w:eastAsia="Times New Roman" w:hAnsi="Times New Roman"/>
      <w:i/>
      <w:iCs/>
      <w:noProof/>
      <w:sz w:val="24"/>
      <w:szCs w:val="26"/>
      <w:lang w:eastAsia="bg-BG"/>
    </w:rPr>
  </w:style>
  <w:style w:type="character" w:customStyle="1" w:styleId="Heading4Char">
    <w:name w:val="Heading 4 Char"/>
    <w:link w:val="Heading4"/>
    <w:rPr>
      <w:rFonts w:ascii="Times New Roman" w:eastAsia="Times New Roman" w:hAnsi="Times New Roman"/>
      <w:bCs/>
      <w:sz w:val="24"/>
      <w:szCs w:val="28"/>
      <w:lang w:eastAsia="bg-BG"/>
    </w:rPr>
  </w:style>
  <w:style w:type="character" w:customStyle="1" w:styleId="Heading5Char">
    <w:name w:val="Heading 5 Char"/>
    <w:link w:val="Heading5"/>
    <w:rPr>
      <w:rFonts w:ascii="Arial" w:eastAsia="Times New Roman" w:hAnsi="Arial"/>
      <w:sz w:val="22"/>
      <w:lang w:eastAsia="bg-BG"/>
    </w:rPr>
  </w:style>
  <w:style w:type="character" w:customStyle="1" w:styleId="Heading6Char">
    <w:name w:val="Heading 6 Char"/>
    <w:link w:val="Heading6"/>
    <w:rPr>
      <w:rFonts w:ascii="Arial" w:eastAsia="Times New Roman" w:hAnsi="Arial"/>
      <w:i/>
      <w:sz w:val="22"/>
      <w:lang w:eastAsia="bg-BG"/>
    </w:rPr>
  </w:style>
  <w:style w:type="character" w:customStyle="1" w:styleId="Heading7Char">
    <w:name w:val="Heading 7 Char"/>
    <w:link w:val="Heading7"/>
    <w:rPr>
      <w:rFonts w:ascii="Arial" w:eastAsia="Times New Roman" w:hAnsi="Arial"/>
      <w:lang w:eastAsia="bg-BG"/>
    </w:rPr>
  </w:style>
  <w:style w:type="character" w:customStyle="1" w:styleId="Heading8Char">
    <w:name w:val="Heading 8 Char"/>
    <w:link w:val="Heading8"/>
    <w:rPr>
      <w:rFonts w:ascii="Arial" w:eastAsia="Times New Roman" w:hAnsi="Arial"/>
      <w:i/>
      <w:lang w:eastAsia="bg-BG"/>
    </w:rPr>
  </w:style>
  <w:style w:type="character" w:customStyle="1" w:styleId="Heading9Char">
    <w:name w:val="Heading 9 Char"/>
    <w:link w:val="Heading9"/>
    <w:rPr>
      <w:rFonts w:ascii="Arial" w:eastAsia="Times New Roman" w:hAnsi="Arial"/>
      <w:i/>
      <w:sz w:val="18"/>
      <w:lang w:eastAsia="bg-BG"/>
    </w:rPr>
  </w:style>
  <w:style w:type="paragraph" w:styleId="Header">
    <w:name w:val="header"/>
    <w:basedOn w:val="Normal"/>
    <w:link w:val="HeaderChar"/>
    <w:uiPriority w:val="99"/>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har">
    <w:name w:val="Header Char"/>
    <w:link w:val="Header"/>
    <w:uiPriority w:val="99"/>
    <w:rPr>
      <w:rFonts w:ascii="Times New Roman" w:eastAsia="Times New Roman" w:hAnsi="Times New Roman"/>
      <w:sz w:val="24"/>
      <w:szCs w:val="24"/>
      <w:lang w:eastAsia="bg-BG"/>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link w:val="Footer"/>
    <w:uiPriority w:val="99"/>
    <w:rPr>
      <w:rFonts w:ascii="Times New Roman" w:eastAsia="Times New Roman" w:hAnsi="Times New Roman"/>
      <w:sz w:val="24"/>
      <w:szCs w:val="24"/>
      <w:lang w:eastAsia="bg-BG"/>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lang w:eastAsia="bg-BG"/>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39"/>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39"/>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39"/>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rPr>
      <w:rFonts w:cs="Times New Roman"/>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rFonts w:cs="Times New Roman"/>
      <w:color w:val="0000FF"/>
      <w:shd w:val="clear" w:color="auto" w:fill="auto"/>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
    <w:name w:val="List Bullet"/>
    <w:basedOn w:val="Normal"/>
    <w:pPr>
      <w:numPr>
        <w:numId w:val="22"/>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pPr>
      <w:numPr>
        <w:numId w:val="2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2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26"/>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pPr>
      <w:numPr>
        <w:numId w:val="17"/>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9"/>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pPr>
      <w:numPr>
        <w:numId w:val="20"/>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ListDash1">
    <w:name w:val="List Dash 1"/>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ListDash2">
    <w:name w:val="List Dash 2"/>
    <w:basedOn w:val="Normal"/>
    <w:pPr>
      <w:numPr>
        <w:numId w:val="29"/>
      </w:numPr>
      <w:spacing w:before="120" w:after="120" w:line="240" w:lineRule="auto"/>
      <w:jc w:val="both"/>
    </w:pPr>
    <w:rPr>
      <w:rFonts w:ascii="Times New Roman" w:eastAsia="Times New Roman" w:hAnsi="Times New Roman"/>
      <w:sz w:val="24"/>
      <w:szCs w:val="24"/>
    </w:rPr>
  </w:style>
  <w:style w:type="paragraph" w:customStyle="1" w:styleId="ListDash3">
    <w:name w:val="List Dash 3"/>
    <w:basedOn w:val="Normal"/>
    <w:pPr>
      <w:numPr>
        <w:numId w:val="30"/>
      </w:numPr>
      <w:spacing w:before="120" w:after="120" w:line="240" w:lineRule="auto"/>
      <w:jc w:val="both"/>
    </w:pPr>
    <w:rPr>
      <w:rFonts w:ascii="Times New Roman" w:eastAsia="Times New Roman" w:hAnsi="Times New Roman"/>
      <w:sz w:val="24"/>
      <w:szCs w:val="24"/>
    </w:rPr>
  </w:style>
  <w:style w:type="paragraph" w:customStyle="1" w:styleId="ListDash4">
    <w:name w:val="List Dash 4"/>
    <w:basedOn w:val="Normal"/>
    <w:pPr>
      <w:numPr>
        <w:numId w:val="31"/>
      </w:numPr>
      <w:spacing w:before="120" w:after="120" w:line="240" w:lineRule="auto"/>
      <w:jc w:val="both"/>
    </w:pPr>
    <w:rPr>
      <w:rFonts w:ascii="Times New Roman" w:eastAsia="Times New Roman" w:hAnsi="Times New Roman"/>
      <w:sz w:val="24"/>
      <w:szCs w:val="24"/>
    </w:rPr>
  </w:style>
  <w:style w:type="paragraph" w:customStyle="1" w:styleId="ListNumber1">
    <w:name w:val="List Number 1"/>
    <w:basedOn w:val="Text1"/>
    <w:pPr>
      <w:numPr>
        <w:numId w:val="18"/>
      </w:numPr>
    </w:pPr>
    <w:rPr>
      <w:rFonts w:eastAsia="MS PGothic"/>
      <w:noProof/>
    </w:rPr>
  </w:style>
  <w:style w:type="paragraph" w:customStyle="1" w:styleId="ListNumberLevel2">
    <w:name w:val="List Number (Level 2)"/>
    <w:basedOn w:val="Normal"/>
    <w:pPr>
      <w:numPr>
        <w:ilvl w:val="1"/>
        <w:numId w:val="17"/>
      </w:numPr>
      <w:spacing w:before="120" w:after="120" w:line="240" w:lineRule="auto"/>
      <w:jc w:val="both"/>
    </w:pPr>
    <w:rPr>
      <w:rFonts w:ascii="Times New Roman" w:eastAsia="Times New Roman" w:hAnsi="Times New Roman"/>
      <w:sz w:val="24"/>
      <w:szCs w:val="24"/>
    </w:rPr>
  </w:style>
  <w:style w:type="paragraph" w:customStyle="1" w:styleId="ListNumber1Level2">
    <w:name w:val="List Number 1 (Level 2)"/>
    <w:basedOn w:val="Text1"/>
    <w:pPr>
      <w:numPr>
        <w:ilvl w:val="1"/>
        <w:numId w:val="18"/>
      </w:numPr>
    </w:pPr>
    <w:rPr>
      <w:rFonts w:eastAsia="MS PGothic"/>
      <w:noProof/>
    </w:rPr>
  </w:style>
  <w:style w:type="paragraph" w:customStyle="1" w:styleId="ListNumber2Level2">
    <w:name w:val="List Number 2 (Level 2)"/>
    <w:basedOn w:val="Text2"/>
    <w:pPr>
      <w:numPr>
        <w:ilvl w:val="1"/>
        <w:numId w:val="19"/>
      </w:numPr>
    </w:pPr>
  </w:style>
  <w:style w:type="paragraph" w:customStyle="1" w:styleId="ListNumber3Level2">
    <w:name w:val="List Number 3 (Level 2)"/>
    <w:basedOn w:val="Text3"/>
    <w:pPr>
      <w:numPr>
        <w:ilvl w:val="1"/>
        <w:numId w:val="20"/>
      </w:numPr>
    </w:pPr>
  </w:style>
  <w:style w:type="paragraph" w:customStyle="1" w:styleId="ListNumber4Level2">
    <w:name w:val="List Number 4 (Level 2)"/>
    <w:basedOn w:val="Text4"/>
    <w:pPr>
      <w:numPr>
        <w:ilvl w:val="1"/>
        <w:numId w:val="21"/>
      </w:numPr>
    </w:pPr>
  </w:style>
  <w:style w:type="paragraph" w:customStyle="1" w:styleId="ListNumberLevel3">
    <w:name w:val="List Number (Level 3)"/>
    <w:basedOn w:val="Normal"/>
    <w:pPr>
      <w:numPr>
        <w:ilvl w:val="2"/>
        <w:numId w:val="17"/>
      </w:numPr>
      <w:spacing w:before="120" w:after="120" w:line="240" w:lineRule="auto"/>
      <w:jc w:val="both"/>
    </w:pPr>
    <w:rPr>
      <w:rFonts w:ascii="Times New Roman" w:eastAsia="Times New Roman" w:hAnsi="Times New Roman"/>
      <w:sz w:val="24"/>
      <w:szCs w:val="24"/>
    </w:rPr>
  </w:style>
  <w:style w:type="paragraph" w:customStyle="1" w:styleId="ListNumber1Level3">
    <w:name w:val="List Number 1 (Level 3)"/>
    <w:basedOn w:val="Text1"/>
    <w:pPr>
      <w:numPr>
        <w:ilvl w:val="2"/>
        <w:numId w:val="18"/>
      </w:numPr>
    </w:pPr>
    <w:rPr>
      <w:rFonts w:eastAsia="MS PGothic"/>
      <w:noProof/>
    </w:rPr>
  </w:style>
  <w:style w:type="paragraph" w:customStyle="1" w:styleId="ListNumber2Level3">
    <w:name w:val="List Number 2 (Level 3)"/>
    <w:basedOn w:val="Text2"/>
    <w:pPr>
      <w:numPr>
        <w:ilvl w:val="2"/>
        <w:numId w:val="19"/>
      </w:numPr>
    </w:pPr>
  </w:style>
  <w:style w:type="paragraph" w:customStyle="1" w:styleId="ListNumber3Level3">
    <w:name w:val="List Number 3 (Level 3)"/>
    <w:basedOn w:val="Text3"/>
    <w:pPr>
      <w:numPr>
        <w:ilvl w:val="2"/>
        <w:numId w:val="20"/>
      </w:numPr>
    </w:pPr>
  </w:style>
  <w:style w:type="paragraph" w:customStyle="1" w:styleId="ListNumber4Level3">
    <w:name w:val="List Number 4 (Level 3)"/>
    <w:basedOn w:val="Text4"/>
    <w:pPr>
      <w:numPr>
        <w:ilvl w:val="2"/>
        <w:numId w:val="21"/>
      </w:numPr>
    </w:pPr>
  </w:style>
  <w:style w:type="paragraph" w:customStyle="1" w:styleId="ListNumberLevel4">
    <w:name w:val="List Number (Level 4)"/>
    <w:basedOn w:val="Normal"/>
    <w:pPr>
      <w:numPr>
        <w:ilvl w:val="3"/>
        <w:numId w:val="17"/>
      </w:numPr>
      <w:spacing w:before="120" w:after="120" w:line="240" w:lineRule="auto"/>
      <w:jc w:val="both"/>
    </w:pPr>
    <w:rPr>
      <w:rFonts w:ascii="Times New Roman" w:eastAsia="Times New Roman" w:hAnsi="Times New Roman"/>
      <w:sz w:val="24"/>
      <w:szCs w:val="24"/>
    </w:rPr>
  </w:style>
  <w:style w:type="paragraph" w:customStyle="1" w:styleId="ListNumber1Level4">
    <w:name w:val="List Number 1 (Level 4)"/>
    <w:basedOn w:val="Text1"/>
    <w:pPr>
      <w:numPr>
        <w:ilvl w:val="3"/>
        <w:numId w:val="18"/>
      </w:numPr>
    </w:pPr>
    <w:rPr>
      <w:rFonts w:eastAsia="MS PGothic"/>
      <w:noProof/>
    </w:rPr>
  </w:style>
  <w:style w:type="paragraph" w:customStyle="1" w:styleId="ListNumber2Level4">
    <w:name w:val="List Number 2 (Level 4)"/>
    <w:basedOn w:val="Text2"/>
    <w:pPr>
      <w:numPr>
        <w:ilvl w:val="3"/>
        <w:numId w:val="19"/>
      </w:numPr>
    </w:pPr>
  </w:style>
  <w:style w:type="paragraph" w:customStyle="1" w:styleId="ListNumber3Level4">
    <w:name w:val="List Number 3 (Level 4)"/>
    <w:basedOn w:val="Text3"/>
    <w:pPr>
      <w:numPr>
        <w:ilvl w:val="3"/>
        <w:numId w:val="20"/>
      </w:numPr>
    </w:pPr>
  </w:style>
  <w:style w:type="paragraph" w:customStyle="1" w:styleId="ListNumber4Level4">
    <w:name w:val="List Number 4 (Level 4)"/>
    <w:basedOn w:val="Text4"/>
    <w:pPr>
      <w:numPr>
        <w:ilvl w:val="3"/>
        <w:numId w:val="21"/>
      </w:numPr>
    </w:p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b/>
      <w:sz w:val="24"/>
      <w:szCs w:val="20"/>
    </w:rPr>
  </w:style>
  <w:style w:type="paragraph" w:customStyle="1" w:styleId="Fichefinanciretextetable">
    <w:name w:val="Fiche financière texte (table)"/>
    <w:basedOn w:val="Normal"/>
    <w:pPr>
      <w:spacing w:after="0" w:line="240" w:lineRule="auto"/>
    </w:pPr>
    <w:rPr>
      <w:rFonts w:ascii="Times New Roman" w:eastAsia="Times New Roman" w:hAnsi="Times New Roman"/>
      <w:sz w:val="20"/>
      <w:szCs w:val="20"/>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b/>
      <w:sz w:val="40"/>
      <w:szCs w:val="20"/>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b/>
      <w:sz w:val="40"/>
      <w:szCs w:val="20"/>
    </w:rPr>
  </w:style>
  <w:style w:type="character" w:styleId="PageNumber">
    <w:name w:val="page number"/>
    <w:rPr>
      <w:rFonts w:cs="Times New Roman"/>
      <w:shd w:val="clear" w:color="auto" w:fill="auto"/>
    </w:rPr>
  </w:style>
  <w:style w:type="paragraph" w:styleId="ListBullet5">
    <w:name w:val="List Bullet 5"/>
    <w:basedOn w:val="Normal"/>
    <w:autoRedefine/>
    <w:pPr>
      <w:numPr>
        <w:numId w:val="14"/>
      </w:numPr>
      <w:tabs>
        <w:tab w:val="clear" w:pos="1492"/>
        <w:tab w:val="num" w:pos="360"/>
      </w:tabs>
      <w:spacing w:after="240" w:line="240" w:lineRule="auto"/>
      <w:ind w:left="360"/>
      <w:jc w:val="both"/>
    </w:pPr>
    <w:rPr>
      <w:rFonts w:ascii="Times New Roman" w:eastAsia="Times New Roman" w:hAnsi="Times New Roman"/>
      <w:sz w:val="24"/>
      <w:szCs w:val="20"/>
    </w:rPr>
  </w:style>
  <w:style w:type="paragraph" w:styleId="ListNumber5">
    <w:name w:val="List Number 5"/>
    <w:basedOn w:val="Normal"/>
    <w:pPr>
      <w:numPr>
        <w:numId w:val="15"/>
      </w:numPr>
      <w:tabs>
        <w:tab w:val="clear" w:pos="1492"/>
        <w:tab w:val="num" w:pos="643"/>
      </w:tabs>
      <w:spacing w:after="240" w:line="240" w:lineRule="auto"/>
      <w:ind w:left="643"/>
      <w:jc w:val="both"/>
    </w:pPr>
    <w:rPr>
      <w:rFonts w:ascii="Times New Roman" w:eastAsia="Times New Roman" w:hAnsi="Times New Roman"/>
      <w:sz w:val="24"/>
      <w:szCs w:val="20"/>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sz w:val="24"/>
      <w:szCs w:val="20"/>
    </w:rPr>
  </w:style>
  <w:style w:type="character" w:customStyle="1" w:styleId="DocumentMapChar">
    <w:name w:val="Document Map Char"/>
    <w:link w:val="DocumentMap"/>
    <w:semiHidden/>
    <w:rPr>
      <w:rFonts w:ascii="Tahoma" w:eastAsia="Times New Roman" w:hAnsi="Tahoma"/>
      <w:sz w:val="24"/>
      <w:shd w:val="clear" w:color="auto" w:fill="000080"/>
      <w:lang w:eastAsia="bg-BG"/>
    </w:rPr>
  </w:style>
  <w:style w:type="character" w:styleId="Hyperlink">
    <w:name w:val="Hyperlink"/>
    <w:uiPriority w:val="99"/>
    <w:rPr>
      <w:rFonts w:cs="Times New Roman"/>
      <w:color w:val="0000FF"/>
      <w:u w:val="single"/>
      <w:shd w:val="clear" w:color="auto" w:fill="auto"/>
    </w:rPr>
  </w:style>
  <w:style w:type="paragraph" w:customStyle="1" w:styleId="AddressTL">
    <w:name w:val="AddressTL"/>
    <w:basedOn w:val="Normal"/>
    <w:next w:val="Normal"/>
    <w:pPr>
      <w:spacing w:after="720" w:line="240" w:lineRule="auto"/>
    </w:pPr>
    <w:rPr>
      <w:rFonts w:ascii="Times New Roman" w:eastAsia="Times New Roman" w:hAnsi="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rPr>
  </w:style>
  <w:style w:type="character" w:customStyle="1" w:styleId="BodyTextChar">
    <w:name w:val="Body Text Char"/>
    <w:link w:val="BodyText"/>
    <w:rPr>
      <w:rFonts w:ascii="Times New Roman" w:eastAsia="Times New Roman" w:hAnsi="Times New Roman"/>
      <w:sz w:val="24"/>
      <w:lang w:eastAsia="bg-BG"/>
    </w:rPr>
  </w:style>
  <w:style w:type="paragraph" w:styleId="BodyText2">
    <w:name w:val="Body Text 2"/>
    <w:basedOn w:val="Normal"/>
    <w:link w:val="BodyText2Char"/>
    <w:pPr>
      <w:spacing w:after="120" w:line="480" w:lineRule="auto"/>
      <w:jc w:val="both"/>
    </w:pPr>
    <w:rPr>
      <w:rFonts w:ascii="Times New Roman" w:eastAsia="Times New Roman" w:hAnsi="Times New Roman"/>
      <w:sz w:val="24"/>
      <w:szCs w:val="20"/>
    </w:rPr>
  </w:style>
  <w:style w:type="character" w:customStyle="1" w:styleId="BodyText2Char">
    <w:name w:val="Body Text 2 Char"/>
    <w:link w:val="BodyText2"/>
    <w:rPr>
      <w:rFonts w:ascii="Times New Roman" w:eastAsia="Times New Roman" w:hAnsi="Times New Roman"/>
      <w:sz w:val="24"/>
      <w:lang w:eastAsia="bg-BG"/>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rPr>
  </w:style>
  <w:style w:type="character" w:customStyle="1" w:styleId="BodyText3Char">
    <w:name w:val="Body Text 3 Char"/>
    <w:link w:val="BodyText3"/>
    <w:rPr>
      <w:rFonts w:ascii="Times New Roman" w:eastAsia="Times New Roman" w:hAnsi="Times New Roman"/>
      <w:sz w:val="16"/>
      <w:lan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Times New Roman" w:eastAsia="Times New Roman" w:hAnsi="Times New Roman"/>
      <w:sz w:val="24"/>
      <w:lang w:eastAsia="bg-BG"/>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sz w:val="24"/>
      <w:szCs w:val="20"/>
    </w:rPr>
  </w:style>
  <w:style w:type="character" w:customStyle="1" w:styleId="BodyTextIndentChar">
    <w:name w:val="Body Text Indent Char"/>
    <w:link w:val="BodyTextIndent"/>
    <w:rPr>
      <w:rFonts w:ascii="Times New Roman" w:eastAsia="Times New Roman" w:hAnsi="Times New Roman"/>
      <w:sz w:val="24"/>
      <w:lan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Times New Roman" w:eastAsia="Times New Roman" w:hAnsi="Times New Roman"/>
      <w:sz w:val="24"/>
      <w:lang w:eastAsia="bg-BG"/>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sz w:val="24"/>
      <w:szCs w:val="20"/>
    </w:rPr>
  </w:style>
  <w:style w:type="character" w:customStyle="1" w:styleId="BodyTextIndent2Char">
    <w:name w:val="Body Text Indent 2 Char"/>
    <w:link w:val="BodyTextIndent2"/>
    <w:rPr>
      <w:rFonts w:ascii="Times New Roman" w:eastAsia="Times New Roman" w:hAnsi="Times New Roman"/>
      <w:sz w:val="24"/>
      <w:lang w:eastAsia="bg-BG"/>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Pr>
      <w:rFonts w:ascii="Times New Roman" w:eastAsia="Times New Roman" w:hAnsi="Times New Roman"/>
      <w:sz w:val="16"/>
      <w:lang w:eastAsia="bg-BG"/>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sz w:val="24"/>
      <w:szCs w:val="20"/>
    </w:rPr>
  </w:style>
  <w:style w:type="character" w:customStyle="1" w:styleId="ClosingChar">
    <w:name w:val="Closing Char"/>
    <w:link w:val="Closing"/>
    <w:rPr>
      <w:rFonts w:ascii="Times New Roman" w:eastAsia="Times New Roman" w:hAnsi="Times New Roman"/>
      <w:sz w:val="24"/>
      <w:lang w:eastAsia="bg-BG"/>
    </w:rPr>
  </w:style>
  <w:style w:type="paragraph" w:styleId="Signature">
    <w:name w:val="Signature"/>
    <w:basedOn w:val="Normal"/>
    <w:next w:val="Contact"/>
    <w:link w:val="SignatureChar"/>
    <w:pPr>
      <w:tabs>
        <w:tab w:val="left" w:pos="5103"/>
      </w:tabs>
      <w:spacing w:before="1200" w:after="0" w:line="240" w:lineRule="auto"/>
      <w:ind w:left="5103"/>
      <w:jc w:val="center"/>
    </w:pPr>
    <w:rPr>
      <w:rFonts w:ascii="Times New Roman" w:eastAsia="Times New Roman" w:hAnsi="Times New Roman"/>
      <w:sz w:val="24"/>
      <w:szCs w:val="20"/>
    </w:rPr>
  </w:style>
  <w:style w:type="character" w:customStyle="1" w:styleId="SignatureChar">
    <w:name w:val="Signature Char"/>
    <w:link w:val="Signature"/>
    <w:rPr>
      <w:rFonts w:ascii="Times New Roman" w:eastAsia="Times New Roman" w:hAnsi="Times New Roman"/>
      <w:sz w:val="24"/>
      <w:lang w:eastAsia="bg-BG"/>
    </w:rPr>
  </w:style>
  <w:style w:type="paragraph" w:customStyle="1" w:styleId="Contact">
    <w:name w:val="Contact"/>
    <w:basedOn w:val="Normal"/>
    <w:next w:val="Enclosures"/>
    <w:pPr>
      <w:spacing w:before="480" w:after="0" w:line="240" w:lineRule="auto"/>
      <w:ind w:left="567" w:hanging="567"/>
    </w:pPr>
    <w:rPr>
      <w:rFonts w:ascii="Times New Roman" w:eastAsia="Times New Roman" w:hAnsi="Times New Roman"/>
      <w:sz w:val="24"/>
      <w:szCs w:val="20"/>
    </w:rPr>
  </w:style>
  <w:style w:type="paragraph" w:customStyle="1" w:styleId="Enclosures">
    <w:name w:val="Enclosures"/>
    <w:basedOn w:val="Normal"/>
    <w:next w:val="Participants"/>
    <w:pPr>
      <w:keepNext/>
      <w:keepLines/>
      <w:tabs>
        <w:tab w:val="left" w:pos="5642"/>
      </w:tabs>
      <w:spacing w:before="480" w:after="0" w:line="240" w:lineRule="auto"/>
      <w:ind w:left="1792" w:hanging="1792"/>
    </w:pPr>
    <w:rPr>
      <w:rFonts w:ascii="Times New Roman" w:eastAsia="Times New Roman" w:hAnsi="Times New Roman"/>
      <w:sz w:val="24"/>
      <w:szCs w:val="20"/>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sz w:val="24"/>
      <w:lang w:eastAsia="bg-BG"/>
    </w:rPr>
  </w:style>
  <w:style w:type="paragraph" w:customStyle="1" w:styleId="References">
    <w:name w:val="References"/>
    <w:basedOn w:val="Normal"/>
    <w:next w:val="AddressTR"/>
    <w:pPr>
      <w:spacing w:after="240" w:line="240" w:lineRule="auto"/>
      <w:ind w:left="5103"/>
    </w:pPr>
    <w:rPr>
      <w:rFonts w:ascii="Times New Roman" w:eastAsia="Times New Roman" w:hAnsi="Times New Roman"/>
      <w:sz w:val="20"/>
      <w:szCs w:val="20"/>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sz w:val="24"/>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sz w:val="20"/>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sz w:val="24"/>
      <w:szCs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rPr>
  </w:style>
  <w:style w:type="character" w:customStyle="1" w:styleId="MacroTextChar">
    <w:name w:val="Macro Text Char"/>
    <w:link w:val="MacroText"/>
    <w:semiHidden/>
    <w:rPr>
      <w:rFonts w:ascii="Courier New" w:eastAsia="Times New Roman" w:hAnsi="Courier New"/>
      <w:lang w:eastAsia="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rPr>
  </w:style>
  <w:style w:type="character" w:customStyle="1" w:styleId="MessageHeaderChar">
    <w:name w:val="Message Header Char"/>
    <w:link w:val="MessageHeader"/>
    <w:rPr>
      <w:rFonts w:ascii="Arial" w:eastAsia="Times New Roman" w:hAnsi="Arial"/>
      <w:sz w:val="24"/>
      <w:shd w:val="pct20" w:color="auto" w:fill="auto"/>
      <w:lang w:eastAsia="bg-BG"/>
    </w:rPr>
  </w:style>
  <w:style w:type="paragraph" w:styleId="NormalIndent">
    <w:name w:val="Normal Indent"/>
    <w:basedOn w:val="Normal"/>
    <w:pPr>
      <w:spacing w:after="240" w:line="240" w:lineRule="auto"/>
      <w:ind w:left="720"/>
      <w:jc w:val="both"/>
    </w:pPr>
    <w:rPr>
      <w:rFonts w:ascii="Times New Roman" w:eastAsia="Times New Roman" w:hAnsi="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sz w:val="24"/>
      <w:szCs w:val="20"/>
    </w:rPr>
  </w:style>
  <w:style w:type="character" w:customStyle="1" w:styleId="NoteHeadingChar">
    <w:name w:val="Note Heading Char"/>
    <w:link w:val="NoteHeading"/>
    <w:rPr>
      <w:rFonts w:ascii="Times New Roman" w:eastAsia="Times New Roman" w:hAnsi="Times New Roman"/>
      <w:sz w:val="24"/>
      <w:lang w:eastAsia="bg-BG"/>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b/>
      <w:smallCaps/>
      <w:sz w:val="24"/>
      <w:szCs w:val="20"/>
    </w:rPr>
  </w:style>
  <w:style w:type="paragraph" w:customStyle="1" w:styleId="Subject">
    <w:name w:val="Subject"/>
    <w:basedOn w:val="Normal"/>
    <w:next w:val="Normal"/>
    <w:pPr>
      <w:spacing w:after="480" w:line="240" w:lineRule="auto"/>
      <w:ind w:left="1191" w:hanging="1191"/>
    </w:pPr>
    <w:rPr>
      <w:rFonts w:ascii="Times New Roman" w:eastAsia="Times New Roman" w:hAnsi="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b/>
      <w:smallCaps/>
      <w:sz w:val="24"/>
      <w:szCs w:val="20"/>
    </w:rPr>
  </w:style>
  <w:style w:type="paragraph" w:styleId="PlainText">
    <w:name w:val="Plain Text"/>
    <w:basedOn w:val="Normal"/>
    <w:link w:val="PlainTextChar"/>
    <w:uiPriority w:val="99"/>
    <w:pPr>
      <w:spacing w:after="240" w:line="240" w:lineRule="auto"/>
      <w:jc w:val="both"/>
    </w:pPr>
    <w:rPr>
      <w:rFonts w:ascii="Courier New" w:eastAsia="Times New Roman" w:hAnsi="Courier New"/>
      <w:sz w:val="20"/>
      <w:szCs w:val="20"/>
    </w:rPr>
  </w:style>
  <w:style w:type="character" w:customStyle="1" w:styleId="PlainTextChar">
    <w:name w:val="Plain Text Char"/>
    <w:link w:val="PlainText"/>
    <w:uiPriority w:val="99"/>
    <w:rPr>
      <w:rFonts w:ascii="Courier New" w:eastAsia="Times New Roman" w:hAnsi="Courier New"/>
      <w:lang w:eastAsia="bg-BG"/>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sz w:val="24"/>
      <w:szCs w:val="20"/>
    </w:rPr>
  </w:style>
  <w:style w:type="character" w:customStyle="1" w:styleId="SalutationChar">
    <w:name w:val="Salutation Char"/>
    <w:link w:val="Salutation"/>
    <w:rPr>
      <w:rFonts w:ascii="Times New Roman" w:eastAsia="Times New Roman" w:hAnsi="Times New Roman"/>
      <w:sz w:val="24"/>
      <w:lang w:eastAsia="bg-BG"/>
    </w:rPr>
  </w:style>
  <w:style w:type="paragraph" w:styleId="Subtitle">
    <w:name w:val="Subtitle"/>
    <w:basedOn w:val="Normal"/>
    <w:link w:val="SubtitleChar"/>
    <w:qFormat/>
    <w:pPr>
      <w:spacing w:after="60" w:line="240" w:lineRule="auto"/>
      <w:jc w:val="center"/>
      <w:outlineLvl w:val="1"/>
    </w:pPr>
    <w:rPr>
      <w:rFonts w:ascii="Arial" w:eastAsia="Times New Roman" w:hAnsi="Arial"/>
      <w:sz w:val="24"/>
      <w:szCs w:val="20"/>
    </w:rPr>
  </w:style>
  <w:style w:type="character" w:customStyle="1" w:styleId="SubtitleChar">
    <w:name w:val="Subtitle Char"/>
    <w:link w:val="Subtitle"/>
    <w:rPr>
      <w:rFonts w:ascii="Arial" w:eastAsia="Times New Roman" w:hAnsi="Arial"/>
      <w:sz w:val="24"/>
      <w:lang w:eastAsia="bg-BG"/>
    </w:rPr>
  </w:style>
  <w:style w:type="paragraph" w:styleId="Title">
    <w:name w:val="Title"/>
    <w:basedOn w:val="Normal"/>
    <w:link w:val="TitleChar"/>
    <w:qFormat/>
    <w:pPr>
      <w:spacing w:before="240" w:after="60" w:line="240" w:lineRule="auto"/>
      <w:jc w:val="center"/>
      <w:outlineLvl w:val="0"/>
    </w:pPr>
    <w:rPr>
      <w:rFonts w:ascii="Arial" w:eastAsia="Times New Roman" w:hAnsi="Arial"/>
      <w:b/>
      <w:kern w:val="28"/>
      <w:sz w:val="32"/>
      <w:szCs w:val="20"/>
    </w:rPr>
  </w:style>
  <w:style w:type="character" w:customStyle="1" w:styleId="TitleChar">
    <w:name w:val="Title Char"/>
    <w:link w:val="Title"/>
    <w:rPr>
      <w:rFonts w:ascii="Arial" w:eastAsia="Times New Roman" w:hAnsi="Arial"/>
      <w:b/>
      <w:kern w:val="28"/>
      <w:sz w:val="32"/>
      <w:lang w:eastAsia="bg-BG"/>
    </w:rPr>
  </w:style>
  <w:style w:type="paragraph" w:customStyle="1" w:styleId="YReferences">
    <w:name w:val="YReferences"/>
    <w:basedOn w:val="Normal"/>
    <w:next w:val="Normal"/>
    <w:pPr>
      <w:spacing w:after="480" w:line="240" w:lineRule="auto"/>
      <w:ind w:left="1191" w:hanging="1191"/>
      <w:jc w:val="both"/>
    </w:pPr>
    <w:rPr>
      <w:rFonts w:ascii="Times New Roman" w:eastAsia="Times New Roman" w:hAnsi="Times New Roman"/>
      <w:sz w:val="24"/>
      <w:szCs w:val="20"/>
    </w:rPr>
  </w:style>
  <w:style w:type="paragraph" w:customStyle="1" w:styleId="DisclaimerNotice">
    <w:name w:val="Disclaimer Notice"/>
    <w:basedOn w:val="Normal"/>
    <w:next w:val="AddressTR"/>
    <w:pPr>
      <w:spacing w:after="240" w:line="240" w:lineRule="auto"/>
      <w:ind w:left="5103"/>
    </w:pPr>
    <w:rPr>
      <w:rFonts w:ascii="Times New Roman" w:eastAsia="Times New Roman" w:hAnsi="Times New Roman"/>
      <w:b/>
      <w:smallCaps/>
      <w:sz w:val="20"/>
      <w:szCs w:val="20"/>
      <w:u w:val="single"/>
    </w:rPr>
  </w:style>
  <w:style w:type="paragraph" w:customStyle="1" w:styleId="Disclaimer">
    <w:name w:val="Disclaimer"/>
    <w:basedOn w:val="Normal"/>
    <w:pPr>
      <w:keepLines/>
      <w:pBdr>
        <w:top w:val="single" w:sz="4" w:space="1" w:color="auto"/>
      </w:pBdr>
      <w:spacing w:before="480" w:after="0" w:line="240" w:lineRule="auto"/>
      <w:jc w:val="both"/>
    </w:pPr>
    <w:rPr>
      <w:rFonts w:ascii="Times New Roman" w:eastAsia="Times New Roman" w:hAnsi="Times New Roman"/>
      <w:i/>
      <w:sz w:val="24"/>
      <w:szCs w:val="20"/>
    </w:rPr>
  </w:style>
  <w:style w:type="character" w:styleId="FollowedHyperlink">
    <w:name w:val="FollowedHyperlink"/>
    <w:rPr>
      <w:rFonts w:cs="Times New Roman"/>
      <w:color w:val="800080"/>
      <w:u w:val="single"/>
      <w:shd w:val="clear" w:color="auto" w:fill="auto"/>
    </w:rPr>
  </w:style>
  <w:style w:type="paragraph" w:customStyle="1" w:styleId="DisclaimerSJ">
    <w:name w:val="Disclaimer_SJ"/>
    <w:basedOn w:val="Normal"/>
    <w:next w:val="Normal"/>
    <w:pPr>
      <w:spacing w:after="0" w:line="240" w:lineRule="auto"/>
      <w:jc w:val="both"/>
    </w:pPr>
    <w:rPr>
      <w:rFonts w:ascii="Arial" w:eastAsia="Times New Roman" w:hAnsi="Arial"/>
      <w:b/>
      <w:sz w:val="16"/>
      <w:szCs w:val="20"/>
    </w:rPr>
  </w:style>
  <w:style w:type="paragraph" w:customStyle="1" w:styleId="ZCom">
    <w:name w:val="Z_Com"/>
    <w:basedOn w:val="Normal"/>
    <w:next w:val="ZDGName"/>
    <w:pPr>
      <w:widowControl w:val="0"/>
      <w:spacing w:after="0" w:line="240" w:lineRule="auto"/>
      <w:ind w:right="85"/>
      <w:jc w:val="both"/>
    </w:pPr>
    <w:rPr>
      <w:rFonts w:ascii="Arial" w:eastAsia="Times New Roman" w:hAnsi="Arial"/>
      <w:sz w:val="24"/>
      <w:szCs w:val="20"/>
    </w:rPr>
  </w:style>
  <w:style w:type="paragraph" w:customStyle="1" w:styleId="ZDGName">
    <w:name w:val="Z_DGName"/>
    <w:basedOn w:val="Normal"/>
    <w:pPr>
      <w:widowControl w:val="0"/>
      <w:spacing w:after="0" w:line="240" w:lineRule="auto"/>
      <w:ind w:right="85"/>
    </w:pPr>
    <w:rPr>
      <w:rFonts w:ascii="Arial" w:eastAsia="Times New Roman" w:hAnsi="Arial"/>
      <w:sz w:val="16"/>
      <w:szCs w:val="20"/>
    </w:rPr>
  </w:style>
  <w:style w:type="paragraph" w:customStyle="1" w:styleId="Style91">
    <w:name w:val="Style91"/>
    <w:rPr>
      <w:rFonts w:ascii="Arial" w:eastAsia="Times New Roman" w:hAnsi="Arial"/>
      <w:sz w:val="24"/>
    </w:rPr>
  </w:style>
  <w:style w:type="paragraph" w:customStyle="1" w:styleId="texte">
    <w:name w:val="texte"/>
    <w:basedOn w:val="Normal"/>
    <w:pPr>
      <w:spacing w:before="100" w:beforeAutospacing="1" w:after="100" w:afterAutospacing="1" w:line="240" w:lineRule="auto"/>
      <w:jc w:val="both"/>
    </w:pPr>
    <w:rPr>
      <w:rFonts w:ascii="Arial" w:eastAsia="Times New Roman" w:hAnsi="Arial" w:cs="Arial"/>
      <w:color w:val="333399"/>
      <w:sz w:val="18"/>
      <w:szCs w:val="18"/>
    </w:rPr>
  </w:style>
  <w:style w:type="table" w:styleId="TableGrid">
    <w:name w:val="Table Grid"/>
    <w:basedOn w:val="TableNormal"/>
    <w:pPr>
      <w:spacing w:before="12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semiHidden/>
    <w:rPr>
      <w:rFonts w:ascii="Times New Roman" w:eastAsia="Times New Roman" w:hAnsi="Times New Roman"/>
      <w:lang w:eastAsia="bg-BG"/>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lang w:eastAsia="bg-BG"/>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bg-BG"/>
    </w:rPr>
  </w:style>
  <w:style w:type="paragraph" w:customStyle="1" w:styleId="Style1">
    <w:name w:val="Style1"/>
    <w:basedOn w:val="Heading1"/>
    <w:pPr>
      <w:numPr>
        <w:numId w:val="0"/>
      </w:numPr>
      <w:tabs>
        <w:tab w:val="left" w:pos="709"/>
      </w:tabs>
      <w:spacing w:before="240" w:after="0"/>
      <w:ind w:left="851" w:hanging="851"/>
      <w:jc w:val="left"/>
    </w:pPr>
    <w:rPr>
      <w:bCs w:val="0"/>
      <w:szCs w:val="20"/>
    </w:rPr>
  </w:style>
  <w:style w:type="paragraph" w:customStyle="1" w:styleId="Normal10pt">
    <w:name w:val="Normal + 10 pt"/>
    <w:aliases w:val="Condensed by  0,15 pt"/>
    <w:basedOn w:val="Normal"/>
    <w:pPr>
      <w:keepNext/>
      <w:suppressAutoHyphens/>
      <w:spacing w:after="0" w:line="240" w:lineRule="auto"/>
      <w:ind w:left="255"/>
    </w:pPr>
    <w:rPr>
      <w:rFonts w:ascii="Times New Roman" w:eastAsia="Times New Roman" w:hAnsi="Times New Roman"/>
      <w:spacing w:val="-3"/>
      <w:sz w:val="18"/>
      <w:szCs w:val="18"/>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spacing w:val="-2"/>
      <w:sz w:val="22"/>
    </w:rPr>
  </w:style>
  <w:style w:type="character" w:styleId="Emphasis">
    <w:name w:val="Emphasis"/>
    <w:qFormat/>
    <w:rPr>
      <w:rFonts w:cs="Times New Roman"/>
      <w:i/>
      <w:iCs/>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bg-BG"/>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sz w:val="24"/>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sz w:val="24"/>
      <w:szCs w:val="20"/>
    </w:rPr>
  </w:style>
  <w:style w:type="paragraph" w:styleId="TOAHeading">
    <w:name w:val="toa heading"/>
    <w:basedOn w:val="Normal"/>
    <w:next w:val="Normal"/>
    <w:semiHidden/>
    <w:pPr>
      <w:spacing w:before="120" w:after="240" w:line="240" w:lineRule="auto"/>
      <w:jc w:val="both"/>
    </w:pPr>
    <w:rPr>
      <w:rFonts w:ascii="Arial" w:eastAsia="Times New Roman" w:hAnsi="Arial"/>
      <w:b/>
      <w:sz w:val="24"/>
      <w:szCs w:val="20"/>
    </w:rPr>
  </w:style>
  <w:style w:type="paragraph" w:customStyle="1" w:styleId="Heading">
    <w:name w:val="Heading"/>
    <w:basedOn w:val="Heading1"/>
    <w:pPr>
      <w:numPr>
        <w:numId w:val="0"/>
      </w:numPr>
      <w:tabs>
        <w:tab w:val="num" w:pos="480"/>
        <w:tab w:val="left" w:pos="709"/>
      </w:tabs>
      <w:spacing w:before="240"/>
      <w:ind w:left="480" w:hanging="480"/>
    </w:pPr>
    <w:rPr>
      <w:bCs w:val="0"/>
      <w:sz w:val="22"/>
      <w:szCs w:val="22"/>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pPr>
      <w:spacing w:before="60" w:after="60" w:line="240" w:lineRule="auto"/>
    </w:pPr>
    <w:rPr>
      <w:rFonts w:ascii="Times New Roman" w:eastAsia="Times New Roman" w:hAnsi="Times New Roman"/>
      <w:sz w:val="20"/>
      <w:szCs w:val="2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ascii="Times New Roman" w:eastAsia="Times New Roman" w:hAnsi="Times New Roman"/>
      <w:sz w:val="24"/>
      <w:szCs w:val="20"/>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character" w:styleId="Strong">
    <w:name w:val="Strong"/>
    <w:qFormat/>
    <w:rPr>
      <w:rFonts w:cs="Times New Roman"/>
      <w:b/>
      <w:bCs/>
      <w:shd w:val="clear" w:color="auto" w:fill="auto"/>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rPr>
  </w:style>
  <w:style w:type="numbering" w:styleId="111111">
    <w:name w:val="Outline List 2"/>
    <w:basedOn w:val="NoList"/>
    <w:pPr>
      <w:numPr>
        <w:numId w:val="16"/>
      </w:numPr>
    </w:pPr>
  </w:style>
  <w:style w:type="character" w:customStyle="1" w:styleId="Text1Char">
    <w:name w:val="Text 1 Char"/>
    <w:link w:val="Text1"/>
    <w:locked/>
    <w:rPr>
      <w:rFonts w:ascii="Times New Roman" w:eastAsia="Times New Roman" w:hAnsi="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TOCHeadingChar">
    <w:name w:val="TOC Heading Char"/>
    <w:link w:val="TOCHeading"/>
    <w:rPr>
      <w:rFonts w:ascii="Times New Roman" w:eastAsia="Times New Roman" w:hAnsi="Times New Roman"/>
      <w:b/>
      <w:sz w:val="28"/>
      <w:szCs w:val="24"/>
      <w:lang w:eastAsia="bg-BG"/>
    </w:r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overPageChar">
    <w:name w:val="Header Cover Page Char"/>
    <w:link w:val="HeaderCoverPage"/>
    <w:rPr>
      <w:rFonts w:ascii="Times New Roman" w:eastAsia="Times New Roman"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32"/>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32"/>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32"/>
      </w:numPr>
      <w:spacing w:before="120" w:after="120" w:line="240" w:lineRule="auto"/>
      <w:jc w:val="both"/>
      <w:outlineLvl w:val="2"/>
    </w:pPr>
    <w:rPr>
      <w:rFonts w:ascii="Times New Roman" w:eastAsia="Times New Roman" w:hAnsi="Times New Roman"/>
      <w:i/>
      <w:iCs/>
      <w:noProof/>
      <w:sz w:val="24"/>
      <w:szCs w:val="26"/>
    </w:rPr>
  </w:style>
  <w:style w:type="paragraph" w:styleId="Heading4">
    <w:name w:val="heading 4"/>
    <w:basedOn w:val="Normal"/>
    <w:next w:val="Text1"/>
    <w:link w:val="Heading4Char"/>
    <w:qFormat/>
    <w:pPr>
      <w:keepNext/>
      <w:numPr>
        <w:ilvl w:val="3"/>
        <w:numId w:val="32"/>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szCs w:val="20"/>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bg-BG"/>
    </w:rPr>
  </w:style>
  <w:style w:type="character" w:customStyle="1" w:styleId="Heading2Char">
    <w:name w:val="Heading 2 Char"/>
    <w:link w:val="Heading2"/>
    <w:rPr>
      <w:rFonts w:ascii="Times New Roman" w:eastAsia="Times New Roman" w:hAnsi="Times New Roman"/>
      <w:b/>
      <w:bCs/>
      <w:iCs/>
      <w:sz w:val="24"/>
      <w:szCs w:val="28"/>
      <w:lang w:eastAsia="bg-BG"/>
    </w:rPr>
  </w:style>
  <w:style w:type="character" w:customStyle="1" w:styleId="Heading3Char">
    <w:name w:val="Heading 3 Char"/>
    <w:link w:val="Heading3"/>
    <w:rPr>
      <w:rFonts w:ascii="Times New Roman" w:eastAsia="Times New Roman" w:hAnsi="Times New Roman"/>
      <w:i/>
      <w:iCs/>
      <w:noProof/>
      <w:sz w:val="24"/>
      <w:szCs w:val="26"/>
      <w:lang w:eastAsia="bg-BG"/>
    </w:rPr>
  </w:style>
  <w:style w:type="character" w:customStyle="1" w:styleId="Heading4Char">
    <w:name w:val="Heading 4 Char"/>
    <w:link w:val="Heading4"/>
    <w:rPr>
      <w:rFonts w:ascii="Times New Roman" w:eastAsia="Times New Roman" w:hAnsi="Times New Roman"/>
      <w:bCs/>
      <w:sz w:val="24"/>
      <w:szCs w:val="28"/>
      <w:lang w:eastAsia="bg-BG"/>
    </w:rPr>
  </w:style>
  <w:style w:type="character" w:customStyle="1" w:styleId="Heading5Char">
    <w:name w:val="Heading 5 Char"/>
    <w:link w:val="Heading5"/>
    <w:rPr>
      <w:rFonts w:ascii="Arial" w:eastAsia="Times New Roman" w:hAnsi="Arial"/>
      <w:sz w:val="22"/>
      <w:lang w:eastAsia="bg-BG"/>
    </w:rPr>
  </w:style>
  <w:style w:type="character" w:customStyle="1" w:styleId="Heading6Char">
    <w:name w:val="Heading 6 Char"/>
    <w:link w:val="Heading6"/>
    <w:rPr>
      <w:rFonts w:ascii="Arial" w:eastAsia="Times New Roman" w:hAnsi="Arial"/>
      <w:i/>
      <w:sz w:val="22"/>
      <w:lang w:eastAsia="bg-BG"/>
    </w:rPr>
  </w:style>
  <w:style w:type="character" w:customStyle="1" w:styleId="Heading7Char">
    <w:name w:val="Heading 7 Char"/>
    <w:link w:val="Heading7"/>
    <w:rPr>
      <w:rFonts w:ascii="Arial" w:eastAsia="Times New Roman" w:hAnsi="Arial"/>
      <w:lang w:eastAsia="bg-BG"/>
    </w:rPr>
  </w:style>
  <w:style w:type="character" w:customStyle="1" w:styleId="Heading8Char">
    <w:name w:val="Heading 8 Char"/>
    <w:link w:val="Heading8"/>
    <w:rPr>
      <w:rFonts w:ascii="Arial" w:eastAsia="Times New Roman" w:hAnsi="Arial"/>
      <w:i/>
      <w:lang w:eastAsia="bg-BG"/>
    </w:rPr>
  </w:style>
  <w:style w:type="character" w:customStyle="1" w:styleId="Heading9Char">
    <w:name w:val="Heading 9 Char"/>
    <w:link w:val="Heading9"/>
    <w:rPr>
      <w:rFonts w:ascii="Arial" w:eastAsia="Times New Roman" w:hAnsi="Arial"/>
      <w:i/>
      <w:sz w:val="18"/>
      <w:lang w:eastAsia="bg-BG"/>
    </w:rPr>
  </w:style>
  <w:style w:type="paragraph" w:styleId="Header">
    <w:name w:val="header"/>
    <w:basedOn w:val="Normal"/>
    <w:link w:val="HeaderChar"/>
    <w:uiPriority w:val="99"/>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har">
    <w:name w:val="Header Char"/>
    <w:link w:val="Header"/>
    <w:uiPriority w:val="99"/>
    <w:rPr>
      <w:rFonts w:ascii="Times New Roman" w:eastAsia="Times New Roman" w:hAnsi="Times New Roman"/>
      <w:sz w:val="24"/>
      <w:szCs w:val="24"/>
      <w:lang w:eastAsia="bg-BG"/>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link w:val="Footer"/>
    <w:uiPriority w:val="99"/>
    <w:rPr>
      <w:rFonts w:ascii="Times New Roman" w:eastAsia="Times New Roman" w:hAnsi="Times New Roman"/>
      <w:sz w:val="24"/>
      <w:szCs w:val="24"/>
      <w:lang w:eastAsia="bg-BG"/>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lang w:eastAsia="bg-BG"/>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39"/>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39"/>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39"/>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rPr>
      <w:rFonts w:cs="Times New Roman"/>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rFonts w:cs="Times New Roman"/>
      <w:color w:val="0000FF"/>
      <w:shd w:val="clear" w:color="auto" w:fill="auto"/>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
    <w:name w:val="List Bullet"/>
    <w:basedOn w:val="Normal"/>
    <w:pPr>
      <w:numPr>
        <w:numId w:val="22"/>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pPr>
      <w:numPr>
        <w:numId w:val="2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2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26"/>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pPr>
      <w:numPr>
        <w:numId w:val="17"/>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9"/>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pPr>
      <w:numPr>
        <w:numId w:val="20"/>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ListDash1">
    <w:name w:val="List Dash 1"/>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ListDash2">
    <w:name w:val="List Dash 2"/>
    <w:basedOn w:val="Normal"/>
    <w:pPr>
      <w:numPr>
        <w:numId w:val="29"/>
      </w:numPr>
      <w:spacing w:before="120" w:after="120" w:line="240" w:lineRule="auto"/>
      <w:jc w:val="both"/>
    </w:pPr>
    <w:rPr>
      <w:rFonts w:ascii="Times New Roman" w:eastAsia="Times New Roman" w:hAnsi="Times New Roman"/>
      <w:sz w:val="24"/>
      <w:szCs w:val="24"/>
    </w:rPr>
  </w:style>
  <w:style w:type="paragraph" w:customStyle="1" w:styleId="ListDash3">
    <w:name w:val="List Dash 3"/>
    <w:basedOn w:val="Normal"/>
    <w:pPr>
      <w:numPr>
        <w:numId w:val="30"/>
      </w:numPr>
      <w:spacing w:before="120" w:after="120" w:line="240" w:lineRule="auto"/>
      <w:jc w:val="both"/>
    </w:pPr>
    <w:rPr>
      <w:rFonts w:ascii="Times New Roman" w:eastAsia="Times New Roman" w:hAnsi="Times New Roman"/>
      <w:sz w:val="24"/>
      <w:szCs w:val="24"/>
    </w:rPr>
  </w:style>
  <w:style w:type="paragraph" w:customStyle="1" w:styleId="ListDash4">
    <w:name w:val="List Dash 4"/>
    <w:basedOn w:val="Normal"/>
    <w:pPr>
      <w:numPr>
        <w:numId w:val="31"/>
      </w:numPr>
      <w:spacing w:before="120" w:after="120" w:line="240" w:lineRule="auto"/>
      <w:jc w:val="both"/>
    </w:pPr>
    <w:rPr>
      <w:rFonts w:ascii="Times New Roman" w:eastAsia="Times New Roman" w:hAnsi="Times New Roman"/>
      <w:sz w:val="24"/>
      <w:szCs w:val="24"/>
    </w:rPr>
  </w:style>
  <w:style w:type="paragraph" w:customStyle="1" w:styleId="ListNumber1">
    <w:name w:val="List Number 1"/>
    <w:basedOn w:val="Text1"/>
    <w:pPr>
      <w:numPr>
        <w:numId w:val="18"/>
      </w:numPr>
    </w:pPr>
    <w:rPr>
      <w:rFonts w:eastAsia="MS PGothic"/>
      <w:noProof/>
    </w:rPr>
  </w:style>
  <w:style w:type="paragraph" w:customStyle="1" w:styleId="ListNumberLevel2">
    <w:name w:val="List Number (Level 2)"/>
    <w:basedOn w:val="Normal"/>
    <w:pPr>
      <w:numPr>
        <w:ilvl w:val="1"/>
        <w:numId w:val="17"/>
      </w:numPr>
      <w:spacing w:before="120" w:after="120" w:line="240" w:lineRule="auto"/>
      <w:jc w:val="both"/>
    </w:pPr>
    <w:rPr>
      <w:rFonts w:ascii="Times New Roman" w:eastAsia="Times New Roman" w:hAnsi="Times New Roman"/>
      <w:sz w:val="24"/>
      <w:szCs w:val="24"/>
    </w:rPr>
  </w:style>
  <w:style w:type="paragraph" w:customStyle="1" w:styleId="ListNumber1Level2">
    <w:name w:val="List Number 1 (Level 2)"/>
    <w:basedOn w:val="Text1"/>
    <w:pPr>
      <w:numPr>
        <w:ilvl w:val="1"/>
        <w:numId w:val="18"/>
      </w:numPr>
    </w:pPr>
    <w:rPr>
      <w:rFonts w:eastAsia="MS PGothic"/>
      <w:noProof/>
    </w:rPr>
  </w:style>
  <w:style w:type="paragraph" w:customStyle="1" w:styleId="ListNumber2Level2">
    <w:name w:val="List Number 2 (Level 2)"/>
    <w:basedOn w:val="Text2"/>
    <w:pPr>
      <w:numPr>
        <w:ilvl w:val="1"/>
        <w:numId w:val="19"/>
      </w:numPr>
    </w:pPr>
  </w:style>
  <w:style w:type="paragraph" w:customStyle="1" w:styleId="ListNumber3Level2">
    <w:name w:val="List Number 3 (Level 2)"/>
    <w:basedOn w:val="Text3"/>
    <w:pPr>
      <w:numPr>
        <w:ilvl w:val="1"/>
        <w:numId w:val="20"/>
      </w:numPr>
    </w:pPr>
  </w:style>
  <w:style w:type="paragraph" w:customStyle="1" w:styleId="ListNumber4Level2">
    <w:name w:val="List Number 4 (Level 2)"/>
    <w:basedOn w:val="Text4"/>
    <w:pPr>
      <w:numPr>
        <w:ilvl w:val="1"/>
        <w:numId w:val="21"/>
      </w:numPr>
    </w:pPr>
  </w:style>
  <w:style w:type="paragraph" w:customStyle="1" w:styleId="ListNumberLevel3">
    <w:name w:val="List Number (Level 3)"/>
    <w:basedOn w:val="Normal"/>
    <w:pPr>
      <w:numPr>
        <w:ilvl w:val="2"/>
        <w:numId w:val="17"/>
      </w:numPr>
      <w:spacing w:before="120" w:after="120" w:line="240" w:lineRule="auto"/>
      <w:jc w:val="both"/>
    </w:pPr>
    <w:rPr>
      <w:rFonts w:ascii="Times New Roman" w:eastAsia="Times New Roman" w:hAnsi="Times New Roman"/>
      <w:sz w:val="24"/>
      <w:szCs w:val="24"/>
    </w:rPr>
  </w:style>
  <w:style w:type="paragraph" w:customStyle="1" w:styleId="ListNumber1Level3">
    <w:name w:val="List Number 1 (Level 3)"/>
    <w:basedOn w:val="Text1"/>
    <w:pPr>
      <w:numPr>
        <w:ilvl w:val="2"/>
        <w:numId w:val="18"/>
      </w:numPr>
    </w:pPr>
    <w:rPr>
      <w:rFonts w:eastAsia="MS PGothic"/>
      <w:noProof/>
    </w:rPr>
  </w:style>
  <w:style w:type="paragraph" w:customStyle="1" w:styleId="ListNumber2Level3">
    <w:name w:val="List Number 2 (Level 3)"/>
    <w:basedOn w:val="Text2"/>
    <w:pPr>
      <w:numPr>
        <w:ilvl w:val="2"/>
        <w:numId w:val="19"/>
      </w:numPr>
    </w:pPr>
  </w:style>
  <w:style w:type="paragraph" w:customStyle="1" w:styleId="ListNumber3Level3">
    <w:name w:val="List Number 3 (Level 3)"/>
    <w:basedOn w:val="Text3"/>
    <w:pPr>
      <w:numPr>
        <w:ilvl w:val="2"/>
        <w:numId w:val="20"/>
      </w:numPr>
    </w:pPr>
  </w:style>
  <w:style w:type="paragraph" w:customStyle="1" w:styleId="ListNumber4Level3">
    <w:name w:val="List Number 4 (Level 3)"/>
    <w:basedOn w:val="Text4"/>
    <w:pPr>
      <w:numPr>
        <w:ilvl w:val="2"/>
        <w:numId w:val="21"/>
      </w:numPr>
    </w:pPr>
  </w:style>
  <w:style w:type="paragraph" w:customStyle="1" w:styleId="ListNumberLevel4">
    <w:name w:val="List Number (Level 4)"/>
    <w:basedOn w:val="Normal"/>
    <w:pPr>
      <w:numPr>
        <w:ilvl w:val="3"/>
        <w:numId w:val="17"/>
      </w:numPr>
      <w:spacing w:before="120" w:after="120" w:line="240" w:lineRule="auto"/>
      <w:jc w:val="both"/>
    </w:pPr>
    <w:rPr>
      <w:rFonts w:ascii="Times New Roman" w:eastAsia="Times New Roman" w:hAnsi="Times New Roman"/>
      <w:sz w:val="24"/>
      <w:szCs w:val="24"/>
    </w:rPr>
  </w:style>
  <w:style w:type="paragraph" w:customStyle="1" w:styleId="ListNumber1Level4">
    <w:name w:val="List Number 1 (Level 4)"/>
    <w:basedOn w:val="Text1"/>
    <w:pPr>
      <w:numPr>
        <w:ilvl w:val="3"/>
        <w:numId w:val="18"/>
      </w:numPr>
    </w:pPr>
    <w:rPr>
      <w:rFonts w:eastAsia="MS PGothic"/>
      <w:noProof/>
    </w:rPr>
  </w:style>
  <w:style w:type="paragraph" w:customStyle="1" w:styleId="ListNumber2Level4">
    <w:name w:val="List Number 2 (Level 4)"/>
    <w:basedOn w:val="Text2"/>
    <w:pPr>
      <w:numPr>
        <w:ilvl w:val="3"/>
        <w:numId w:val="19"/>
      </w:numPr>
    </w:pPr>
  </w:style>
  <w:style w:type="paragraph" w:customStyle="1" w:styleId="ListNumber3Level4">
    <w:name w:val="List Number 3 (Level 4)"/>
    <w:basedOn w:val="Text3"/>
    <w:pPr>
      <w:numPr>
        <w:ilvl w:val="3"/>
        <w:numId w:val="20"/>
      </w:numPr>
    </w:pPr>
  </w:style>
  <w:style w:type="paragraph" w:customStyle="1" w:styleId="ListNumber4Level4">
    <w:name w:val="List Number 4 (Level 4)"/>
    <w:basedOn w:val="Text4"/>
    <w:pPr>
      <w:numPr>
        <w:ilvl w:val="3"/>
        <w:numId w:val="21"/>
      </w:numPr>
    </w:p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b/>
      <w:sz w:val="24"/>
      <w:szCs w:val="20"/>
    </w:rPr>
  </w:style>
  <w:style w:type="paragraph" w:customStyle="1" w:styleId="Fichefinanciretextetable">
    <w:name w:val="Fiche financière texte (table)"/>
    <w:basedOn w:val="Normal"/>
    <w:pPr>
      <w:spacing w:after="0" w:line="240" w:lineRule="auto"/>
    </w:pPr>
    <w:rPr>
      <w:rFonts w:ascii="Times New Roman" w:eastAsia="Times New Roman" w:hAnsi="Times New Roman"/>
      <w:sz w:val="20"/>
      <w:szCs w:val="20"/>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b/>
      <w:sz w:val="40"/>
      <w:szCs w:val="20"/>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b/>
      <w:sz w:val="40"/>
      <w:szCs w:val="20"/>
    </w:rPr>
  </w:style>
  <w:style w:type="character" w:styleId="PageNumber">
    <w:name w:val="page number"/>
    <w:rPr>
      <w:rFonts w:cs="Times New Roman"/>
      <w:shd w:val="clear" w:color="auto" w:fill="auto"/>
    </w:rPr>
  </w:style>
  <w:style w:type="paragraph" w:styleId="ListBullet5">
    <w:name w:val="List Bullet 5"/>
    <w:basedOn w:val="Normal"/>
    <w:autoRedefine/>
    <w:pPr>
      <w:numPr>
        <w:numId w:val="14"/>
      </w:numPr>
      <w:tabs>
        <w:tab w:val="clear" w:pos="1492"/>
        <w:tab w:val="num" w:pos="360"/>
      </w:tabs>
      <w:spacing w:after="240" w:line="240" w:lineRule="auto"/>
      <w:ind w:left="360"/>
      <w:jc w:val="both"/>
    </w:pPr>
    <w:rPr>
      <w:rFonts w:ascii="Times New Roman" w:eastAsia="Times New Roman" w:hAnsi="Times New Roman"/>
      <w:sz w:val="24"/>
      <w:szCs w:val="20"/>
    </w:rPr>
  </w:style>
  <w:style w:type="paragraph" w:styleId="ListNumber5">
    <w:name w:val="List Number 5"/>
    <w:basedOn w:val="Normal"/>
    <w:pPr>
      <w:numPr>
        <w:numId w:val="15"/>
      </w:numPr>
      <w:tabs>
        <w:tab w:val="clear" w:pos="1492"/>
        <w:tab w:val="num" w:pos="643"/>
      </w:tabs>
      <w:spacing w:after="240" w:line="240" w:lineRule="auto"/>
      <w:ind w:left="643"/>
      <w:jc w:val="both"/>
    </w:pPr>
    <w:rPr>
      <w:rFonts w:ascii="Times New Roman" w:eastAsia="Times New Roman" w:hAnsi="Times New Roman"/>
      <w:sz w:val="24"/>
      <w:szCs w:val="20"/>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sz w:val="24"/>
      <w:szCs w:val="20"/>
    </w:rPr>
  </w:style>
  <w:style w:type="character" w:customStyle="1" w:styleId="DocumentMapChar">
    <w:name w:val="Document Map Char"/>
    <w:link w:val="DocumentMap"/>
    <w:semiHidden/>
    <w:rPr>
      <w:rFonts w:ascii="Tahoma" w:eastAsia="Times New Roman" w:hAnsi="Tahoma"/>
      <w:sz w:val="24"/>
      <w:shd w:val="clear" w:color="auto" w:fill="000080"/>
      <w:lang w:eastAsia="bg-BG"/>
    </w:rPr>
  </w:style>
  <w:style w:type="character" w:styleId="Hyperlink">
    <w:name w:val="Hyperlink"/>
    <w:uiPriority w:val="99"/>
    <w:rPr>
      <w:rFonts w:cs="Times New Roman"/>
      <w:color w:val="0000FF"/>
      <w:u w:val="single"/>
      <w:shd w:val="clear" w:color="auto" w:fill="auto"/>
    </w:rPr>
  </w:style>
  <w:style w:type="paragraph" w:customStyle="1" w:styleId="AddressTL">
    <w:name w:val="AddressTL"/>
    <w:basedOn w:val="Normal"/>
    <w:next w:val="Normal"/>
    <w:pPr>
      <w:spacing w:after="720" w:line="240" w:lineRule="auto"/>
    </w:pPr>
    <w:rPr>
      <w:rFonts w:ascii="Times New Roman" w:eastAsia="Times New Roman" w:hAnsi="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rPr>
  </w:style>
  <w:style w:type="character" w:customStyle="1" w:styleId="BodyTextChar">
    <w:name w:val="Body Text Char"/>
    <w:link w:val="BodyText"/>
    <w:rPr>
      <w:rFonts w:ascii="Times New Roman" w:eastAsia="Times New Roman" w:hAnsi="Times New Roman"/>
      <w:sz w:val="24"/>
      <w:lang w:eastAsia="bg-BG"/>
    </w:rPr>
  </w:style>
  <w:style w:type="paragraph" w:styleId="BodyText2">
    <w:name w:val="Body Text 2"/>
    <w:basedOn w:val="Normal"/>
    <w:link w:val="BodyText2Char"/>
    <w:pPr>
      <w:spacing w:after="120" w:line="480" w:lineRule="auto"/>
      <w:jc w:val="both"/>
    </w:pPr>
    <w:rPr>
      <w:rFonts w:ascii="Times New Roman" w:eastAsia="Times New Roman" w:hAnsi="Times New Roman"/>
      <w:sz w:val="24"/>
      <w:szCs w:val="20"/>
    </w:rPr>
  </w:style>
  <w:style w:type="character" w:customStyle="1" w:styleId="BodyText2Char">
    <w:name w:val="Body Text 2 Char"/>
    <w:link w:val="BodyText2"/>
    <w:rPr>
      <w:rFonts w:ascii="Times New Roman" w:eastAsia="Times New Roman" w:hAnsi="Times New Roman"/>
      <w:sz w:val="24"/>
      <w:lang w:eastAsia="bg-BG"/>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rPr>
  </w:style>
  <w:style w:type="character" w:customStyle="1" w:styleId="BodyText3Char">
    <w:name w:val="Body Text 3 Char"/>
    <w:link w:val="BodyText3"/>
    <w:rPr>
      <w:rFonts w:ascii="Times New Roman" w:eastAsia="Times New Roman" w:hAnsi="Times New Roman"/>
      <w:sz w:val="16"/>
      <w:lan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Times New Roman" w:eastAsia="Times New Roman" w:hAnsi="Times New Roman"/>
      <w:sz w:val="24"/>
      <w:lang w:eastAsia="bg-BG"/>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sz w:val="24"/>
      <w:szCs w:val="20"/>
    </w:rPr>
  </w:style>
  <w:style w:type="character" w:customStyle="1" w:styleId="BodyTextIndentChar">
    <w:name w:val="Body Text Indent Char"/>
    <w:link w:val="BodyTextIndent"/>
    <w:rPr>
      <w:rFonts w:ascii="Times New Roman" w:eastAsia="Times New Roman" w:hAnsi="Times New Roman"/>
      <w:sz w:val="24"/>
      <w:lan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Times New Roman" w:eastAsia="Times New Roman" w:hAnsi="Times New Roman"/>
      <w:sz w:val="24"/>
      <w:lang w:eastAsia="bg-BG"/>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sz w:val="24"/>
      <w:szCs w:val="20"/>
    </w:rPr>
  </w:style>
  <w:style w:type="character" w:customStyle="1" w:styleId="BodyTextIndent2Char">
    <w:name w:val="Body Text Indent 2 Char"/>
    <w:link w:val="BodyTextIndent2"/>
    <w:rPr>
      <w:rFonts w:ascii="Times New Roman" w:eastAsia="Times New Roman" w:hAnsi="Times New Roman"/>
      <w:sz w:val="24"/>
      <w:lang w:eastAsia="bg-BG"/>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Pr>
      <w:rFonts w:ascii="Times New Roman" w:eastAsia="Times New Roman" w:hAnsi="Times New Roman"/>
      <w:sz w:val="16"/>
      <w:lang w:eastAsia="bg-BG"/>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sz w:val="24"/>
      <w:szCs w:val="20"/>
    </w:rPr>
  </w:style>
  <w:style w:type="character" w:customStyle="1" w:styleId="ClosingChar">
    <w:name w:val="Closing Char"/>
    <w:link w:val="Closing"/>
    <w:rPr>
      <w:rFonts w:ascii="Times New Roman" w:eastAsia="Times New Roman" w:hAnsi="Times New Roman"/>
      <w:sz w:val="24"/>
      <w:lang w:eastAsia="bg-BG"/>
    </w:rPr>
  </w:style>
  <w:style w:type="paragraph" w:styleId="Signature">
    <w:name w:val="Signature"/>
    <w:basedOn w:val="Normal"/>
    <w:next w:val="Contact"/>
    <w:link w:val="SignatureChar"/>
    <w:pPr>
      <w:tabs>
        <w:tab w:val="left" w:pos="5103"/>
      </w:tabs>
      <w:spacing w:before="1200" w:after="0" w:line="240" w:lineRule="auto"/>
      <w:ind w:left="5103"/>
      <w:jc w:val="center"/>
    </w:pPr>
    <w:rPr>
      <w:rFonts w:ascii="Times New Roman" w:eastAsia="Times New Roman" w:hAnsi="Times New Roman"/>
      <w:sz w:val="24"/>
      <w:szCs w:val="20"/>
    </w:rPr>
  </w:style>
  <w:style w:type="character" w:customStyle="1" w:styleId="SignatureChar">
    <w:name w:val="Signature Char"/>
    <w:link w:val="Signature"/>
    <w:rPr>
      <w:rFonts w:ascii="Times New Roman" w:eastAsia="Times New Roman" w:hAnsi="Times New Roman"/>
      <w:sz w:val="24"/>
      <w:lang w:eastAsia="bg-BG"/>
    </w:rPr>
  </w:style>
  <w:style w:type="paragraph" w:customStyle="1" w:styleId="Contact">
    <w:name w:val="Contact"/>
    <w:basedOn w:val="Normal"/>
    <w:next w:val="Enclosures"/>
    <w:pPr>
      <w:spacing w:before="480" w:after="0" w:line="240" w:lineRule="auto"/>
      <w:ind w:left="567" w:hanging="567"/>
    </w:pPr>
    <w:rPr>
      <w:rFonts w:ascii="Times New Roman" w:eastAsia="Times New Roman" w:hAnsi="Times New Roman"/>
      <w:sz w:val="24"/>
      <w:szCs w:val="20"/>
    </w:rPr>
  </w:style>
  <w:style w:type="paragraph" w:customStyle="1" w:styleId="Enclosures">
    <w:name w:val="Enclosures"/>
    <w:basedOn w:val="Normal"/>
    <w:next w:val="Participants"/>
    <w:pPr>
      <w:keepNext/>
      <w:keepLines/>
      <w:tabs>
        <w:tab w:val="left" w:pos="5642"/>
      </w:tabs>
      <w:spacing w:before="480" w:after="0" w:line="240" w:lineRule="auto"/>
      <w:ind w:left="1792" w:hanging="1792"/>
    </w:pPr>
    <w:rPr>
      <w:rFonts w:ascii="Times New Roman" w:eastAsia="Times New Roman" w:hAnsi="Times New Roman"/>
      <w:sz w:val="24"/>
      <w:szCs w:val="20"/>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sz w:val="24"/>
      <w:lang w:eastAsia="bg-BG"/>
    </w:rPr>
  </w:style>
  <w:style w:type="paragraph" w:customStyle="1" w:styleId="References">
    <w:name w:val="References"/>
    <w:basedOn w:val="Normal"/>
    <w:next w:val="AddressTR"/>
    <w:pPr>
      <w:spacing w:after="240" w:line="240" w:lineRule="auto"/>
      <w:ind w:left="5103"/>
    </w:pPr>
    <w:rPr>
      <w:rFonts w:ascii="Times New Roman" w:eastAsia="Times New Roman" w:hAnsi="Times New Roman"/>
      <w:sz w:val="20"/>
      <w:szCs w:val="20"/>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sz w:val="24"/>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sz w:val="20"/>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sz w:val="24"/>
      <w:szCs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rPr>
  </w:style>
  <w:style w:type="character" w:customStyle="1" w:styleId="MacroTextChar">
    <w:name w:val="Macro Text Char"/>
    <w:link w:val="MacroText"/>
    <w:semiHidden/>
    <w:rPr>
      <w:rFonts w:ascii="Courier New" w:eastAsia="Times New Roman" w:hAnsi="Courier New"/>
      <w:lang w:eastAsia="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rPr>
  </w:style>
  <w:style w:type="character" w:customStyle="1" w:styleId="MessageHeaderChar">
    <w:name w:val="Message Header Char"/>
    <w:link w:val="MessageHeader"/>
    <w:rPr>
      <w:rFonts w:ascii="Arial" w:eastAsia="Times New Roman" w:hAnsi="Arial"/>
      <w:sz w:val="24"/>
      <w:shd w:val="pct20" w:color="auto" w:fill="auto"/>
      <w:lang w:eastAsia="bg-BG"/>
    </w:rPr>
  </w:style>
  <w:style w:type="paragraph" w:styleId="NormalIndent">
    <w:name w:val="Normal Indent"/>
    <w:basedOn w:val="Normal"/>
    <w:pPr>
      <w:spacing w:after="240" w:line="240" w:lineRule="auto"/>
      <w:ind w:left="720"/>
      <w:jc w:val="both"/>
    </w:pPr>
    <w:rPr>
      <w:rFonts w:ascii="Times New Roman" w:eastAsia="Times New Roman" w:hAnsi="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sz w:val="24"/>
      <w:szCs w:val="20"/>
    </w:rPr>
  </w:style>
  <w:style w:type="character" w:customStyle="1" w:styleId="NoteHeadingChar">
    <w:name w:val="Note Heading Char"/>
    <w:link w:val="NoteHeading"/>
    <w:rPr>
      <w:rFonts w:ascii="Times New Roman" w:eastAsia="Times New Roman" w:hAnsi="Times New Roman"/>
      <w:sz w:val="24"/>
      <w:lang w:eastAsia="bg-BG"/>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b/>
      <w:smallCaps/>
      <w:sz w:val="24"/>
      <w:szCs w:val="20"/>
    </w:rPr>
  </w:style>
  <w:style w:type="paragraph" w:customStyle="1" w:styleId="Subject">
    <w:name w:val="Subject"/>
    <w:basedOn w:val="Normal"/>
    <w:next w:val="Normal"/>
    <w:pPr>
      <w:spacing w:after="480" w:line="240" w:lineRule="auto"/>
      <w:ind w:left="1191" w:hanging="1191"/>
    </w:pPr>
    <w:rPr>
      <w:rFonts w:ascii="Times New Roman" w:eastAsia="Times New Roman" w:hAnsi="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b/>
      <w:smallCaps/>
      <w:sz w:val="24"/>
      <w:szCs w:val="20"/>
    </w:rPr>
  </w:style>
  <w:style w:type="paragraph" w:styleId="PlainText">
    <w:name w:val="Plain Text"/>
    <w:basedOn w:val="Normal"/>
    <w:link w:val="PlainTextChar"/>
    <w:uiPriority w:val="99"/>
    <w:pPr>
      <w:spacing w:after="240" w:line="240" w:lineRule="auto"/>
      <w:jc w:val="both"/>
    </w:pPr>
    <w:rPr>
      <w:rFonts w:ascii="Courier New" w:eastAsia="Times New Roman" w:hAnsi="Courier New"/>
      <w:sz w:val="20"/>
      <w:szCs w:val="20"/>
    </w:rPr>
  </w:style>
  <w:style w:type="character" w:customStyle="1" w:styleId="PlainTextChar">
    <w:name w:val="Plain Text Char"/>
    <w:link w:val="PlainText"/>
    <w:uiPriority w:val="99"/>
    <w:rPr>
      <w:rFonts w:ascii="Courier New" w:eastAsia="Times New Roman" w:hAnsi="Courier New"/>
      <w:lang w:eastAsia="bg-BG"/>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sz w:val="24"/>
      <w:szCs w:val="20"/>
    </w:rPr>
  </w:style>
  <w:style w:type="character" w:customStyle="1" w:styleId="SalutationChar">
    <w:name w:val="Salutation Char"/>
    <w:link w:val="Salutation"/>
    <w:rPr>
      <w:rFonts w:ascii="Times New Roman" w:eastAsia="Times New Roman" w:hAnsi="Times New Roman"/>
      <w:sz w:val="24"/>
      <w:lang w:eastAsia="bg-BG"/>
    </w:rPr>
  </w:style>
  <w:style w:type="paragraph" w:styleId="Subtitle">
    <w:name w:val="Subtitle"/>
    <w:basedOn w:val="Normal"/>
    <w:link w:val="SubtitleChar"/>
    <w:qFormat/>
    <w:pPr>
      <w:spacing w:after="60" w:line="240" w:lineRule="auto"/>
      <w:jc w:val="center"/>
      <w:outlineLvl w:val="1"/>
    </w:pPr>
    <w:rPr>
      <w:rFonts w:ascii="Arial" w:eastAsia="Times New Roman" w:hAnsi="Arial"/>
      <w:sz w:val="24"/>
      <w:szCs w:val="20"/>
    </w:rPr>
  </w:style>
  <w:style w:type="character" w:customStyle="1" w:styleId="SubtitleChar">
    <w:name w:val="Subtitle Char"/>
    <w:link w:val="Subtitle"/>
    <w:rPr>
      <w:rFonts w:ascii="Arial" w:eastAsia="Times New Roman" w:hAnsi="Arial"/>
      <w:sz w:val="24"/>
      <w:lang w:eastAsia="bg-BG"/>
    </w:rPr>
  </w:style>
  <w:style w:type="paragraph" w:styleId="Title">
    <w:name w:val="Title"/>
    <w:basedOn w:val="Normal"/>
    <w:link w:val="TitleChar"/>
    <w:qFormat/>
    <w:pPr>
      <w:spacing w:before="240" w:after="60" w:line="240" w:lineRule="auto"/>
      <w:jc w:val="center"/>
      <w:outlineLvl w:val="0"/>
    </w:pPr>
    <w:rPr>
      <w:rFonts w:ascii="Arial" w:eastAsia="Times New Roman" w:hAnsi="Arial"/>
      <w:b/>
      <w:kern w:val="28"/>
      <w:sz w:val="32"/>
      <w:szCs w:val="20"/>
    </w:rPr>
  </w:style>
  <w:style w:type="character" w:customStyle="1" w:styleId="TitleChar">
    <w:name w:val="Title Char"/>
    <w:link w:val="Title"/>
    <w:rPr>
      <w:rFonts w:ascii="Arial" w:eastAsia="Times New Roman" w:hAnsi="Arial"/>
      <w:b/>
      <w:kern w:val="28"/>
      <w:sz w:val="32"/>
      <w:lang w:eastAsia="bg-BG"/>
    </w:rPr>
  </w:style>
  <w:style w:type="paragraph" w:customStyle="1" w:styleId="YReferences">
    <w:name w:val="YReferences"/>
    <w:basedOn w:val="Normal"/>
    <w:next w:val="Normal"/>
    <w:pPr>
      <w:spacing w:after="480" w:line="240" w:lineRule="auto"/>
      <w:ind w:left="1191" w:hanging="1191"/>
      <w:jc w:val="both"/>
    </w:pPr>
    <w:rPr>
      <w:rFonts w:ascii="Times New Roman" w:eastAsia="Times New Roman" w:hAnsi="Times New Roman"/>
      <w:sz w:val="24"/>
      <w:szCs w:val="20"/>
    </w:rPr>
  </w:style>
  <w:style w:type="paragraph" w:customStyle="1" w:styleId="DisclaimerNotice">
    <w:name w:val="Disclaimer Notice"/>
    <w:basedOn w:val="Normal"/>
    <w:next w:val="AddressTR"/>
    <w:pPr>
      <w:spacing w:after="240" w:line="240" w:lineRule="auto"/>
      <w:ind w:left="5103"/>
    </w:pPr>
    <w:rPr>
      <w:rFonts w:ascii="Times New Roman" w:eastAsia="Times New Roman" w:hAnsi="Times New Roman"/>
      <w:b/>
      <w:smallCaps/>
      <w:sz w:val="20"/>
      <w:szCs w:val="20"/>
      <w:u w:val="single"/>
    </w:rPr>
  </w:style>
  <w:style w:type="paragraph" w:customStyle="1" w:styleId="Disclaimer">
    <w:name w:val="Disclaimer"/>
    <w:basedOn w:val="Normal"/>
    <w:pPr>
      <w:keepLines/>
      <w:pBdr>
        <w:top w:val="single" w:sz="4" w:space="1" w:color="auto"/>
      </w:pBdr>
      <w:spacing w:before="480" w:after="0" w:line="240" w:lineRule="auto"/>
      <w:jc w:val="both"/>
    </w:pPr>
    <w:rPr>
      <w:rFonts w:ascii="Times New Roman" w:eastAsia="Times New Roman" w:hAnsi="Times New Roman"/>
      <w:i/>
      <w:sz w:val="24"/>
      <w:szCs w:val="20"/>
    </w:rPr>
  </w:style>
  <w:style w:type="character" w:styleId="FollowedHyperlink">
    <w:name w:val="FollowedHyperlink"/>
    <w:rPr>
      <w:rFonts w:cs="Times New Roman"/>
      <w:color w:val="800080"/>
      <w:u w:val="single"/>
      <w:shd w:val="clear" w:color="auto" w:fill="auto"/>
    </w:rPr>
  </w:style>
  <w:style w:type="paragraph" w:customStyle="1" w:styleId="DisclaimerSJ">
    <w:name w:val="Disclaimer_SJ"/>
    <w:basedOn w:val="Normal"/>
    <w:next w:val="Normal"/>
    <w:pPr>
      <w:spacing w:after="0" w:line="240" w:lineRule="auto"/>
      <w:jc w:val="both"/>
    </w:pPr>
    <w:rPr>
      <w:rFonts w:ascii="Arial" w:eastAsia="Times New Roman" w:hAnsi="Arial"/>
      <w:b/>
      <w:sz w:val="16"/>
      <w:szCs w:val="20"/>
    </w:rPr>
  </w:style>
  <w:style w:type="paragraph" w:customStyle="1" w:styleId="ZCom">
    <w:name w:val="Z_Com"/>
    <w:basedOn w:val="Normal"/>
    <w:next w:val="ZDGName"/>
    <w:pPr>
      <w:widowControl w:val="0"/>
      <w:spacing w:after="0" w:line="240" w:lineRule="auto"/>
      <w:ind w:right="85"/>
      <w:jc w:val="both"/>
    </w:pPr>
    <w:rPr>
      <w:rFonts w:ascii="Arial" w:eastAsia="Times New Roman" w:hAnsi="Arial"/>
      <w:sz w:val="24"/>
      <w:szCs w:val="20"/>
    </w:rPr>
  </w:style>
  <w:style w:type="paragraph" w:customStyle="1" w:styleId="ZDGName">
    <w:name w:val="Z_DGName"/>
    <w:basedOn w:val="Normal"/>
    <w:pPr>
      <w:widowControl w:val="0"/>
      <w:spacing w:after="0" w:line="240" w:lineRule="auto"/>
      <w:ind w:right="85"/>
    </w:pPr>
    <w:rPr>
      <w:rFonts w:ascii="Arial" w:eastAsia="Times New Roman" w:hAnsi="Arial"/>
      <w:sz w:val="16"/>
      <w:szCs w:val="20"/>
    </w:rPr>
  </w:style>
  <w:style w:type="paragraph" w:customStyle="1" w:styleId="Style91">
    <w:name w:val="Style91"/>
    <w:rPr>
      <w:rFonts w:ascii="Arial" w:eastAsia="Times New Roman" w:hAnsi="Arial"/>
      <w:sz w:val="24"/>
    </w:rPr>
  </w:style>
  <w:style w:type="paragraph" w:customStyle="1" w:styleId="texte">
    <w:name w:val="texte"/>
    <w:basedOn w:val="Normal"/>
    <w:pPr>
      <w:spacing w:before="100" w:beforeAutospacing="1" w:after="100" w:afterAutospacing="1" w:line="240" w:lineRule="auto"/>
      <w:jc w:val="both"/>
    </w:pPr>
    <w:rPr>
      <w:rFonts w:ascii="Arial" w:eastAsia="Times New Roman" w:hAnsi="Arial" w:cs="Arial"/>
      <w:color w:val="333399"/>
      <w:sz w:val="18"/>
      <w:szCs w:val="18"/>
    </w:rPr>
  </w:style>
  <w:style w:type="table" w:styleId="TableGrid">
    <w:name w:val="Table Grid"/>
    <w:basedOn w:val="TableNormal"/>
    <w:pPr>
      <w:spacing w:before="12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semiHidden/>
    <w:rPr>
      <w:rFonts w:ascii="Times New Roman" w:eastAsia="Times New Roman" w:hAnsi="Times New Roman"/>
      <w:lang w:eastAsia="bg-BG"/>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lang w:eastAsia="bg-BG"/>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bg-BG"/>
    </w:rPr>
  </w:style>
  <w:style w:type="paragraph" w:customStyle="1" w:styleId="Style1">
    <w:name w:val="Style1"/>
    <w:basedOn w:val="Heading1"/>
    <w:pPr>
      <w:numPr>
        <w:numId w:val="0"/>
      </w:numPr>
      <w:tabs>
        <w:tab w:val="left" w:pos="709"/>
      </w:tabs>
      <w:spacing w:before="240" w:after="0"/>
      <w:ind w:left="851" w:hanging="851"/>
      <w:jc w:val="left"/>
    </w:pPr>
    <w:rPr>
      <w:bCs w:val="0"/>
      <w:szCs w:val="20"/>
    </w:rPr>
  </w:style>
  <w:style w:type="paragraph" w:customStyle="1" w:styleId="Normal10pt">
    <w:name w:val="Normal + 10 pt"/>
    <w:aliases w:val="Condensed by  0,15 pt"/>
    <w:basedOn w:val="Normal"/>
    <w:pPr>
      <w:keepNext/>
      <w:suppressAutoHyphens/>
      <w:spacing w:after="0" w:line="240" w:lineRule="auto"/>
      <w:ind w:left="255"/>
    </w:pPr>
    <w:rPr>
      <w:rFonts w:ascii="Times New Roman" w:eastAsia="Times New Roman" w:hAnsi="Times New Roman"/>
      <w:spacing w:val="-3"/>
      <w:sz w:val="18"/>
      <w:szCs w:val="18"/>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spacing w:val="-2"/>
      <w:sz w:val="22"/>
    </w:rPr>
  </w:style>
  <w:style w:type="character" w:styleId="Emphasis">
    <w:name w:val="Emphasis"/>
    <w:qFormat/>
    <w:rPr>
      <w:rFonts w:cs="Times New Roman"/>
      <w:i/>
      <w:iCs/>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bg-BG"/>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sz w:val="24"/>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sz w:val="24"/>
      <w:szCs w:val="20"/>
    </w:rPr>
  </w:style>
  <w:style w:type="paragraph" w:styleId="TOAHeading">
    <w:name w:val="toa heading"/>
    <w:basedOn w:val="Normal"/>
    <w:next w:val="Normal"/>
    <w:semiHidden/>
    <w:pPr>
      <w:spacing w:before="120" w:after="240" w:line="240" w:lineRule="auto"/>
      <w:jc w:val="both"/>
    </w:pPr>
    <w:rPr>
      <w:rFonts w:ascii="Arial" w:eastAsia="Times New Roman" w:hAnsi="Arial"/>
      <w:b/>
      <w:sz w:val="24"/>
      <w:szCs w:val="20"/>
    </w:rPr>
  </w:style>
  <w:style w:type="paragraph" w:customStyle="1" w:styleId="Heading">
    <w:name w:val="Heading"/>
    <w:basedOn w:val="Heading1"/>
    <w:pPr>
      <w:numPr>
        <w:numId w:val="0"/>
      </w:numPr>
      <w:tabs>
        <w:tab w:val="num" w:pos="480"/>
        <w:tab w:val="left" w:pos="709"/>
      </w:tabs>
      <w:spacing w:before="240"/>
      <w:ind w:left="480" w:hanging="480"/>
    </w:pPr>
    <w:rPr>
      <w:bCs w:val="0"/>
      <w:sz w:val="22"/>
      <w:szCs w:val="22"/>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pPr>
      <w:spacing w:before="60" w:after="60" w:line="240" w:lineRule="auto"/>
    </w:pPr>
    <w:rPr>
      <w:rFonts w:ascii="Times New Roman" w:eastAsia="Times New Roman" w:hAnsi="Times New Roman"/>
      <w:sz w:val="20"/>
      <w:szCs w:val="2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ascii="Times New Roman" w:eastAsia="Times New Roman" w:hAnsi="Times New Roman"/>
      <w:sz w:val="24"/>
      <w:szCs w:val="20"/>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character" w:styleId="Strong">
    <w:name w:val="Strong"/>
    <w:qFormat/>
    <w:rPr>
      <w:rFonts w:cs="Times New Roman"/>
      <w:b/>
      <w:bCs/>
      <w:shd w:val="clear" w:color="auto" w:fill="auto"/>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rPr>
  </w:style>
  <w:style w:type="numbering" w:styleId="111111">
    <w:name w:val="Outline List 2"/>
    <w:basedOn w:val="NoList"/>
    <w:pPr>
      <w:numPr>
        <w:numId w:val="16"/>
      </w:numPr>
    </w:pPr>
  </w:style>
  <w:style w:type="character" w:customStyle="1" w:styleId="Text1Char">
    <w:name w:val="Text 1 Char"/>
    <w:link w:val="Text1"/>
    <w:locked/>
    <w:rPr>
      <w:rFonts w:ascii="Times New Roman" w:eastAsia="Times New Roman" w:hAnsi="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TOCHeadingChar">
    <w:name w:val="TOC Heading Char"/>
    <w:link w:val="TOCHeading"/>
    <w:rPr>
      <w:rFonts w:ascii="Times New Roman" w:eastAsia="Times New Roman" w:hAnsi="Times New Roman"/>
      <w:b/>
      <w:sz w:val="28"/>
      <w:szCs w:val="24"/>
      <w:lang w:eastAsia="bg-BG"/>
    </w:r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overPageChar">
    <w:name w:val="Header Cover Page Char"/>
    <w:link w:val="HeaderCoverPage"/>
    <w:rPr>
      <w:rFonts w:ascii="Times New Roman" w:eastAsia="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2343">
      <w:bodyDiv w:val="1"/>
      <w:marLeft w:val="0"/>
      <w:marRight w:val="0"/>
      <w:marTop w:val="0"/>
      <w:marBottom w:val="0"/>
      <w:divBdr>
        <w:top w:val="none" w:sz="0" w:space="0" w:color="auto"/>
        <w:left w:val="none" w:sz="0" w:space="0" w:color="auto"/>
        <w:bottom w:val="none" w:sz="0" w:space="0" w:color="auto"/>
        <w:right w:val="none" w:sz="0" w:space="0" w:color="auto"/>
      </w:divBdr>
    </w:div>
    <w:div w:id="8328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75B5B-7976-4E55-A5DA-51CAC11E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4267</Words>
  <Characters>23005</Characters>
  <Application>Microsoft Office Word</Application>
  <DocSecurity>0</DocSecurity>
  <Lines>535</Lines>
  <Paragraphs>216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27056</CharactersWithSpaces>
  <SharedDoc>false</SharedDoc>
  <HLinks>
    <vt:vector size="24" baseType="variant">
      <vt:variant>
        <vt:i4>1179696</vt:i4>
      </vt:variant>
      <vt:variant>
        <vt:i4>20</vt:i4>
      </vt:variant>
      <vt:variant>
        <vt:i4>0</vt:i4>
      </vt:variant>
      <vt:variant>
        <vt:i4>5</vt:i4>
      </vt:variant>
      <vt:variant>
        <vt:lpwstr/>
      </vt:variant>
      <vt:variant>
        <vt:lpwstr>_Toc484709035</vt:lpwstr>
      </vt:variant>
      <vt:variant>
        <vt:i4>1179696</vt:i4>
      </vt:variant>
      <vt:variant>
        <vt:i4>14</vt:i4>
      </vt:variant>
      <vt:variant>
        <vt:i4>0</vt:i4>
      </vt:variant>
      <vt:variant>
        <vt:i4>5</vt:i4>
      </vt:variant>
      <vt:variant>
        <vt:lpwstr/>
      </vt:variant>
      <vt:variant>
        <vt:lpwstr>_Toc484709034</vt:lpwstr>
      </vt:variant>
      <vt:variant>
        <vt:i4>1179696</vt:i4>
      </vt:variant>
      <vt:variant>
        <vt:i4>8</vt:i4>
      </vt:variant>
      <vt:variant>
        <vt:i4>0</vt:i4>
      </vt:variant>
      <vt:variant>
        <vt:i4>5</vt:i4>
      </vt:variant>
      <vt:variant>
        <vt:lpwstr/>
      </vt:variant>
      <vt:variant>
        <vt:lpwstr>_Toc484709033</vt:lpwstr>
      </vt:variant>
      <vt:variant>
        <vt:i4>1179696</vt:i4>
      </vt:variant>
      <vt:variant>
        <vt:i4>2</vt:i4>
      </vt:variant>
      <vt:variant>
        <vt:i4>0</vt:i4>
      </vt:variant>
      <vt:variant>
        <vt:i4>5</vt:i4>
      </vt:variant>
      <vt:variant>
        <vt:lpwstr/>
      </vt:variant>
      <vt:variant>
        <vt:lpwstr>_Toc484709032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2017-06-08T16:16:00Z</cp:lastPrinted>
  <dcterms:created xsi:type="dcterms:W3CDTF">2017-08-03T14:16:00Z</dcterms:created>
  <dcterms:modified xsi:type="dcterms:W3CDTF">2017-08-18T07:33:00Z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Classification">
    <vt:lpwstr> </vt:lpwstr>
  </property>
  <property fmtid="{D5CDD505-2E9C-101B-9397-08002B2CF9AE}" pid="4" name="Part">
    <vt:lpwstr>1</vt:lpwstr>
  </property>
  <property fmtid="{D5CDD505-2E9C-101B-9397-08002B2CF9AE}" pid="5" name="Total parts">
    <vt:lpwstr>1</vt:lpwstr>
  </property>
</Properties>
</file>