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45229264846433683A25213F809195E"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0"/>
        <w:rPr>
          <w:rFonts w:eastAsia="Arial Unicode MS"/>
          <w:noProof/>
        </w:rPr>
      </w:pPr>
      <w:r>
        <w:rPr>
          <w:noProof/>
        </w:rPr>
        <w:t xml:space="preserve">На 30 май 2017 г. Съветът разреши на Комисията да започне преговори от името на Съюза с Хашемитско кралство Йордания („Йордания“) относно международно споразумение между Съюза и Йордания за определяне на реда и условията за участието на Йордания в Партньорството за научни изследвания и иновации в Средиземноморския регион (PRIMA).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Съгласно текста на решението на Съвета за разрешаване преговорите може да започнат само след приемане на решение на Европейския парламент и на Съвета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Преговорите започнаха на 26 юни 2017 г. и приключиха успешно на 10 юли 2017 г., когато текстът на проекта на споразумението бе парафиран от представителите на всяка от бъдещите страни по него. Проектът на споразумение, приложен към настоящото предложение, е в съответствие с приетите от Съвета указания за водене на преговори. По-специално в него се посочва, че редът и условията за участието на Йордания в PRIMA са тези, определени в Решение (ЕС) 2017/1324</w:t>
      </w:r>
      <w:r>
        <w:rPr>
          <w:rStyle w:val="FootnoteReference"/>
          <w:noProof/>
        </w:rPr>
        <w:footnoteReference w:id="1"/>
      </w:r>
      <w:r>
        <w:rPr>
          <w:noProof/>
        </w:rPr>
        <w:t>, като се прави пряко позоваване на законодателния акт на Съюза.</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С цел да се гарантира защитата на финансовите интереси на Съюза, по-специално на правомощията на Комисията, Европейската служба за борба с измамите, Сметната палата и изпълнителната структура на PRIMA (PRIMA-IS) за извършване на одити и разследвания в съответствие с приложимото законодателство на Съюза, в споразумението се прави конкретно позоваване на съответните разпоредби на Решение (ЕС) 2017/1324 и страните се задължават да предоставят цялата необходима помощ, за да се гарантира тяхното прилагане. Освен това в бъдещото споразумение се постановява, че страните трябва да постигнат подробни договорености за оказване на помощ, тъй като те са от основно значение за сътрудничеството им съгласно настоящото споразумение.</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Както се посочва и в доклада за оценка на въздействието за PRIMA</w:t>
      </w:r>
      <w:r>
        <w:rPr>
          <w:rStyle w:val="FootnoteReference"/>
          <w:noProof/>
        </w:rPr>
        <w:footnoteReference w:id="2"/>
      </w:r>
      <w:r>
        <w:rPr>
          <w:noProof/>
        </w:rPr>
        <w:t xml:space="preserve">, достъпността на PRIMA за участие на трети държави като Йордания е в съответствие с целите на международното сътрудничество за научни изследвания и иновации, както се посочва в Съобщението на Комисията от 2012 г. „Подобряване и фокусиране на международното сътрудничество на ЕС в областта на научните изследвания и иновациите — </w:t>
      </w:r>
      <w:r>
        <w:rPr>
          <w:noProof/>
        </w:rPr>
        <w:lastRenderedPageBreak/>
        <w:t>стратегически подход“</w:t>
      </w:r>
      <w:r>
        <w:rPr>
          <w:rStyle w:val="FootnoteReference"/>
          <w:noProof/>
        </w:rPr>
        <w:footnoteReference w:id="3"/>
      </w:r>
      <w:r>
        <w:rPr>
          <w:noProof/>
        </w:rPr>
        <w:t xml:space="preserve"> и в рамковата програма „Хоризонт 2020“, с която се насърчава сътрудничеството с трети държави в областта на науката, технологиите и иновациите с цел справяне с глобалните предизвикателства пред обществото и подпомагане на външната политика на Съюза. Настоящото споразумение е също така в съответствие със съществуващото Евро-средиземноморско споразумение за създаване на асоциация между Европейските общности и техните държави членки, от една страна, и Хашемитското кралство Йордания, от друга страна</w:t>
      </w:r>
      <w:r>
        <w:rPr>
          <w:rStyle w:val="FootnoteReference"/>
          <w:noProof/>
        </w:rPr>
        <w:footnoteReference w:id="4"/>
      </w:r>
      <w:r>
        <w:rPr>
          <w:noProof/>
        </w:rPr>
        <w:t>, и Споразумението между Европейската общност и Хашемитско кралство Йордания за научно и технологично сътрудничество</w:t>
      </w:r>
      <w:r>
        <w:rPr>
          <w:rStyle w:val="FootnoteReference"/>
          <w:noProof/>
        </w:rPr>
        <w:footnoteReference w:id="5"/>
      </w:r>
      <w:r>
        <w:rPr>
          <w:noProof/>
        </w:rPr>
        <w:t xml:space="preserve">, в които се предвижда сътрудничество между Съюза и Йордания в областта на научноизследователската дейност и технологичното развитие и насърчаване на научноизследователски и развойни дейности в области от общ интерес.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Прилагането на PRIMA в тясно сътрудничество с трети държави като Йордания е в съответствие и с другите политики на ЕС, като например политиката в областта на миграцията, политиката за развитие и политиката за съседство, и е от значение за тях.</w:t>
      </w:r>
    </w:p>
    <w:p>
      <w:pPr>
        <w:pStyle w:val="ManualHeading1"/>
        <w:rPr>
          <w:noProof/>
        </w:rPr>
      </w:pPr>
      <w:r>
        <w:rPr>
          <w:noProof/>
        </w:rPr>
        <w:t>2.</w:t>
      </w:r>
      <w:r>
        <w:rPr>
          <w:noProof/>
        </w:rPr>
        <w:tab/>
        <w:t xml:space="preserve">ПРАВНИ </w:t>
      </w:r>
      <w:r>
        <w:rPr>
          <w:noProof/>
          <w:sz w:val="30"/>
        </w:rPr>
        <w:t>елементи на предложението</w:t>
      </w:r>
    </w:p>
    <w:p>
      <w:pPr>
        <w:pBdr>
          <w:top w:val="nil"/>
          <w:left w:val="nil"/>
          <w:bottom w:val="nil"/>
          <w:right w:val="nil"/>
          <w:between w:val="nil"/>
          <w:bar w:val="nil"/>
        </w:pBdr>
        <w:spacing w:before="0" w:after="240"/>
        <w:rPr>
          <w:rFonts w:eastAsia="Arial Unicode MS"/>
          <w:noProof/>
        </w:rPr>
      </w:pPr>
      <w:r>
        <w:rPr>
          <w:noProof/>
        </w:rPr>
        <w:t>Предложението за решение на Съвета се основава на член 186 и член 218, параграф 6, буква а) от Договора за функционирането на Европейския съюз.</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В законодателната финансова обосновка, представена заедно с настоящото решение, се определя ориентировъчно отражението върху бюджета. </w:t>
      </w:r>
    </w:p>
    <w:p>
      <w:pPr>
        <w:rPr>
          <w:noProof/>
        </w:rPr>
      </w:pPr>
    </w:p>
    <w:p>
      <w:pPr>
        <w:rPr>
          <w:noProof/>
        </w:rPr>
      </w:pPr>
      <w:r>
        <w:rPr>
          <w:noProof/>
        </w:rPr>
        <w:t>С оглед на гореизложеното Комисията предлага Съветът да сключи споразумението от името на Европейския съюз.</w:t>
      </w: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2017/0200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за научно и технологично сътрудничество между Европейския съюз и Хашемитско кралство Йордания, в което се определят редът и условията за участието на Хашемитско кралство Йордания в Партньорството за научни изследвания и иновации в Средиземноморския регион (PRIMA)</w:t>
      </w:r>
    </w:p>
    <w:p>
      <w:pPr>
        <w:pStyle w:val="Institutionquiagit"/>
        <w:rPr>
          <w:noProof/>
        </w:rPr>
      </w:pPr>
      <w:r>
        <w:rPr>
          <w:noProof/>
        </w:rPr>
        <w:t>СЪВЕТЪТ НА ЕВРОПЕЙСКИЯ СЪЮЗ,</w:t>
      </w:r>
    </w:p>
    <w:p>
      <w:pPr>
        <w:rPr>
          <w:rFonts w:eastAsia="Calibri"/>
          <w:noProof/>
        </w:rPr>
      </w:pPr>
      <w:r>
        <w:rPr>
          <w:noProof/>
        </w:rPr>
        <w:t>като взе предвид Договора за функционирането на Европейския съюз, и по-специално член 186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 xml:space="preserve">като взе предвид одобрението на Европейския парламент, </w:t>
      </w:r>
    </w:p>
    <w:p>
      <w:pPr>
        <w:rPr>
          <w:noProof/>
        </w:rPr>
      </w:pPr>
      <w:r>
        <w:rPr>
          <w:noProof/>
        </w:rPr>
        <w:t>като има предвид, че:</w:t>
      </w:r>
    </w:p>
    <w:p>
      <w:pPr>
        <w:pStyle w:val="ManualConsidrant"/>
        <w:rPr>
          <w:noProof/>
        </w:rPr>
      </w:pPr>
      <w:r>
        <w:t>(1)</w:t>
      </w:r>
      <w:r>
        <w:tab/>
      </w:r>
      <w:r>
        <w:rPr>
          <w:noProof/>
        </w:rPr>
        <w:t>В Решение (ЕС) 2017/1324 на Европейския парламент и на Съвета</w:t>
      </w:r>
      <w:r>
        <w:rPr>
          <w:rStyle w:val="FootnoteReference"/>
          <w:noProof/>
        </w:rPr>
        <w:footnoteReference w:id="6"/>
      </w:r>
      <w:r>
        <w:rPr>
          <w:noProof/>
        </w:rPr>
        <w:t xml:space="preserve"> се предвижда участието на Съюза в Партньорството за научни изследвания и иновации в Средиземноморския регион (PRIMA), осъществявано съвместно от няколко държави членки.</w:t>
      </w:r>
    </w:p>
    <w:p>
      <w:pPr>
        <w:pStyle w:val="ManualConsidrant"/>
        <w:rPr>
          <w:noProof/>
        </w:rPr>
      </w:pPr>
      <w:r>
        <w:t>(2)</w:t>
      </w:r>
      <w:r>
        <w:tab/>
      </w:r>
      <w:r>
        <w:rPr>
          <w:noProof/>
        </w:rPr>
        <w:t>Хашемитско кралство Йордания („Йордания“) изрази желанието си да се присъедини към PRIMA като участваща държава и на равна основа с участващите в PRIMA държави членки и държави, асоциирани към „Хоризонт 2020“.</w:t>
      </w:r>
    </w:p>
    <w:p>
      <w:pPr>
        <w:pStyle w:val="ManualConsidrant"/>
        <w:rPr>
          <w:noProof/>
        </w:rPr>
      </w:pPr>
      <w:r>
        <w:t>(3)</w:t>
      </w:r>
      <w:r>
        <w:tab/>
      </w:r>
      <w:r>
        <w:rPr>
          <w:noProof/>
        </w:rPr>
        <w:t>В съответствие с член 1, параграф 2 от Решение (ЕС) 2017/1324 Йордания ще стане участваща държава в PRIMA, при условие че бъде сключено международно споразумение за научно и технологично сътрудничество със Съюза, в което се определят редът и условията за участието на Йордания в PRIMA.</w:t>
      </w:r>
    </w:p>
    <w:p>
      <w:pPr>
        <w:pStyle w:val="ManualConsidrant"/>
        <w:rPr>
          <w:noProof/>
        </w:rPr>
      </w:pPr>
      <w:r>
        <w:t>(4)</w:t>
      </w:r>
      <w:r>
        <w:tab/>
      </w:r>
      <w:r>
        <w:rPr>
          <w:noProof/>
        </w:rPr>
        <w:t>В съответствие с Решение &lt;XXX&gt; на Съвета</w:t>
      </w:r>
      <w:r>
        <w:rPr>
          <w:rStyle w:val="FootnoteReference"/>
          <w:noProof/>
        </w:rPr>
        <w:footnoteReference w:id="7"/>
      </w:r>
      <w:r>
        <w:rPr>
          <w:noProof/>
        </w:rPr>
        <w:t xml:space="preserve"> Споразумението за научно и технологично сътрудничество между Европейския съюз и Хашемитско кралство Йордания, в което се определят редът и условията за участието на Хашемитско кралство Йордания в Партньорството за научни изследвания и иновации в Средиземноморския регион (PRIMA), бе подписано от името на Съюза на XX, 20XX г., при условие че бъде сключено на по-късна дата.</w:t>
      </w:r>
    </w:p>
    <w:p>
      <w:pPr>
        <w:pStyle w:val="ManualConsidrant"/>
        <w:rPr>
          <w:noProof/>
        </w:rPr>
      </w:pPr>
      <w:r>
        <w:t>(5)</w:t>
      </w:r>
      <w:r>
        <w:tab/>
      </w:r>
      <w:r>
        <w:rPr>
          <w:noProof/>
        </w:rPr>
        <w:t>Споразумението следва да бъде одобрено от името на Съюза,</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Споразумението за научно и технологично сътрудничество между Европейския съюз и Хашемитско кралство Йордания, в което се определят редът и условията за участието на Хашемитско кралство Йордания в Партньорството за научни изследвания и иновации в Средиземноморския регион (PRIMA), се одобрява от името на Съюза.</w:t>
      </w:r>
    </w:p>
    <w:p>
      <w:pPr>
        <w:rPr>
          <w:noProof/>
          <w:szCs w:val="24"/>
        </w:rPr>
      </w:pPr>
      <w:r>
        <w:rPr>
          <w:noProof/>
        </w:rPr>
        <w:t>Текстът на споразумението е приложен към настоящото решение.</w:t>
      </w:r>
    </w:p>
    <w:p>
      <w:pPr>
        <w:pStyle w:val="Titrearticle"/>
        <w:rPr>
          <w:noProof/>
        </w:rPr>
      </w:pPr>
      <w:r>
        <w:rPr>
          <w:noProof/>
        </w:rPr>
        <w:t>Член 2</w:t>
      </w:r>
    </w:p>
    <w:p>
      <w:pPr>
        <w:rPr>
          <w:noProof/>
        </w:rPr>
      </w:pPr>
      <w:r>
        <w:rPr>
          <w:noProof/>
        </w:rPr>
        <w:t>Председателят на Съвета определя лицето, упълномощено да извърши от името на Съюза нотификацията, предвидена в член 4, параграф 2 от споразумението, за да се изрази съгласието на Съюза да бъде обвързан със споразумението.</w:t>
      </w:r>
    </w:p>
    <w:p>
      <w:pPr>
        <w:pStyle w:val="Titrearticle"/>
        <w:rPr>
          <w:noProof/>
        </w:rPr>
      </w:pPr>
      <w:r>
        <w:rPr>
          <w:noProof/>
        </w:rPr>
        <w:t>Член 3</w:t>
      </w:r>
    </w:p>
    <w:p>
      <w:pPr>
        <w:keepLines/>
        <w:rPr>
          <w:noProof/>
        </w:rPr>
      </w:pPr>
      <w:r>
        <w:rPr>
          <w:noProof/>
        </w:rPr>
        <w:t>Настоящото решение влиза в сила на [датата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lastRenderedPageBreak/>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решение на Съвета за сключване на Споразумението за научно и технологично сътрудничество между Европейския съюз и Хашемитско кралство Йордания, в което се определят редът и условията за участието на Хашемитско кралство Йордания в Партньорството за научни изследвания и иновации в Средиземноморския регион (PRIMA)</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rPr>
        <w:t>Дял 08 — Научни изследвания и иновации, рамкова програма „Хоризонт 2020“.</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FE"/>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9"/>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Целта на настоящата инициатива е да се даде възможност на Йордания да стане участваща държава в PRIMA, чиято стратегическа цел е изграждането на капацитет за научни изследвания и иновации, развиване на познания и разработване на общи новаторски решения за селскостопанските и продоволствени системи, с цел да станат по-устойчиви, и за интегрирано водоснабдяване и управление на водите в Средиземноморския регион, с цел тези системи и това снабдяване и управление да бъдат направени по-устойчиви спрямо изменението на климата, ефикасни, икономически ефективни и устойчиви в екологичен и социален план, както и да се допринесе за разрешаването на проблеми с недостига на вода, продоволствената сигурност, храненето, здравето, благосъстоянието и миграцията нагоре по веригата. </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rPr>
      </w:pPr>
      <w:r>
        <w:rPr>
          <w:noProof/>
        </w:rPr>
        <w:t>С оглед на постигането на своите цели PRIMA ще бъде осъществявано съвместно от редица държави членки и трети държави при прилагане на едни и същи ред и условия. С цел да се гарантира, че Йордания участва в PRIMA на равна основа с държавите членки и с третите държави, асоциирани към „Хоризонт 2020“, е необходимо международно споразумение със Съюза, за да се разшири обхватът на правния режим, установен с Решение (ЕС) 2017/1324 по отношение на Йордания.</w:t>
      </w:r>
    </w:p>
    <w:p>
      <w:pPr>
        <w:pStyle w:val="ManualHeading3"/>
        <w:rPr>
          <w:bCs/>
          <w:noProof/>
          <w:szCs w:val="24"/>
        </w:rPr>
      </w:pPr>
      <w:r>
        <w:rPr>
          <w:noProof/>
        </w:rPr>
        <w:br w:type="page"/>
      </w: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Настоящата инициатива ще даде възможност на Йордания да стане участваща държава в PRIMA, като по този начин се ангажира на равна основа с държавите членки и с третите държави, асоциирани към „Хоризонт 2020“. В съответствие с разпоредбите на Решение (ЕС) 2017/1324 йорданските правни субекти ще получат автоматично възможността да кандидатстват за финансиране от ЕС по проекти, финансирани от бюджета на ЕС.</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Целта на настоящата инициатива е да се даде възможност на Йордания да участва в PRIMA. Поради това показателите за резултатите и за отражението на настоящата инициатива са тясно свързани с тези за инициативата PRIMA като цяло, както е посочено в съответното предложение на Комисията</w:t>
      </w:r>
      <w:r>
        <w:rPr>
          <w:rStyle w:val="FootnoteReference"/>
          <w:noProof/>
        </w:rPr>
        <w:footnoteReference w:id="10"/>
      </w:r>
      <w:r>
        <w:rPr>
          <w:noProof/>
        </w:rPr>
        <w:t>.</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 и доклада за оценка на въздействието на PRIMA, придружаващ настоящото предложение на Комисията</w:t>
      </w:r>
      <w:r>
        <w:rPr>
          <w:rStyle w:val="FootnoteReference"/>
          <w:noProof/>
        </w:rPr>
        <w:footnoteReference w:id="11"/>
      </w:r>
      <w:r>
        <w:rPr>
          <w:noProof/>
        </w:rPr>
        <w:t>.</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Не съществуват прецеденти по отношение на посочената инициатива, тъй като PRIMA е първата по рода си инициатива, при която има участие на трети държави, които не са асоциирани към рамковата програма на ЕС за научни изследвания, на равна основа с държавите членки и поради това за тяхното участие е необходимо сключването на международни споразумения със Съюза.</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FE"/>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FE"/>
      </w:r>
      <w:r>
        <w:rPr>
          <w:noProof/>
        </w:rPr>
        <w:tab/>
        <w:t>Предложение/инициатива в сила от датата на влизане в сила на споразумението и докато е в сила Решение (ЕС) 2017/1324 (31.12.2028 г.).</w:t>
      </w:r>
    </w:p>
    <w:p>
      <w:pPr>
        <w:pStyle w:val="ListDash2"/>
        <w:rPr>
          <w:noProof/>
        </w:rPr>
      </w:pPr>
      <w:r>
        <w:rPr>
          <w:noProof/>
        </w:rPr>
        <w:sym w:font="Wingdings" w:char="F0FE"/>
      </w:r>
      <w:r>
        <w:rPr>
          <w:noProof/>
        </w:rPr>
        <w:tab/>
        <w:t>Финансово отражение от датата на влизане в сила на споразумението до 31.12.2020 г. (през този период трябва да бъде изготвена договореност за прилагане на споразумението. След този период не са предвидени други дейности по споразумението).</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12"/>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FE"/>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sz w:val="23"/>
        </w:rPr>
        <w:t xml:space="preserve">Ще бъде създаден нов правен субект, предназначен изключително за изпълнението на PRIMA. Финансовото участие на ЕС в PRIMA ще се предоставя чрез тази структура. </w:t>
      </w: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rPr>
        <w:t>С цел да се гарантира защитата на финансовите интереси на Съюза, по-специално на правомощията на Комисията, Европейската служба за борба с измамите, Сметната палата и изпълнителната структура на PRIMA (PRIMA-IS) за извършване на одити и разследвания в съответствие с приложимото законодателство на Съюза, в споразумението, което ще бъде сключено между ЕС и Йордания, се прави конкретно позоваване на съответните разпоредби на Решение (ЕС) 2017/1324 и страните се задължават да предоставят цялата необходима помощ, за да се гарантира тяхното прилагане. Освен това в бъдещото споразумение се постановява, че страните трябва да постигнат подробни договорености за оказване на помощ, тъй като те са от основно значение за сътрудничеството им съгласно настоящото споразумение.</w:t>
      </w: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pStyle w:val="Default"/>
              <w:jc w:val="both"/>
              <w:rPr>
                <w:noProof/>
                <w:sz w:val="20"/>
                <w:szCs w:val="20"/>
              </w:rPr>
            </w:pPr>
            <w:r>
              <w:rPr>
                <w:noProof/>
                <w:sz w:val="20"/>
              </w:rPr>
              <w:t xml:space="preserve">Функция 1а — „Конкурентоспособност за растеж и заетост“ </w:t>
            </w:r>
          </w:p>
          <w:p>
            <w:pPr>
              <w:rPr>
                <w:noProof/>
                <w:sz w:val="22"/>
              </w:rPr>
            </w:pPr>
          </w:p>
        </w:tc>
        <w:tc>
          <w:tcPr>
            <w:tcW w:w="1080" w:type="dxa"/>
            <w:vAlign w:val="center"/>
          </w:tcPr>
          <w:p>
            <w:pPr>
              <w:jc w:val="center"/>
              <w:rPr>
                <w:noProof/>
                <w:sz w:val="22"/>
              </w:rPr>
            </w:pPr>
            <w:r>
              <w:rPr>
                <w:noProof/>
                <w:sz w:val="18"/>
              </w:rPr>
              <w:t>Многогод./едногод.</w:t>
            </w:r>
            <w:r>
              <w:rPr>
                <w:rStyle w:val="FootnoteReference"/>
                <w:noProof/>
                <w:sz w:val="18"/>
              </w:rPr>
              <w:footnoteReference w:id="13"/>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14"/>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r>
              <w:rPr>
                <w:noProof/>
                <w:sz w:val="22"/>
              </w:rPr>
              <w:t>1a</w:t>
            </w:r>
          </w:p>
        </w:tc>
        <w:tc>
          <w:tcPr>
            <w:tcW w:w="3960" w:type="dxa"/>
            <w:vAlign w:val="center"/>
          </w:tcPr>
          <w:p>
            <w:pPr>
              <w:spacing w:before="60"/>
              <w:jc w:val="center"/>
              <w:rPr>
                <w:rFonts w:eastAsia="Calibri"/>
                <w:noProof/>
                <w:sz w:val="22"/>
              </w:rPr>
            </w:pPr>
            <w:r>
              <w:rPr>
                <w:noProof/>
              </w:rPr>
              <w:t>08.01.05</w:t>
            </w:r>
          </w:p>
          <w:p>
            <w:pPr>
              <w:spacing w:after="60"/>
              <w:rPr>
                <w:noProof/>
                <w:sz w:val="22"/>
              </w:rPr>
            </w:pPr>
          </w:p>
        </w:tc>
        <w:tc>
          <w:tcPr>
            <w:tcW w:w="1080" w:type="dxa"/>
            <w:vAlign w:val="center"/>
          </w:tcPr>
          <w:p>
            <w:pPr>
              <w:spacing w:line="276" w:lineRule="auto"/>
              <w:jc w:val="center"/>
              <w:rPr>
                <w:noProof/>
                <w:color w:val="0000FF"/>
                <w:sz w:val="22"/>
              </w:rPr>
            </w:pPr>
            <w:r>
              <w:rPr>
                <w:noProof/>
                <w:sz w:val="22"/>
              </w:rPr>
              <w:t>Едногод.</w:t>
            </w:r>
          </w:p>
        </w:tc>
        <w:tc>
          <w:tcPr>
            <w:tcW w:w="956" w:type="dxa"/>
            <w:vAlign w:val="center"/>
          </w:tcPr>
          <w:p>
            <w:pPr>
              <w:spacing w:line="276" w:lineRule="auto"/>
              <w:jc w:val="center"/>
              <w:rPr>
                <w:noProof/>
                <w:sz w:val="22"/>
              </w:rPr>
            </w:pPr>
            <w:r>
              <w:rPr>
                <w:noProof/>
                <w:sz w:val="22"/>
              </w:rPr>
              <w:t>ДА</w:t>
            </w:r>
          </w:p>
        </w:tc>
        <w:tc>
          <w:tcPr>
            <w:tcW w:w="1080" w:type="dxa"/>
            <w:vAlign w:val="center"/>
          </w:tcPr>
          <w:p>
            <w:pPr>
              <w:spacing w:line="276" w:lineRule="auto"/>
              <w:jc w:val="center"/>
              <w:rPr>
                <w:noProof/>
                <w:sz w:val="22"/>
              </w:rPr>
            </w:pPr>
            <w:r>
              <w:rPr>
                <w:noProof/>
                <w:sz w:val="22"/>
              </w:rPr>
              <w:t>ДА</w:t>
            </w:r>
          </w:p>
        </w:tc>
        <w:tc>
          <w:tcPr>
            <w:tcW w:w="956" w:type="dxa"/>
            <w:vAlign w:val="center"/>
          </w:tcPr>
          <w:p>
            <w:pPr>
              <w:spacing w:line="276" w:lineRule="auto"/>
              <w:jc w:val="center"/>
              <w:rPr>
                <w:noProof/>
                <w:sz w:val="22"/>
              </w:rPr>
            </w:pPr>
            <w:r>
              <w:rPr>
                <w:noProof/>
                <w:sz w:val="22"/>
              </w:rPr>
              <w:t>НЕ</w:t>
            </w:r>
          </w:p>
        </w:tc>
        <w:tc>
          <w:tcPr>
            <w:tcW w:w="1448" w:type="dxa"/>
            <w:vAlign w:val="center"/>
          </w:tcPr>
          <w:p>
            <w:pPr>
              <w:spacing w:line="276" w:lineRule="auto"/>
              <w:jc w:val="center"/>
              <w:rPr>
                <w:noProof/>
                <w:sz w:val="22"/>
              </w:rPr>
            </w:pPr>
            <w:r>
              <w:rPr>
                <w:noProof/>
                <w:sz w:val="22"/>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noProof/>
        </w:rPr>
        <w:t xml:space="preserve"> </w:t>
      </w:r>
      <w:r>
        <w:rPr>
          <w:i/>
          <w:noProof/>
        </w:rPr>
        <w:t>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Номер</w:t>
            </w:r>
            <w:r>
              <w:rPr>
                <w:noProof/>
                <w:sz w:val="22"/>
              </w:rPr>
              <w:br/>
            </w:r>
            <w:r>
              <w:rPr>
                <w:noProof/>
                <w:sz w:val="20"/>
              </w:rPr>
              <w:t>[Наименование………………………………………]</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Text1"/>
        <w:rPr>
          <w:noProof/>
        </w:rPr>
      </w:pPr>
      <w:r>
        <w:rPr>
          <w:noProof/>
          <w:highlight w:val="lightGray"/>
        </w:rPr>
        <w:t xml:space="preserve">[Тази част следва да бъде попълнена, като се използва </w:t>
      </w:r>
      <w:hyperlink r:id="rId13">
        <w:r>
          <w:rPr>
            <w:rStyle w:val="Hyperlink"/>
            <w:b/>
            <w:noProof/>
            <w:highlight w:val="lightGray"/>
          </w:rPr>
          <w:t>таблицата за бюджетни данни от административно естество</w:t>
        </w:r>
      </w:hyperlink>
      <w:r>
        <w:rPr>
          <w:noProof/>
          <w:highlight w:val="lightGray"/>
        </w:rPr>
        <w:t xml:space="preserve"> (вторият документ в приложението към настоящата финансова обосновка), която е качена в CISNET за провеждането на вътрешни консултации между службите.]</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 xml:space="preserve">евро </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„Конкурентоспособност за растеж и заетост“</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154"/>
        <w:gridCol w:w="1976"/>
      </w:tblGrid>
      <w:tr>
        <w:tc>
          <w:tcPr>
            <w:tcW w:w="3960" w:type="dxa"/>
            <w:vAlign w:val="center"/>
          </w:tcPr>
          <w:p>
            <w:pPr>
              <w:jc w:val="center"/>
              <w:rPr>
                <w:noProof/>
                <w:sz w:val="22"/>
              </w:rPr>
            </w:pPr>
            <w:r>
              <w:rPr>
                <w:noProof/>
                <w:sz w:val="22"/>
              </w:rPr>
              <w:t>ГД: „Научни изследвания и иновации“</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16"/>
            </w: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2019</w:t>
            </w: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2020</w:t>
            </w:r>
          </w:p>
        </w:tc>
        <w:tc>
          <w:tcPr>
            <w:tcW w:w="1154" w:type="dxa"/>
            <w:vAlign w:val="center"/>
          </w:tcPr>
          <w:p>
            <w:pPr>
              <w:jc w:val="center"/>
              <w:rPr>
                <w:b/>
                <w:noProof/>
                <w:sz w:val="18"/>
              </w:rPr>
            </w:pPr>
            <w:r>
              <w:rPr>
                <w:noProof/>
                <w:sz w:val="20"/>
              </w:rPr>
              <w:t>Година</w:t>
            </w:r>
            <w:r>
              <w:rPr>
                <w:noProof/>
                <w:sz w:val="22"/>
              </w:rPr>
              <w:br/>
            </w:r>
            <w:r>
              <w:rPr>
                <w:b/>
                <w:noProof/>
                <w:sz w:val="20"/>
              </w:rPr>
              <w:t>2021—2029</w:t>
            </w:r>
          </w:p>
        </w:tc>
        <w:tc>
          <w:tcPr>
            <w:tcW w:w="1976"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154" w:type="dxa"/>
            <w:vAlign w:val="center"/>
          </w:tcPr>
          <w:p>
            <w:pPr>
              <w:rPr>
                <w:noProof/>
                <w:sz w:val="20"/>
              </w:rPr>
            </w:pPr>
          </w:p>
        </w:tc>
        <w:tc>
          <w:tcPr>
            <w:tcW w:w="1976" w:type="dxa"/>
            <w:vAlign w:val="center"/>
          </w:tcPr>
          <w:p>
            <w:pPr>
              <w:rPr>
                <w:b/>
                <w:noProof/>
                <w:sz w:val="20"/>
              </w:rPr>
            </w:pPr>
          </w:p>
          <w:p>
            <w:pPr>
              <w:rPr>
                <w:b/>
                <w:noProof/>
                <w:sz w:val="20"/>
              </w:rPr>
            </w:pPr>
          </w:p>
        </w:tc>
      </w:tr>
      <w:tr>
        <w:trPr>
          <w:trHeight w:val="277"/>
        </w:trP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54" w:type="dxa"/>
            <w:vAlign w:val="center"/>
          </w:tcPr>
          <w:p>
            <w:pPr>
              <w:spacing w:before="20" w:after="20"/>
              <w:jc w:val="right"/>
              <w:rPr>
                <w:noProof/>
                <w:sz w:val="20"/>
              </w:rPr>
            </w:pPr>
          </w:p>
        </w:tc>
        <w:tc>
          <w:tcPr>
            <w:tcW w:w="197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54" w:type="dxa"/>
            <w:vAlign w:val="center"/>
          </w:tcPr>
          <w:p>
            <w:pPr>
              <w:spacing w:before="20" w:after="20"/>
              <w:jc w:val="right"/>
              <w:rPr>
                <w:noProof/>
                <w:sz w:val="20"/>
              </w:rPr>
            </w:pPr>
          </w:p>
        </w:tc>
        <w:tc>
          <w:tcPr>
            <w:tcW w:w="1976"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54" w:type="dxa"/>
            <w:vAlign w:val="center"/>
          </w:tcPr>
          <w:p>
            <w:pPr>
              <w:spacing w:before="20" w:after="20"/>
              <w:jc w:val="right"/>
              <w:rPr>
                <w:noProof/>
                <w:sz w:val="20"/>
              </w:rPr>
            </w:pPr>
          </w:p>
        </w:tc>
        <w:tc>
          <w:tcPr>
            <w:tcW w:w="197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54" w:type="dxa"/>
            <w:vAlign w:val="center"/>
          </w:tcPr>
          <w:p>
            <w:pPr>
              <w:spacing w:before="20" w:after="20"/>
              <w:jc w:val="right"/>
              <w:rPr>
                <w:noProof/>
                <w:sz w:val="20"/>
              </w:rPr>
            </w:pPr>
          </w:p>
        </w:tc>
        <w:tc>
          <w:tcPr>
            <w:tcW w:w="197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7"/>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154" w:type="dxa"/>
            <w:vAlign w:val="center"/>
          </w:tcPr>
          <w:p>
            <w:pPr>
              <w:rPr>
                <w:b/>
                <w:noProof/>
                <w:sz w:val="20"/>
              </w:rPr>
            </w:pPr>
          </w:p>
        </w:tc>
        <w:tc>
          <w:tcPr>
            <w:tcW w:w="1976"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Номер на бюджетния ред: 08.010501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1154" w:type="dxa"/>
            <w:vAlign w:val="center"/>
          </w:tcPr>
          <w:p>
            <w:pPr>
              <w:spacing w:before="40" w:after="40"/>
              <w:jc w:val="right"/>
              <w:rPr>
                <w:noProof/>
                <w:sz w:val="20"/>
              </w:rPr>
            </w:pPr>
          </w:p>
        </w:tc>
        <w:tc>
          <w:tcPr>
            <w:tcW w:w="1976" w:type="dxa"/>
            <w:vAlign w:val="center"/>
          </w:tcPr>
          <w:p>
            <w:pPr>
              <w:spacing w:before="40" w:after="40"/>
              <w:jc w:val="right"/>
              <w:rPr>
                <w:noProof/>
                <w:sz w:val="20"/>
              </w:rPr>
            </w:pPr>
            <w:r>
              <w:rPr>
                <w:noProof/>
                <w:sz w:val="20"/>
              </w:rPr>
              <w:t>69 000</w:t>
            </w:r>
          </w:p>
        </w:tc>
      </w:tr>
      <w:t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за ГД „Научни изследвания и иновации“</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=1+1a+3</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154" w:type="dxa"/>
            <w:vAlign w:val="center"/>
          </w:tcPr>
          <w:p>
            <w:pPr>
              <w:spacing w:before="60" w:after="60" w:line="200" w:lineRule="exact"/>
              <w:jc w:val="right"/>
              <w:rPr>
                <w:noProof/>
                <w:sz w:val="16"/>
                <w:szCs w:val="16"/>
              </w:rPr>
            </w:pPr>
          </w:p>
        </w:tc>
        <w:tc>
          <w:tcPr>
            <w:tcW w:w="1976" w:type="dxa"/>
            <w:vAlign w:val="center"/>
          </w:tcPr>
          <w:p>
            <w:pPr>
              <w:spacing w:before="60" w:after="60" w:line="200" w:lineRule="exact"/>
              <w:jc w:val="right"/>
              <w:rPr>
                <w:noProof/>
                <w:sz w:val="16"/>
                <w:szCs w:val="16"/>
              </w:rPr>
            </w:pPr>
            <w:r>
              <w:rPr>
                <w:b/>
                <w:noProof/>
                <w:sz w:val="20"/>
              </w:rPr>
              <w:t>69 000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154" w:type="dxa"/>
            <w:vAlign w:val="center"/>
          </w:tcPr>
          <w:p>
            <w:pPr>
              <w:spacing w:before="60" w:after="60" w:line="200" w:lineRule="exact"/>
              <w:jc w:val="right"/>
              <w:rPr>
                <w:noProof/>
                <w:sz w:val="16"/>
                <w:szCs w:val="16"/>
              </w:rPr>
            </w:pPr>
          </w:p>
        </w:tc>
        <w:tc>
          <w:tcPr>
            <w:tcW w:w="1976" w:type="dxa"/>
            <w:vAlign w:val="center"/>
          </w:tcPr>
          <w:p>
            <w:pPr>
              <w:spacing w:before="60" w:after="60" w:line="200" w:lineRule="exact"/>
              <w:jc w:val="right"/>
              <w:rPr>
                <w:noProof/>
                <w:sz w:val="16"/>
                <w:szCs w:val="16"/>
              </w:rPr>
            </w:pPr>
            <w:r>
              <w:rPr>
                <w:b/>
                <w:noProof/>
                <w:sz w:val="20"/>
              </w:rPr>
              <w:t>69 000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766"/>
        <w:gridCol w:w="952"/>
        <w:gridCol w:w="1200"/>
        <w:gridCol w:w="1920"/>
      </w:tblGrid>
      <w:tr>
        <w:trPr>
          <w:trHeight w:val="248"/>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766" w:type="dxa"/>
            <w:vAlign w:val="center"/>
          </w:tcPr>
          <w:p>
            <w:pPr>
              <w:spacing w:before="20" w:after="20"/>
              <w:jc w:val="right"/>
              <w:rPr>
                <w:noProof/>
                <w:sz w:val="20"/>
              </w:rPr>
            </w:pPr>
          </w:p>
        </w:tc>
        <w:tc>
          <w:tcPr>
            <w:tcW w:w="952" w:type="dxa"/>
            <w:vAlign w:val="center"/>
          </w:tcPr>
          <w:p>
            <w:pPr>
              <w:spacing w:before="20" w:after="20"/>
              <w:jc w:val="right"/>
              <w:rPr>
                <w:noProof/>
                <w:sz w:val="20"/>
              </w:rPr>
            </w:pPr>
          </w:p>
        </w:tc>
        <w:tc>
          <w:tcPr>
            <w:tcW w:w="1200" w:type="dxa"/>
            <w:vAlign w:val="center"/>
          </w:tcPr>
          <w:p>
            <w:pPr>
              <w:spacing w:before="20" w:after="20"/>
              <w:jc w:val="right"/>
              <w:rPr>
                <w:noProof/>
                <w:sz w:val="20"/>
              </w:rPr>
            </w:pPr>
          </w:p>
        </w:tc>
        <w:tc>
          <w:tcPr>
            <w:tcW w:w="192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766" w:type="dxa"/>
            <w:vAlign w:val="center"/>
          </w:tcPr>
          <w:p>
            <w:pPr>
              <w:spacing w:before="20" w:after="20"/>
              <w:jc w:val="right"/>
              <w:rPr>
                <w:noProof/>
                <w:sz w:val="20"/>
              </w:rPr>
            </w:pPr>
          </w:p>
        </w:tc>
        <w:tc>
          <w:tcPr>
            <w:tcW w:w="952" w:type="dxa"/>
            <w:vAlign w:val="center"/>
          </w:tcPr>
          <w:p>
            <w:pPr>
              <w:spacing w:before="20" w:after="20"/>
              <w:jc w:val="right"/>
              <w:rPr>
                <w:noProof/>
                <w:sz w:val="20"/>
              </w:rPr>
            </w:pPr>
          </w:p>
        </w:tc>
        <w:tc>
          <w:tcPr>
            <w:tcW w:w="1200" w:type="dxa"/>
            <w:vAlign w:val="center"/>
          </w:tcPr>
          <w:p>
            <w:pPr>
              <w:spacing w:before="20" w:after="20"/>
              <w:jc w:val="right"/>
              <w:rPr>
                <w:noProof/>
                <w:sz w:val="20"/>
              </w:rPr>
            </w:pPr>
          </w:p>
        </w:tc>
        <w:tc>
          <w:tcPr>
            <w:tcW w:w="1920"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60" w:after="60" w:line="200" w:lineRule="exact"/>
              <w:jc w:val="right"/>
              <w:rPr>
                <w:b/>
                <w:noProof/>
                <w:sz w:val="20"/>
                <w:szCs w:val="20"/>
              </w:rPr>
            </w:pPr>
            <w:r>
              <w:rPr>
                <w:b/>
                <w:noProof/>
                <w:sz w:val="20"/>
              </w:rPr>
              <w:t>23 000</w:t>
            </w:r>
          </w:p>
        </w:tc>
        <w:tc>
          <w:tcPr>
            <w:tcW w:w="766" w:type="dxa"/>
            <w:vAlign w:val="center"/>
          </w:tcPr>
          <w:p>
            <w:pPr>
              <w:spacing w:before="60" w:after="60" w:line="200" w:lineRule="exact"/>
              <w:jc w:val="right"/>
              <w:rPr>
                <w:b/>
                <w:noProof/>
                <w:sz w:val="20"/>
                <w:szCs w:val="20"/>
              </w:rPr>
            </w:pPr>
            <w:r>
              <w:rPr>
                <w:b/>
                <w:noProof/>
                <w:sz w:val="20"/>
              </w:rPr>
              <w:t>23 000</w:t>
            </w:r>
          </w:p>
        </w:tc>
        <w:tc>
          <w:tcPr>
            <w:tcW w:w="952" w:type="dxa"/>
            <w:vAlign w:val="center"/>
          </w:tcPr>
          <w:p>
            <w:pPr>
              <w:spacing w:before="60" w:after="60" w:line="200" w:lineRule="exact"/>
              <w:jc w:val="right"/>
              <w:rPr>
                <w:b/>
                <w:noProof/>
                <w:sz w:val="20"/>
                <w:szCs w:val="20"/>
              </w:rPr>
            </w:pPr>
            <w:r>
              <w:rPr>
                <w:b/>
                <w:noProof/>
                <w:sz w:val="20"/>
              </w:rPr>
              <w:t>23 000</w:t>
            </w:r>
          </w:p>
        </w:tc>
        <w:tc>
          <w:tcPr>
            <w:tcW w:w="1200"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69 000</w:t>
            </w:r>
          </w:p>
        </w:tc>
      </w:tr>
      <w:tr>
        <w:tc>
          <w:tcPr>
            <w:tcW w:w="3960" w:type="dxa"/>
            <w:vMerge w:val="restart"/>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&lt;1а&gt;</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60" w:after="60" w:line="200" w:lineRule="exact"/>
              <w:jc w:val="right"/>
              <w:rPr>
                <w:b/>
                <w:noProof/>
                <w:sz w:val="20"/>
                <w:szCs w:val="20"/>
              </w:rPr>
            </w:pPr>
            <w:r>
              <w:rPr>
                <w:b/>
                <w:noProof/>
                <w:sz w:val="20"/>
              </w:rPr>
              <w:t>23 000</w:t>
            </w:r>
          </w:p>
        </w:tc>
        <w:tc>
          <w:tcPr>
            <w:tcW w:w="766" w:type="dxa"/>
            <w:vAlign w:val="center"/>
          </w:tcPr>
          <w:p>
            <w:pPr>
              <w:spacing w:before="60" w:after="60" w:line="200" w:lineRule="exact"/>
              <w:jc w:val="right"/>
              <w:rPr>
                <w:b/>
                <w:noProof/>
                <w:sz w:val="20"/>
                <w:szCs w:val="20"/>
              </w:rPr>
            </w:pPr>
            <w:r>
              <w:rPr>
                <w:b/>
                <w:noProof/>
                <w:sz w:val="20"/>
              </w:rPr>
              <w:t>23 000</w:t>
            </w:r>
          </w:p>
        </w:tc>
        <w:tc>
          <w:tcPr>
            <w:tcW w:w="952" w:type="dxa"/>
            <w:vAlign w:val="center"/>
          </w:tcPr>
          <w:p>
            <w:pPr>
              <w:spacing w:before="60" w:after="60" w:line="200" w:lineRule="exact"/>
              <w:jc w:val="right"/>
              <w:rPr>
                <w:b/>
                <w:noProof/>
                <w:sz w:val="20"/>
                <w:szCs w:val="20"/>
              </w:rPr>
            </w:pPr>
            <w:r>
              <w:rPr>
                <w:b/>
                <w:noProof/>
                <w:sz w:val="20"/>
              </w:rPr>
              <w:t>23 000</w:t>
            </w:r>
          </w:p>
        </w:tc>
        <w:tc>
          <w:tcPr>
            <w:tcW w:w="1200"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69 000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=5+6</w:t>
            </w:r>
          </w:p>
        </w:tc>
        <w:tc>
          <w:tcPr>
            <w:tcW w:w="868" w:type="dxa"/>
            <w:vAlign w:val="center"/>
          </w:tcPr>
          <w:p>
            <w:pPr>
              <w:spacing w:before="60" w:after="60" w:line="200" w:lineRule="exact"/>
              <w:jc w:val="right"/>
              <w:rPr>
                <w:b/>
                <w:noProof/>
                <w:sz w:val="20"/>
                <w:szCs w:val="20"/>
              </w:rPr>
            </w:pPr>
            <w:r>
              <w:rPr>
                <w:b/>
                <w:noProof/>
                <w:sz w:val="20"/>
              </w:rPr>
              <w:t>23 000</w:t>
            </w:r>
          </w:p>
        </w:tc>
        <w:tc>
          <w:tcPr>
            <w:tcW w:w="766" w:type="dxa"/>
            <w:vAlign w:val="center"/>
          </w:tcPr>
          <w:p>
            <w:pPr>
              <w:spacing w:before="60" w:after="60" w:line="200" w:lineRule="exact"/>
              <w:jc w:val="right"/>
              <w:rPr>
                <w:b/>
                <w:noProof/>
                <w:sz w:val="20"/>
                <w:szCs w:val="20"/>
              </w:rPr>
            </w:pPr>
            <w:r>
              <w:rPr>
                <w:b/>
                <w:noProof/>
                <w:sz w:val="20"/>
              </w:rPr>
              <w:t>23 000</w:t>
            </w:r>
          </w:p>
        </w:tc>
        <w:tc>
          <w:tcPr>
            <w:tcW w:w="952" w:type="dxa"/>
            <w:vAlign w:val="center"/>
          </w:tcPr>
          <w:p>
            <w:pPr>
              <w:spacing w:before="60" w:after="60" w:line="200" w:lineRule="exact"/>
              <w:jc w:val="right"/>
              <w:rPr>
                <w:b/>
                <w:noProof/>
                <w:sz w:val="20"/>
                <w:szCs w:val="20"/>
              </w:rPr>
            </w:pPr>
            <w:r>
              <w:rPr>
                <w:b/>
                <w:noProof/>
                <w:sz w:val="20"/>
              </w:rPr>
              <w:t>23 000</w:t>
            </w:r>
          </w:p>
        </w:tc>
        <w:tc>
          <w:tcPr>
            <w:tcW w:w="1200"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69 000</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 xml:space="preserve">евро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758"/>
        <w:gridCol w:w="978"/>
        <w:gridCol w:w="1182"/>
        <w:gridCol w:w="192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18"/>
            </w:r>
          </w:p>
        </w:tc>
        <w:tc>
          <w:tcPr>
            <w:tcW w:w="758" w:type="dxa"/>
            <w:vAlign w:val="center"/>
          </w:tcPr>
          <w:p>
            <w:pPr>
              <w:jc w:val="center"/>
              <w:rPr>
                <w:noProof/>
                <w:sz w:val="20"/>
              </w:rPr>
            </w:pPr>
            <w:r>
              <w:rPr>
                <w:noProof/>
                <w:sz w:val="20"/>
              </w:rPr>
              <w:t>Година</w:t>
            </w:r>
            <w:r>
              <w:rPr>
                <w:noProof/>
                <w:sz w:val="22"/>
              </w:rPr>
              <w:br/>
            </w:r>
            <w:r>
              <w:rPr>
                <w:b/>
                <w:noProof/>
                <w:sz w:val="20"/>
              </w:rPr>
              <w:t>2019</w:t>
            </w:r>
          </w:p>
        </w:tc>
        <w:tc>
          <w:tcPr>
            <w:tcW w:w="978" w:type="dxa"/>
            <w:vAlign w:val="center"/>
          </w:tcPr>
          <w:p>
            <w:pPr>
              <w:jc w:val="center"/>
              <w:rPr>
                <w:noProof/>
                <w:sz w:val="20"/>
              </w:rPr>
            </w:pPr>
            <w:r>
              <w:rPr>
                <w:noProof/>
                <w:sz w:val="20"/>
              </w:rPr>
              <w:t>Година</w:t>
            </w:r>
            <w:r>
              <w:rPr>
                <w:noProof/>
                <w:sz w:val="22"/>
              </w:rPr>
              <w:br/>
            </w:r>
            <w:r>
              <w:rPr>
                <w:b/>
                <w:noProof/>
                <w:sz w:val="20"/>
              </w:rPr>
              <w:t>2020</w:t>
            </w:r>
          </w:p>
        </w:tc>
        <w:tc>
          <w:tcPr>
            <w:tcW w:w="1182" w:type="dxa"/>
            <w:vAlign w:val="center"/>
          </w:tcPr>
          <w:p>
            <w:pPr>
              <w:jc w:val="center"/>
              <w:rPr>
                <w:noProof/>
                <w:sz w:val="20"/>
              </w:rPr>
            </w:pPr>
            <w:r>
              <w:rPr>
                <w:noProof/>
                <w:sz w:val="20"/>
              </w:rPr>
              <w:t>Година</w:t>
            </w:r>
            <w:r>
              <w:rPr>
                <w:noProof/>
                <w:sz w:val="22"/>
              </w:rPr>
              <w:br/>
            </w:r>
            <w:r>
              <w:rPr>
                <w:b/>
                <w:noProof/>
                <w:sz w:val="20"/>
              </w:rPr>
              <w:t>2021—2029</w:t>
            </w:r>
          </w:p>
        </w:tc>
        <w:tc>
          <w:tcPr>
            <w:tcW w:w="1920" w:type="dxa"/>
            <w:vAlign w:val="center"/>
          </w:tcPr>
          <w:p>
            <w:pPr>
              <w:jc w:val="center"/>
              <w:rPr>
                <w:b/>
                <w:noProof/>
                <w:sz w:val="20"/>
              </w:rPr>
            </w:pPr>
            <w:r>
              <w:rPr>
                <w:b/>
                <w:noProof/>
                <w:sz w:val="20"/>
              </w:rPr>
              <w:t>ОБЩО</w:t>
            </w:r>
          </w:p>
        </w:tc>
      </w:tr>
      <w:tr>
        <w:trPr>
          <w:gridAfter w:val="7"/>
          <w:wAfter w:w="7800" w:type="dxa"/>
        </w:trPr>
        <w:tc>
          <w:tcPr>
            <w:tcW w:w="3960" w:type="dxa"/>
            <w:vAlign w:val="center"/>
          </w:tcPr>
          <w:p>
            <w:pPr>
              <w:spacing w:before="60" w:after="60"/>
              <w:jc w:val="center"/>
              <w:rPr>
                <w:noProof/>
                <w:sz w:val="22"/>
              </w:rPr>
            </w:pPr>
            <w:r>
              <w:rPr>
                <w:noProof/>
                <w:sz w:val="22"/>
              </w:rPr>
              <w:t>ГД: „Научни изследвания и иновации“</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Човешки ресурси</w:t>
            </w:r>
          </w:p>
        </w:tc>
        <w:tc>
          <w:tcPr>
            <w:tcW w:w="868" w:type="dxa"/>
            <w:vAlign w:val="center"/>
          </w:tcPr>
          <w:p>
            <w:pPr>
              <w:spacing w:before="20" w:after="20" w:line="276" w:lineRule="auto"/>
              <w:jc w:val="right"/>
              <w:rPr>
                <w:b/>
                <w:noProof/>
                <w:sz w:val="20"/>
              </w:rPr>
            </w:pPr>
          </w:p>
        </w:tc>
        <w:tc>
          <w:tcPr>
            <w:tcW w:w="758" w:type="dxa"/>
            <w:vAlign w:val="center"/>
          </w:tcPr>
          <w:p>
            <w:pPr>
              <w:spacing w:before="20" w:after="20" w:line="276" w:lineRule="auto"/>
              <w:jc w:val="right"/>
              <w:rPr>
                <w:b/>
                <w:noProof/>
                <w:sz w:val="20"/>
              </w:rPr>
            </w:pPr>
          </w:p>
        </w:tc>
        <w:tc>
          <w:tcPr>
            <w:tcW w:w="978" w:type="dxa"/>
            <w:vAlign w:val="center"/>
          </w:tcPr>
          <w:p>
            <w:pPr>
              <w:spacing w:before="20" w:after="20" w:line="276" w:lineRule="auto"/>
              <w:jc w:val="right"/>
              <w:rPr>
                <w:b/>
                <w:noProof/>
                <w:sz w:val="20"/>
              </w:rPr>
            </w:pPr>
          </w:p>
        </w:tc>
        <w:tc>
          <w:tcPr>
            <w:tcW w:w="1182" w:type="dxa"/>
            <w:vAlign w:val="center"/>
          </w:tcPr>
          <w:p>
            <w:pPr>
              <w:spacing w:before="20" w:after="20" w:line="276" w:lineRule="auto"/>
              <w:jc w:val="right"/>
              <w:rPr>
                <w:b/>
                <w:noProof/>
                <w:sz w:val="20"/>
              </w:rPr>
            </w:pPr>
          </w:p>
        </w:tc>
        <w:tc>
          <w:tcPr>
            <w:tcW w:w="1920" w:type="dxa"/>
            <w:vAlign w:val="center"/>
          </w:tcPr>
          <w:p>
            <w:pPr>
              <w:spacing w:before="20" w:after="20"/>
              <w:jc w:val="right"/>
              <w:rPr>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Други административни разходи</w:t>
            </w:r>
          </w:p>
        </w:tc>
        <w:tc>
          <w:tcPr>
            <w:tcW w:w="868" w:type="dxa"/>
            <w:vAlign w:val="center"/>
          </w:tcPr>
          <w:p>
            <w:pPr>
              <w:spacing w:before="20" w:after="20" w:line="276" w:lineRule="auto"/>
              <w:jc w:val="right"/>
              <w:rPr>
                <w:noProof/>
                <w:sz w:val="20"/>
              </w:rPr>
            </w:pPr>
            <w:r>
              <w:rPr>
                <w:noProof/>
                <w:sz w:val="20"/>
              </w:rPr>
              <w:t>4600</w:t>
            </w:r>
          </w:p>
        </w:tc>
        <w:tc>
          <w:tcPr>
            <w:tcW w:w="758" w:type="dxa"/>
            <w:vAlign w:val="center"/>
          </w:tcPr>
          <w:p>
            <w:pPr>
              <w:spacing w:before="20" w:after="20" w:line="276" w:lineRule="auto"/>
              <w:jc w:val="right"/>
              <w:rPr>
                <w:noProof/>
                <w:sz w:val="20"/>
              </w:rPr>
            </w:pPr>
            <w:r>
              <w:rPr>
                <w:noProof/>
                <w:sz w:val="20"/>
              </w:rPr>
              <w:t>4600</w:t>
            </w:r>
          </w:p>
        </w:tc>
        <w:tc>
          <w:tcPr>
            <w:tcW w:w="978" w:type="dxa"/>
            <w:vAlign w:val="center"/>
          </w:tcPr>
          <w:p>
            <w:pPr>
              <w:spacing w:before="20" w:after="20" w:line="276" w:lineRule="auto"/>
              <w:jc w:val="right"/>
              <w:rPr>
                <w:noProof/>
                <w:sz w:val="20"/>
              </w:rPr>
            </w:pPr>
            <w:r>
              <w:rPr>
                <w:noProof/>
                <w:sz w:val="20"/>
              </w:rPr>
              <w:t>4600</w:t>
            </w:r>
          </w:p>
        </w:tc>
        <w:tc>
          <w:tcPr>
            <w:tcW w:w="1182"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noProof/>
                <w:sz w:val="20"/>
              </w:rPr>
              <w:t>13 800</w:t>
            </w:r>
          </w:p>
        </w:tc>
      </w:tr>
      <w:tr>
        <w:tc>
          <w:tcPr>
            <w:tcW w:w="3960" w:type="dxa"/>
            <w:vAlign w:val="center"/>
          </w:tcPr>
          <w:p>
            <w:pPr>
              <w:jc w:val="center"/>
              <w:rPr>
                <w:b/>
                <w:noProof/>
                <w:sz w:val="22"/>
              </w:rPr>
            </w:pPr>
            <w:r>
              <w:rPr>
                <w:b/>
                <w:noProof/>
                <w:sz w:val="22"/>
              </w:rPr>
              <w:t xml:space="preserve">ОБЩО ГД </w:t>
            </w:r>
            <w:r>
              <w:rPr>
                <w:noProof/>
                <w:sz w:val="22"/>
              </w:rPr>
              <w:t>„Научни изследвания и иновации“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20" w:after="20" w:line="276" w:lineRule="auto"/>
              <w:jc w:val="right"/>
              <w:rPr>
                <w:b/>
                <w:noProof/>
                <w:sz w:val="20"/>
              </w:rPr>
            </w:pPr>
            <w:r>
              <w:rPr>
                <w:b/>
                <w:noProof/>
                <w:sz w:val="20"/>
              </w:rPr>
              <w:t>4600</w:t>
            </w:r>
          </w:p>
        </w:tc>
        <w:tc>
          <w:tcPr>
            <w:tcW w:w="758" w:type="dxa"/>
            <w:vAlign w:val="center"/>
          </w:tcPr>
          <w:p>
            <w:pPr>
              <w:spacing w:before="20" w:after="20" w:line="276" w:lineRule="auto"/>
              <w:jc w:val="right"/>
              <w:rPr>
                <w:b/>
                <w:noProof/>
                <w:sz w:val="20"/>
              </w:rPr>
            </w:pPr>
            <w:r>
              <w:rPr>
                <w:b/>
                <w:noProof/>
                <w:sz w:val="20"/>
              </w:rPr>
              <w:t>4600</w:t>
            </w:r>
          </w:p>
        </w:tc>
        <w:tc>
          <w:tcPr>
            <w:tcW w:w="978" w:type="dxa"/>
            <w:vAlign w:val="center"/>
          </w:tcPr>
          <w:p>
            <w:pPr>
              <w:spacing w:before="20" w:after="20" w:line="276" w:lineRule="auto"/>
              <w:jc w:val="right"/>
              <w:rPr>
                <w:b/>
                <w:noProof/>
                <w:sz w:val="20"/>
              </w:rPr>
            </w:pPr>
            <w:r>
              <w:rPr>
                <w:b/>
                <w:noProof/>
                <w:sz w:val="20"/>
              </w:rPr>
              <w:t>4600</w:t>
            </w:r>
          </w:p>
        </w:tc>
        <w:tc>
          <w:tcPr>
            <w:tcW w:w="1182"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13 800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182"/>
        <w:gridCol w:w="1920"/>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line="276" w:lineRule="auto"/>
              <w:jc w:val="right"/>
              <w:rPr>
                <w:b/>
                <w:noProof/>
                <w:sz w:val="20"/>
              </w:rPr>
            </w:pPr>
            <w:r>
              <w:rPr>
                <w:b/>
                <w:noProof/>
                <w:sz w:val="20"/>
              </w:rPr>
              <w:t>4600</w:t>
            </w:r>
          </w:p>
        </w:tc>
        <w:tc>
          <w:tcPr>
            <w:tcW w:w="868" w:type="dxa"/>
            <w:vAlign w:val="center"/>
          </w:tcPr>
          <w:p>
            <w:pPr>
              <w:spacing w:before="20" w:after="20" w:line="276" w:lineRule="auto"/>
              <w:jc w:val="right"/>
              <w:rPr>
                <w:b/>
                <w:noProof/>
                <w:sz w:val="20"/>
              </w:rPr>
            </w:pPr>
            <w:r>
              <w:rPr>
                <w:b/>
                <w:noProof/>
                <w:sz w:val="20"/>
              </w:rPr>
              <w:t>4600</w:t>
            </w:r>
          </w:p>
        </w:tc>
        <w:tc>
          <w:tcPr>
            <w:tcW w:w="868" w:type="dxa"/>
            <w:vAlign w:val="center"/>
          </w:tcPr>
          <w:p>
            <w:pPr>
              <w:spacing w:before="20" w:after="20" w:line="276" w:lineRule="auto"/>
              <w:jc w:val="right"/>
              <w:rPr>
                <w:b/>
                <w:noProof/>
                <w:sz w:val="20"/>
              </w:rPr>
            </w:pPr>
            <w:r>
              <w:rPr>
                <w:b/>
                <w:noProof/>
                <w:sz w:val="20"/>
              </w:rPr>
              <w:t>4600</w:t>
            </w:r>
          </w:p>
        </w:tc>
        <w:tc>
          <w:tcPr>
            <w:tcW w:w="1182"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13 800</w:t>
            </w:r>
          </w:p>
        </w:tc>
      </w:tr>
    </w:tbl>
    <w:p>
      <w:pPr>
        <w:jc w:val="right"/>
        <w:rPr>
          <w:noProof/>
          <w:sz w:val="20"/>
        </w:rPr>
      </w:pPr>
      <w:r>
        <w:rPr>
          <w:noProof/>
          <w:sz w:val="20"/>
        </w:rPr>
        <w:t xml:space="preserve">евро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182"/>
        <w:gridCol w:w="192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19"/>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1182" w:type="dxa"/>
            <w:vAlign w:val="center"/>
          </w:tcPr>
          <w:p>
            <w:pPr>
              <w:jc w:val="center"/>
              <w:rPr>
                <w:noProof/>
                <w:sz w:val="20"/>
              </w:rPr>
            </w:pPr>
            <w:r>
              <w:rPr>
                <w:noProof/>
                <w:sz w:val="20"/>
              </w:rPr>
              <w:t>Година</w:t>
            </w:r>
            <w:r>
              <w:rPr>
                <w:noProof/>
                <w:sz w:val="22"/>
              </w:rPr>
              <w:br/>
            </w:r>
            <w:r>
              <w:rPr>
                <w:b/>
                <w:noProof/>
                <w:sz w:val="20"/>
              </w:rPr>
              <w:t>2021—2029</w:t>
            </w:r>
          </w:p>
        </w:tc>
        <w:tc>
          <w:tcPr>
            <w:tcW w:w="1920"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1182" w:type="dxa"/>
            <w:vAlign w:val="center"/>
          </w:tcPr>
          <w:p>
            <w:pPr>
              <w:spacing w:before="60" w:after="60" w:line="200" w:lineRule="exact"/>
              <w:jc w:val="right"/>
              <w:rPr>
                <w:b/>
                <w:noProof/>
                <w:sz w:val="16"/>
                <w:szCs w:val="16"/>
              </w:rPr>
            </w:pPr>
          </w:p>
        </w:tc>
        <w:tc>
          <w:tcPr>
            <w:tcW w:w="1920" w:type="dxa"/>
            <w:vAlign w:val="center"/>
          </w:tcPr>
          <w:p>
            <w:pPr>
              <w:spacing w:before="60" w:after="60" w:line="200" w:lineRule="exact"/>
              <w:jc w:val="right"/>
              <w:rPr>
                <w:b/>
                <w:noProof/>
                <w:sz w:val="16"/>
                <w:szCs w:val="16"/>
              </w:rPr>
            </w:pPr>
            <w:r>
              <w:rPr>
                <w:b/>
                <w:noProof/>
                <w:sz w:val="20"/>
              </w:rPr>
              <w:t>82 800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1182" w:type="dxa"/>
            <w:vAlign w:val="center"/>
          </w:tcPr>
          <w:p>
            <w:pPr>
              <w:spacing w:before="60" w:after="60" w:line="200" w:lineRule="exact"/>
              <w:jc w:val="right"/>
              <w:rPr>
                <w:b/>
                <w:noProof/>
                <w:sz w:val="16"/>
                <w:szCs w:val="16"/>
              </w:rPr>
            </w:pPr>
          </w:p>
        </w:tc>
        <w:tc>
          <w:tcPr>
            <w:tcW w:w="1920" w:type="dxa"/>
            <w:vAlign w:val="center"/>
          </w:tcPr>
          <w:p>
            <w:pPr>
              <w:spacing w:before="60" w:after="60" w:line="200" w:lineRule="exact"/>
              <w:jc w:val="right"/>
              <w:rPr>
                <w:b/>
                <w:noProof/>
                <w:sz w:val="16"/>
                <w:szCs w:val="16"/>
              </w:rPr>
            </w:pPr>
            <w:r>
              <w:rPr>
                <w:b/>
                <w:noProof/>
                <w:sz w:val="20"/>
              </w:rPr>
              <w:t>82 800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FE"/>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 xml:space="preserve">Бюджетни кредити за поети задължения в евро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sz w:val="22"/>
              </w:rPr>
              <w:br/>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20"/>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21"/>
            </w:r>
            <w:r>
              <w:rPr>
                <w:noProof/>
                <w:sz w:val="18"/>
              </w:rPr>
              <w:t xml:space="preserve">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 xml:space="preserve">евро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2018</w:t>
            </w:r>
            <w:r>
              <w:rPr>
                <w:rStyle w:val="FootnoteReference"/>
                <w:b/>
                <w:noProof/>
                <w:sz w:val="16"/>
              </w:rPr>
              <w:footnoteReference w:id="22"/>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20"/>
              </w:rPr>
              <w:t>2019</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20" w:after="20" w:line="276" w:lineRule="auto"/>
              <w:jc w:val="right"/>
              <w:rPr>
                <w:noProof/>
                <w:sz w:val="20"/>
              </w:rPr>
            </w:pPr>
            <w:r>
              <w:rPr>
                <w:noProof/>
                <w:sz w:val="20"/>
              </w:rPr>
              <w:t>4600</w:t>
            </w:r>
          </w:p>
        </w:tc>
        <w:tc>
          <w:tcPr>
            <w:tcW w:w="1080" w:type="dxa"/>
            <w:vAlign w:val="center"/>
          </w:tcPr>
          <w:p>
            <w:pPr>
              <w:spacing w:before="20" w:after="20" w:line="276" w:lineRule="auto"/>
              <w:jc w:val="right"/>
              <w:rPr>
                <w:noProof/>
                <w:sz w:val="20"/>
              </w:rPr>
            </w:pPr>
            <w:r>
              <w:rPr>
                <w:noProof/>
                <w:sz w:val="20"/>
              </w:rPr>
              <w:t>4600</w:t>
            </w:r>
          </w:p>
        </w:tc>
        <w:tc>
          <w:tcPr>
            <w:tcW w:w="1080" w:type="dxa"/>
            <w:vAlign w:val="center"/>
          </w:tcPr>
          <w:p>
            <w:pPr>
              <w:spacing w:before="20" w:after="20" w:line="276" w:lineRule="auto"/>
              <w:jc w:val="right"/>
              <w:rPr>
                <w:noProof/>
                <w:sz w:val="20"/>
              </w:rPr>
            </w:pPr>
            <w:r>
              <w:rPr>
                <w:noProof/>
                <w:sz w:val="20"/>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13 800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20" w:after="20" w:line="276" w:lineRule="auto"/>
              <w:jc w:val="right"/>
              <w:rPr>
                <w:b/>
                <w:noProof/>
                <w:sz w:val="20"/>
              </w:rPr>
            </w:pPr>
            <w:r>
              <w:rPr>
                <w:b/>
                <w:noProof/>
                <w:sz w:val="20"/>
              </w:rPr>
              <w:t>4600</w:t>
            </w:r>
          </w:p>
        </w:tc>
        <w:tc>
          <w:tcPr>
            <w:tcW w:w="1080" w:type="dxa"/>
            <w:vAlign w:val="center"/>
          </w:tcPr>
          <w:p>
            <w:pPr>
              <w:spacing w:before="20" w:after="20" w:line="276" w:lineRule="auto"/>
              <w:jc w:val="right"/>
              <w:rPr>
                <w:b/>
                <w:noProof/>
                <w:sz w:val="20"/>
              </w:rPr>
            </w:pPr>
            <w:r>
              <w:rPr>
                <w:b/>
                <w:noProof/>
                <w:sz w:val="20"/>
              </w:rPr>
              <w:t>4600</w:t>
            </w:r>
          </w:p>
        </w:tc>
        <w:tc>
          <w:tcPr>
            <w:tcW w:w="1080" w:type="dxa"/>
            <w:vAlign w:val="center"/>
          </w:tcPr>
          <w:p>
            <w:pPr>
              <w:spacing w:before="20" w:after="20" w:line="276" w:lineRule="auto"/>
              <w:jc w:val="right"/>
              <w:rPr>
                <w:b/>
                <w:noProof/>
                <w:sz w:val="20"/>
              </w:rPr>
            </w:pPr>
            <w:r>
              <w:rPr>
                <w:b/>
                <w:noProof/>
                <w:sz w:val="20"/>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13 800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23"/>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69 000</w:t>
            </w: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69 000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82 800</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315"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4"/>
        <w:gridCol w:w="1954"/>
        <w:gridCol w:w="971"/>
        <w:gridCol w:w="720"/>
        <w:gridCol w:w="962"/>
        <w:gridCol w:w="1443"/>
      </w:tblGrid>
      <w:tr>
        <w:trPr>
          <w:gridBefore w:val="1"/>
          <w:wBefore w:w="7" w:type="pct"/>
          <w:trHeight w:val="289"/>
          <w:jc w:val="center"/>
        </w:trPr>
        <w:tc>
          <w:tcPr>
            <w:tcW w:w="2438" w:type="pct"/>
            <w:gridSpan w:val="2"/>
            <w:shd w:val="clear" w:color="auto" w:fill="auto"/>
          </w:tcPr>
          <w:p>
            <w:pPr>
              <w:pStyle w:val="Text1"/>
              <w:spacing w:before="40" w:after="40"/>
              <w:ind w:left="0"/>
              <w:jc w:val="center"/>
              <w:rPr>
                <w:i/>
                <w:noProof/>
                <w:sz w:val="16"/>
                <w:szCs w:val="16"/>
              </w:rPr>
            </w:pPr>
          </w:p>
        </w:tc>
        <w:tc>
          <w:tcPr>
            <w:tcW w:w="606"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2018</w:t>
            </w:r>
          </w:p>
        </w:tc>
        <w:tc>
          <w:tcPr>
            <w:tcW w:w="449"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2019</w:t>
            </w:r>
          </w:p>
        </w:tc>
        <w:tc>
          <w:tcPr>
            <w:tcW w:w="600" w:type="pct"/>
            <w:shd w:val="clear" w:color="auto" w:fill="auto"/>
            <w:vAlign w:val="center"/>
          </w:tcPr>
          <w:p>
            <w:pPr>
              <w:spacing w:before="20" w:after="20"/>
              <w:jc w:val="center"/>
              <w:rPr>
                <w:noProof/>
                <w:sz w:val="16"/>
                <w:szCs w:val="16"/>
              </w:rPr>
            </w:pPr>
            <w:r>
              <w:rPr>
                <w:noProof/>
                <w:sz w:val="16"/>
              </w:rPr>
              <w:t xml:space="preserve">Година </w:t>
            </w:r>
          </w:p>
          <w:p>
            <w:pPr>
              <w:spacing w:before="20" w:after="20"/>
              <w:jc w:val="center"/>
              <w:rPr>
                <w:noProof/>
                <w:sz w:val="16"/>
                <w:szCs w:val="16"/>
              </w:rPr>
            </w:pPr>
            <w:r>
              <w:rPr>
                <w:b/>
                <w:noProof/>
                <w:sz w:val="16"/>
              </w:rPr>
              <w:t>2020</w:t>
            </w:r>
          </w:p>
        </w:tc>
        <w:tc>
          <w:tcPr>
            <w:tcW w:w="900" w:type="pct"/>
            <w:shd w:val="clear" w:color="auto" w:fill="auto"/>
            <w:vAlign w:val="center"/>
          </w:tcPr>
          <w:p>
            <w:pPr>
              <w:spacing w:before="20" w:after="20"/>
              <w:jc w:val="center"/>
              <w:rPr>
                <w:noProof/>
                <w:sz w:val="16"/>
                <w:szCs w:val="16"/>
              </w:rPr>
            </w:pPr>
            <w:r>
              <w:rPr>
                <w:noProof/>
                <w:sz w:val="16"/>
              </w:rPr>
              <w:t xml:space="preserve">Година </w:t>
            </w:r>
          </w:p>
          <w:p>
            <w:pPr>
              <w:spacing w:before="20" w:after="20"/>
              <w:jc w:val="center"/>
              <w:rPr>
                <w:b/>
                <w:noProof/>
                <w:sz w:val="16"/>
                <w:szCs w:val="16"/>
              </w:rPr>
            </w:pPr>
            <w:r>
              <w:rPr>
                <w:b/>
                <w:noProof/>
                <w:sz w:val="16"/>
              </w:rPr>
              <w:t xml:space="preserve">2021—2029 </w:t>
            </w:r>
          </w:p>
        </w:tc>
      </w:tr>
      <w:tr>
        <w:trPr>
          <w:gridBefore w:val="1"/>
          <w:wBefore w:w="7" w:type="pct"/>
          <w:trHeight w:val="289"/>
          <w:jc w:val="center"/>
        </w:trPr>
        <w:tc>
          <w:tcPr>
            <w:tcW w:w="4093" w:type="pct"/>
            <w:gridSpan w:val="5"/>
            <w:shd w:val="clear" w:color="auto" w:fill="auto"/>
          </w:tcPr>
          <w:p>
            <w:pPr>
              <w:spacing w:before="20" w:after="20"/>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c>
          <w:tcPr>
            <w:tcW w:w="900" w:type="pct"/>
            <w:shd w:val="clear" w:color="auto" w:fill="auto"/>
            <w:vAlign w:val="center"/>
          </w:tcPr>
          <w:p>
            <w:pPr>
              <w:spacing w:before="20" w:after="20"/>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08 01 05 01 (Непреки научни изследвания)</w:t>
            </w:r>
          </w:p>
        </w:tc>
        <w:tc>
          <w:tcPr>
            <w:tcW w:w="606"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49"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600"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After w:val="1"/>
          <w:wAfter w:w="900" w:type="pct"/>
          <w:trHeight w:val="248"/>
          <w:jc w:val="center"/>
        </w:trPr>
        <w:tc>
          <w:tcPr>
            <w:tcW w:w="410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b/>
                <w:noProof/>
                <w:sz w:val="16"/>
              </w:rPr>
              <w:footnoteReference w:id="24"/>
            </w:r>
          </w:p>
          <w:p>
            <w:pPr>
              <w:pStyle w:val="Text1"/>
              <w:spacing w:before="0" w:after="0"/>
              <w:ind w:left="0"/>
              <w:jc w:val="left"/>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1219"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5"/>
            </w:r>
          </w:p>
          <w:p>
            <w:pPr>
              <w:pStyle w:val="Text1"/>
              <w:spacing w:beforeLines="20" w:before="48" w:afterLines="20" w:after="48"/>
              <w:ind w:left="136"/>
              <w:jc w:val="left"/>
              <w:rPr>
                <w:b/>
                <w:noProof/>
                <w:sz w:val="16"/>
                <w:szCs w:val="16"/>
              </w:rPr>
            </w:pPr>
          </w:p>
        </w:tc>
        <w:tc>
          <w:tcPr>
            <w:tcW w:w="121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606" w:type="pct"/>
            <w:shd w:val="clear" w:color="auto" w:fill="auto"/>
            <w:vAlign w:val="center"/>
          </w:tcPr>
          <w:p>
            <w:pPr>
              <w:pStyle w:val="Text1"/>
              <w:spacing w:beforeLines="20" w:before="48" w:afterLines="20" w:after="48"/>
              <w:ind w:left="0"/>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1219" w:type="pct"/>
            <w:vMerge/>
            <w:shd w:val="clear" w:color="auto" w:fill="auto"/>
            <w:vAlign w:val="center"/>
          </w:tcPr>
          <w:p>
            <w:pPr>
              <w:pStyle w:val="Text1"/>
              <w:spacing w:beforeLines="20" w:before="48" w:afterLines="20" w:after="48"/>
              <w:ind w:left="136"/>
              <w:jc w:val="left"/>
              <w:rPr>
                <w:b/>
                <w:noProof/>
                <w:sz w:val="16"/>
                <w:szCs w:val="16"/>
              </w:rPr>
            </w:pPr>
          </w:p>
        </w:tc>
        <w:tc>
          <w:tcPr>
            <w:tcW w:w="121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606" w:type="pct"/>
            <w:shd w:val="clear" w:color="auto" w:fill="auto"/>
            <w:vAlign w:val="center"/>
          </w:tcPr>
          <w:p>
            <w:pPr>
              <w:pStyle w:val="Text1"/>
              <w:spacing w:beforeLines="20" w:before="48" w:afterLines="20" w:after="48"/>
              <w:ind w:left="0"/>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60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90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606"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49"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600"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900"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978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6540"/>
      </w:tblGrid>
      <w:tr>
        <w:tc>
          <w:tcPr>
            <w:tcW w:w="3240" w:type="dxa"/>
          </w:tcPr>
          <w:p>
            <w:pPr>
              <w:rPr>
                <w:noProof/>
                <w:sz w:val="20"/>
              </w:rPr>
            </w:pPr>
            <w:r>
              <w:rPr>
                <w:noProof/>
                <w:sz w:val="20"/>
              </w:rPr>
              <w:t>Длъжностни лица и срочно наети служители</w:t>
            </w:r>
          </w:p>
        </w:tc>
        <w:tc>
          <w:tcPr>
            <w:tcW w:w="6540" w:type="dxa"/>
          </w:tcPr>
          <w:p>
            <w:pPr>
              <w:rPr>
                <w:noProof/>
                <w:sz w:val="20"/>
              </w:rPr>
            </w:pPr>
            <w:r>
              <w:rPr>
                <w:noProof/>
                <w:sz w:val="20"/>
              </w:rPr>
              <w:t>Подготвяне и сключване на административна договореност с йорданските органи за оказване на помощ във връзка със защитата на финансовите интереси на ЕС, както е предвидено в член 2 от споразумението.</w:t>
            </w:r>
          </w:p>
        </w:tc>
      </w:tr>
      <w:tr>
        <w:tc>
          <w:tcPr>
            <w:tcW w:w="3240" w:type="dxa"/>
          </w:tcPr>
          <w:p>
            <w:pPr>
              <w:spacing w:before="60" w:after="60"/>
              <w:rPr>
                <w:noProof/>
                <w:sz w:val="20"/>
              </w:rPr>
            </w:pPr>
            <w:r>
              <w:rPr>
                <w:noProof/>
                <w:sz w:val="20"/>
              </w:rPr>
              <w:t>Външен персонал</w:t>
            </w:r>
          </w:p>
        </w:tc>
        <w:tc>
          <w:tcPr>
            <w:tcW w:w="654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FE"/>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rPr>
      </w:pPr>
      <w:r>
        <w:rPr>
          <w:noProof/>
          <w:sz w:val="20"/>
        </w:rPr>
        <w:t>Обяснете какво препрограмиране е необходимо, като посочите съответните бюджетни редове и суми.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rPr>
      </w:pPr>
      <w:r>
        <w:rPr>
          <w:noProof/>
        </w:rPr>
        <w:sym w:font="Wingdings" w:char="F0FE"/>
      </w:r>
      <w:r>
        <w:rPr>
          <w:noProof/>
        </w:rPr>
        <w:t xml:space="preserve"> 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 xml:space="preserve">Бюджетни кредити в евро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FE"/>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 xml:space="preserve">евро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6"/>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(ЕС) 2017/1324 на Европейския парламент и на Съвета от 4 юли 2017 г.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(ОВ L 185, 18.7.2017 г., стр. 1).</w:t>
      </w:r>
    </w:p>
  </w:footnote>
  <w:footnote w:id="2">
    <w:p>
      <w:pPr>
        <w:pStyle w:val="FootnoteText"/>
        <w:rPr>
          <w:lang w:val="pt-PT"/>
        </w:rPr>
      </w:pPr>
      <w:r>
        <w:rPr>
          <w:rStyle w:val="FootnoteReference"/>
        </w:rPr>
        <w:footnoteRef/>
      </w:r>
      <w:r>
        <w:tab/>
        <w:t>SWD(2016) 332 final, 18.10.2016 г.</w:t>
      </w:r>
    </w:p>
  </w:footnote>
  <w:footnote w:id="3">
    <w:p>
      <w:pPr>
        <w:pStyle w:val="FootnoteText"/>
        <w:rPr>
          <w:lang w:val="pt-PT"/>
        </w:rPr>
      </w:pPr>
      <w:r>
        <w:rPr>
          <w:rStyle w:val="FootnoteReference"/>
        </w:rPr>
        <w:footnoteRef/>
      </w:r>
      <w:r>
        <w:tab/>
        <w:t>COM(2012) 497 final.</w:t>
      </w:r>
    </w:p>
  </w:footnote>
  <w:footnote w:id="4">
    <w:p>
      <w:pPr>
        <w:pStyle w:val="FootnoteText"/>
        <w:rPr>
          <w:lang w:val="pt-PT"/>
        </w:rPr>
      </w:pPr>
      <w:r>
        <w:rPr>
          <w:rStyle w:val="FootnoteReference"/>
        </w:rPr>
        <w:footnoteRef/>
      </w:r>
      <w:r>
        <w:tab/>
        <w:t>ОВ L 129, 15.5.2002 г., стp. 3.</w:t>
      </w:r>
    </w:p>
  </w:footnote>
  <w:footnote w:id="5">
    <w:p>
      <w:pPr>
        <w:pStyle w:val="FootnoteText"/>
      </w:pPr>
      <w:r>
        <w:rPr>
          <w:rStyle w:val="FootnoteReference"/>
        </w:rPr>
        <w:footnoteRef/>
      </w:r>
      <w:r>
        <w:tab/>
        <w:t>ОВ L 159, 17.6.2011 г., стр. 108.</w:t>
      </w:r>
    </w:p>
  </w:footnote>
  <w:footnote w:id="6">
    <w:p>
      <w:pPr>
        <w:pStyle w:val="FootnoteText"/>
      </w:pPr>
      <w:r>
        <w:rPr>
          <w:rStyle w:val="FootnoteReference"/>
        </w:rPr>
        <w:footnoteRef/>
      </w:r>
      <w:r>
        <w:tab/>
        <w:t>Решение (ЕС) 2017/1324 на Европейския парламент и на Съвета от 4 юли 2017 г.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(ОВ L 185, 18.7.2017 г., стр. 1).</w:t>
      </w:r>
    </w:p>
    <w:p>
      <w:pPr>
        <w:pStyle w:val="FootnoteText"/>
      </w:pPr>
    </w:p>
  </w:footnote>
  <w:footnote w:id="7">
    <w:p>
      <w:pPr>
        <w:pStyle w:val="FootnoteText"/>
      </w:pPr>
      <w:r>
        <w:rPr>
          <w:rStyle w:val="FootnoteReference"/>
        </w:rPr>
        <w:footnoteRef/>
      </w:r>
      <w:r>
        <w:tab/>
      </w:r>
    </w:p>
  </w:footnote>
  <w:footnote w:id="8">
    <w:p>
      <w:pPr>
        <w:pStyle w:val="FootnoteText"/>
        <w:rPr>
          <w:szCs w:val="24"/>
        </w:rPr>
      </w:pPr>
      <w:r>
        <w:rPr>
          <w:rStyle w:val="FootnoteReference"/>
        </w:rPr>
        <w:footnoteRef/>
      </w:r>
      <w:r>
        <w:tab/>
        <w:t>УД: управление по дейности; БД: бюджетиране по дейности.</w:t>
      </w:r>
    </w:p>
  </w:footnote>
  <w:footnote w:id="9">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0">
    <w:p>
      <w:pPr>
        <w:pStyle w:val="FootnoteText"/>
      </w:pPr>
      <w:r>
        <w:rPr>
          <w:rStyle w:val="FootnoteReference"/>
        </w:rPr>
        <w:footnoteRef/>
      </w:r>
      <w:r>
        <w:tab/>
        <w:t>COM(2016) 662 final, 18.10.2016 г.</w:t>
      </w:r>
    </w:p>
  </w:footnote>
  <w:footnote w:id="11">
    <w:p>
      <w:pPr>
        <w:pStyle w:val="FootnoteText"/>
      </w:pPr>
      <w:r>
        <w:rPr>
          <w:rStyle w:val="FootnoteReference"/>
        </w:rPr>
        <w:footnoteRef/>
      </w:r>
      <w:r>
        <w:tab/>
        <w:t>SWD(2016) 332 final, 18.10.2016 г.</w:t>
      </w:r>
    </w:p>
  </w:footnote>
  <w:footnote w:id="12">
    <w:p>
      <w:pPr>
        <w:pStyle w:val="FootnoteText"/>
      </w:pPr>
      <w:r>
        <w:rPr>
          <w:rStyle w:val="FootnoteReference"/>
        </w:rPr>
        <w:footnoteRef/>
      </w:r>
      <w:r>
        <w:tab/>
        <w:t xml:space="preserve">Подробна информация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http://www.cc.cec/budg/man/budgmanag/budgmanag_en.html</w:t>
        </w:r>
      </w:hyperlink>
      <w:r>
        <w:t>.</w:t>
      </w:r>
    </w:p>
  </w:footnote>
  <w:footnote w:id="13">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4">
    <w:p>
      <w:pPr>
        <w:pStyle w:val="FootnoteText"/>
        <w:rPr>
          <w:szCs w:val="24"/>
        </w:rPr>
      </w:pPr>
      <w:r>
        <w:rPr>
          <w:rStyle w:val="FootnoteReference"/>
        </w:rPr>
        <w:footnoteRef/>
      </w:r>
      <w:r>
        <w:tab/>
        <w:t xml:space="preserve">ЕАСТ: Европейска асоциация за свободна търговия. </w:t>
      </w:r>
    </w:p>
  </w:footnote>
  <w:footnote w:id="15">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6">
    <w:p>
      <w:pPr>
        <w:pStyle w:val="FootnoteText"/>
        <w:rPr>
          <w:szCs w:val="24"/>
        </w:rPr>
      </w:pPr>
      <w:r>
        <w:rPr>
          <w:rStyle w:val="FootnoteReference"/>
        </w:rPr>
        <w:footnoteRef/>
      </w:r>
      <w:r>
        <w:tab/>
        <w:t>2018 година е годината, през която започва да се осъществява предложението/инициативата.</w:t>
      </w:r>
    </w:p>
  </w:footnote>
  <w:footnote w:id="17">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8">
    <w:p>
      <w:pPr>
        <w:pStyle w:val="FootnoteText"/>
      </w:pPr>
      <w:r>
        <w:rPr>
          <w:rStyle w:val="FootnoteReference"/>
        </w:rPr>
        <w:footnoteRef/>
      </w:r>
      <w:r>
        <w:tab/>
        <w:t>2018 година е годината, през която започва да се осъществява предложението/инициативата.</w:t>
      </w:r>
    </w:p>
  </w:footnote>
  <w:footnote w:id="19">
    <w:p>
      <w:pPr>
        <w:pStyle w:val="FootnoteText"/>
        <w:rPr>
          <w:szCs w:val="24"/>
        </w:rPr>
      </w:pPr>
      <w:r>
        <w:rPr>
          <w:rStyle w:val="FootnoteReference"/>
        </w:rPr>
        <w:footnoteRef/>
      </w:r>
      <w:r>
        <w:tab/>
        <w:t>2018 година е годината, през която започва да се осъществява предложението/инициативата.</w:t>
      </w:r>
    </w:p>
  </w:footnote>
  <w:footnote w:id="20">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1">
    <w:p>
      <w:pPr>
        <w:pStyle w:val="FootnoteText"/>
        <w:rPr>
          <w:szCs w:val="24"/>
        </w:rPr>
      </w:pPr>
      <w:r>
        <w:rPr>
          <w:rStyle w:val="FootnoteReference"/>
        </w:rPr>
        <w:footnoteRef/>
      </w:r>
      <w:r>
        <w:tab/>
        <w:t xml:space="preserve">Съгласно описанието в точка 1.4.2. „Конкретни цели…“. </w:t>
      </w:r>
    </w:p>
  </w:footnote>
  <w:footnote w:id="22">
    <w:p>
      <w:pPr>
        <w:pStyle w:val="FootnoteText"/>
        <w:rPr>
          <w:szCs w:val="24"/>
        </w:rPr>
      </w:pPr>
      <w:r>
        <w:rPr>
          <w:rStyle w:val="FootnoteReference"/>
        </w:rPr>
        <w:footnoteRef/>
      </w:r>
      <w:r>
        <w:tab/>
        <w:t>2018 година е годината, през която започва да се осъществява предложението/инициативата.</w:t>
      </w:r>
    </w:p>
  </w:footnote>
  <w:footnote w:id="23">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4">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5">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6">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0A75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0C05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0C07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9E5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A6E4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304A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7CFC6ED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num>
  <w:num w:numId="6">
    <w:abstractNumId w:val="16"/>
  </w:num>
  <w:num w:numId="7">
    <w:abstractNumId w:val="15"/>
  </w:num>
  <w:num w:numId="8">
    <w:abstractNumId w:val="23"/>
  </w:num>
  <w:num w:numId="9">
    <w:abstractNumId w:val="24"/>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20"/>
  </w:num>
  <w:num w:numId="15">
    <w:abstractNumId w:val="12"/>
  </w:num>
  <w:num w:numId="16">
    <w:abstractNumId w:val="22"/>
  </w:num>
  <w:num w:numId="17">
    <w:abstractNumId w:val="11"/>
  </w:num>
  <w:num w:numId="18">
    <w:abstractNumId w:val="13"/>
  </w:num>
  <w:num w:numId="19">
    <w:abstractNumId w:val="9"/>
  </w:num>
  <w:num w:numId="20">
    <w:abstractNumId w:val="21"/>
  </w:num>
  <w:num w:numId="21">
    <w:abstractNumId w:val="8"/>
  </w:num>
  <w:num w:numId="22">
    <w:abstractNumId w:val="14"/>
  </w:num>
  <w:num w:numId="23">
    <w:abstractNumId w:val="18"/>
  </w:num>
  <w:num w:numId="24">
    <w:abstractNumId w:val="19"/>
  </w:num>
  <w:num w:numId="25">
    <w:abstractNumId w:val="10"/>
  </w:num>
  <w:num w:numId="26">
    <w:abstractNumId w:val="17"/>
  </w:num>
  <w:num w:numId="27">
    <w:abstractNumId w:val="24"/>
  </w:num>
  <w:num w:numId="28">
    <w:abstractNumId w:val="20"/>
  </w:num>
  <w:num w:numId="29">
    <w:abstractNumId w:val="12"/>
  </w:num>
  <w:num w:numId="30">
    <w:abstractNumId w:val="22"/>
  </w:num>
  <w:num w:numId="31">
    <w:abstractNumId w:val="11"/>
  </w:num>
  <w:num w:numId="32">
    <w:abstractNumId w:val="13"/>
  </w:num>
  <w:num w:numId="33">
    <w:abstractNumId w:val="9"/>
  </w:num>
  <w:num w:numId="34">
    <w:abstractNumId w:val="21"/>
  </w:num>
  <w:num w:numId="35">
    <w:abstractNumId w:val="8"/>
  </w:num>
  <w:num w:numId="36">
    <w:abstractNumId w:val="14"/>
  </w:num>
  <w:num w:numId="37">
    <w:abstractNumId w:val="18"/>
  </w:num>
  <w:num w:numId="38">
    <w:abstractNumId w:val="19"/>
  </w:num>
  <w:num w:numId="39">
    <w:abstractNumId w:val="10"/>
  </w:num>
  <w:num w:numId="40">
    <w:abstractNumId w:val="17"/>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08:12: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45229264846433683A25213F809195E"/>
    <w:docVar w:name="LW_CROSSREFERENCE" w:val="&lt;UNUSED&gt;"/>
    <w:docVar w:name="LW_DocType" w:val="COM"/>
    <w:docVar w:name="LW_EMISSION" w:val="11.8.2017"/>
    <w:docVar w:name="LW_EMISSION_ISODATE" w:val="2017-08-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0"/>
    <w:docVar w:name="LW_REF.II.NEW.CP_YEAR" w:val="2017"/>
    <w:docVar w:name="LW_REF.INST.NEW" w:val="COM"/>
    <w:docVar w:name="LW_REF.INST.NEW_ADOPTED" w:val="final"/>
    <w:docVar w:name="LW_REF.INST.NEW_TEXT" w:val="(2017) 434"/>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79?\u1072? \u1085?\u1072?\u1091?\u1095?\u1085?\u1086? \u1080? \u1090?\u1077?\u1093?\u1085?\u1086?\u1083?\u1086?\u1075?\u1080?\u1095?\u1085?\u1086? \u1089?\u1098?\u1090?\u1088?\u1091?\u1076?\u1085?\u1080?\u1095?\u1077?\u1089?\u1090?\u1074?\u1086? \u1084?\u1077?\u1078?\u1076?\u1091? \u1045?\u1074?\u1088?\u1086?\u1087?\u1077?\u1081?\u1089?\u1082?\u1080?\u1103? \u1089?\u1098?\u1102?\u1079? \u1080? \u1061?\u1072?\u1096?\u1077?\u1084?\u1080?\u1090?\u1089?\u1082?\u1086? \u1082?\u1088?\u1072?\u1083?\u1089?\u1090?\u1074?\u1086? \u1049?\u1086?\u1088?\u1076?\u1072?\u1085?\u1080?\u1103?, \u1074? \u1082?\u1086?\u1077?\u1090?\u1086? \u1089?\u1077? \u1086?\u1087?\u1088?\u1077?\u1076?\u1077?\u1083?\u1103?\u1090? \u1088?\u1077?\u1076?\u1098?\u1090? \u1080? \u1091?\u1089?\u1083?\u1086?\u1074?\u1080?\u1103?\u1090?\u1072? \u1079?\u1072? \u1091?\u1095?\u1072?\u1089?\u1090?\u1080?\u1077?\u1090?\u1086? \u1085?\u1072? \u1061?\u1072?\u1096?\u1077?\u1084?\u1080?\u1090?\u1089?\u1082?\u1086? \u1082?\u1088?\u1072?\u1083?\u1089?\u1090?\u1074?\u1086? \u1049?\u1086?\u1088?\u1076?\u1072?\u1085?\u1080?\u1103? \u1074? \u1055?\u1072?\u1088?\u1090?\u1085?\u1100?\u1086?\u1088?\u1089?\u1090?\u1074?\u1086?\u1090?\u1086? \u1079?\u1072? \u1085?\u1072?\u1091?\u1095?\u1085?\u1080? \u1080?\u1079?\u1089?\u1083?\u1077?\u1076?\u1074?\u1072?\u1085?\u1080?\u1103? \u1080? \u1080?\u1085?\u1086?\u1074?\u1072?\u1094?\u1080?\u1080? \u1074? \u1057?\u1088?\u1077?\u1076?\u1080?\u1079?\u1077?\u1084?\u1085?\u1086?\u1084?\u1086?\u1088?\u1089?\u1082?\u1080?\u1103? \u1088?\u1077?\u1075?\u1080?\u1086?\u1085? (PRIMA)"/>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Number">
    <w:name w:val="List Number"/>
    <w:basedOn w:val="Normal"/>
    <w:pPr>
      <w:numPr>
        <w:numId w:val="8"/>
      </w:numPr>
    </w:pPr>
    <w:rPr>
      <w:rFonts w:eastAsia="Times New Roman"/>
    </w:rPr>
  </w:style>
  <w:style w:type="paragraph" w:customStyle="1" w:styleId="ListBullet1">
    <w:name w:val="List Bullet 1"/>
    <w:basedOn w:val="Normal"/>
    <w:pPr>
      <w:numPr>
        <w:numId w:val="5"/>
      </w:numPr>
    </w:pPr>
    <w:rPr>
      <w:rFonts w:eastAsia="Times New Roman"/>
    </w:rPr>
  </w:style>
  <w:style w:type="paragraph" w:customStyle="1" w:styleId="ListDash1">
    <w:name w:val="List Dash 1"/>
    <w:basedOn w:val="Normal"/>
    <w:pPr>
      <w:numPr>
        <w:numId w:val="6"/>
      </w:numPr>
    </w:pPr>
    <w:rPr>
      <w:rFonts w:eastAsia="Times New Roman"/>
    </w:rPr>
  </w:style>
  <w:style w:type="paragraph" w:customStyle="1" w:styleId="ListDash2">
    <w:name w:val="List Dash 2"/>
    <w:basedOn w:val="Normal"/>
    <w:pPr>
      <w:numPr>
        <w:numId w:val="7"/>
      </w:numPr>
    </w:pPr>
    <w:rPr>
      <w:rFonts w:eastAsia="Times New Roman"/>
    </w:rPr>
  </w:style>
  <w:style w:type="paragraph" w:customStyle="1" w:styleId="ListNumberLevel2">
    <w:name w:val="List Number (Level 2)"/>
    <w:basedOn w:val="Normal"/>
    <w:pPr>
      <w:numPr>
        <w:ilvl w:val="1"/>
        <w:numId w:val="8"/>
      </w:numPr>
    </w:pPr>
    <w:rPr>
      <w:rFonts w:eastAsia="Times New Roman"/>
    </w:rPr>
  </w:style>
  <w:style w:type="paragraph" w:customStyle="1" w:styleId="ListNumberLevel3">
    <w:name w:val="List Number (Level 3)"/>
    <w:basedOn w:val="Normal"/>
    <w:pPr>
      <w:numPr>
        <w:ilvl w:val="2"/>
        <w:numId w:val="8"/>
      </w:numPr>
    </w:pPr>
    <w:rPr>
      <w:rFonts w:eastAsia="Times New Roman"/>
    </w:rPr>
  </w:style>
  <w:style w:type="paragraph" w:customStyle="1" w:styleId="ListNumberLevel4">
    <w:name w:val="List Number (Level 4)"/>
    <w:basedOn w:val="Normal"/>
    <w:pPr>
      <w:numPr>
        <w:ilvl w:val="3"/>
        <w:numId w:val="8"/>
      </w:numPr>
    </w:pPr>
    <w:rPr>
      <w:rFonts w:eastAsia="Times New Roman"/>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Number">
    <w:name w:val="List Number"/>
    <w:basedOn w:val="Normal"/>
    <w:pPr>
      <w:numPr>
        <w:numId w:val="8"/>
      </w:numPr>
    </w:pPr>
    <w:rPr>
      <w:rFonts w:eastAsia="Times New Roman"/>
    </w:rPr>
  </w:style>
  <w:style w:type="paragraph" w:customStyle="1" w:styleId="ListBullet1">
    <w:name w:val="List Bullet 1"/>
    <w:basedOn w:val="Normal"/>
    <w:pPr>
      <w:numPr>
        <w:numId w:val="5"/>
      </w:numPr>
    </w:pPr>
    <w:rPr>
      <w:rFonts w:eastAsia="Times New Roman"/>
    </w:rPr>
  </w:style>
  <w:style w:type="paragraph" w:customStyle="1" w:styleId="ListDash1">
    <w:name w:val="List Dash 1"/>
    <w:basedOn w:val="Normal"/>
    <w:pPr>
      <w:numPr>
        <w:numId w:val="6"/>
      </w:numPr>
    </w:pPr>
    <w:rPr>
      <w:rFonts w:eastAsia="Times New Roman"/>
    </w:rPr>
  </w:style>
  <w:style w:type="paragraph" w:customStyle="1" w:styleId="ListDash2">
    <w:name w:val="List Dash 2"/>
    <w:basedOn w:val="Normal"/>
    <w:pPr>
      <w:numPr>
        <w:numId w:val="7"/>
      </w:numPr>
    </w:pPr>
    <w:rPr>
      <w:rFonts w:eastAsia="Times New Roman"/>
    </w:rPr>
  </w:style>
  <w:style w:type="paragraph" w:customStyle="1" w:styleId="ListNumberLevel2">
    <w:name w:val="List Number (Level 2)"/>
    <w:basedOn w:val="Normal"/>
    <w:pPr>
      <w:numPr>
        <w:ilvl w:val="1"/>
        <w:numId w:val="8"/>
      </w:numPr>
    </w:pPr>
    <w:rPr>
      <w:rFonts w:eastAsia="Times New Roman"/>
    </w:rPr>
  </w:style>
  <w:style w:type="paragraph" w:customStyle="1" w:styleId="ListNumberLevel3">
    <w:name w:val="List Number (Level 3)"/>
    <w:basedOn w:val="Normal"/>
    <w:pPr>
      <w:numPr>
        <w:ilvl w:val="2"/>
        <w:numId w:val="8"/>
      </w:numPr>
    </w:pPr>
    <w:rPr>
      <w:rFonts w:eastAsia="Times New Roman"/>
    </w:rPr>
  </w:style>
  <w:style w:type="paragraph" w:customStyle="1" w:styleId="ListNumberLevel4">
    <w:name w:val="List Number (Level 4)"/>
    <w:basedOn w:val="Normal"/>
    <w:pPr>
      <w:numPr>
        <w:ilvl w:val="3"/>
        <w:numId w:val="8"/>
      </w:numPr>
    </w:pPr>
    <w:rPr>
      <w:rFonts w:eastAsia="Times New Roman"/>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3314">
      <w:bodyDiv w:val="1"/>
      <w:marLeft w:val="0"/>
      <w:marRight w:val="0"/>
      <w:marTop w:val="0"/>
      <w:marBottom w:val="0"/>
      <w:divBdr>
        <w:top w:val="none" w:sz="0" w:space="0" w:color="auto"/>
        <w:left w:val="none" w:sz="0" w:space="0" w:color="auto"/>
        <w:bottom w:val="none" w:sz="0" w:space="0" w:color="auto"/>
        <w:right w:val="none" w:sz="0" w:space="0" w:color="auto"/>
      </w:divBdr>
    </w:div>
    <w:div w:id="1594971475">
      <w:bodyDiv w:val="1"/>
      <w:marLeft w:val="0"/>
      <w:marRight w:val="0"/>
      <w:marTop w:val="0"/>
      <w:marBottom w:val="0"/>
      <w:divBdr>
        <w:top w:val="none" w:sz="0" w:space="0" w:color="auto"/>
        <w:left w:val="none" w:sz="0" w:space="0" w:color="auto"/>
        <w:bottom w:val="none" w:sz="0" w:space="0" w:color="auto"/>
        <w:right w:val="none" w:sz="0" w:space="0" w:color="auto"/>
      </w:divBdr>
    </w:div>
    <w:div w:id="1733850305">
      <w:bodyDiv w:val="1"/>
      <w:marLeft w:val="0"/>
      <w:marRight w:val="0"/>
      <w:marTop w:val="0"/>
      <w:marBottom w:val="0"/>
      <w:divBdr>
        <w:top w:val="none" w:sz="0" w:space="0" w:color="auto"/>
        <w:left w:val="none" w:sz="0" w:space="0" w:color="auto"/>
        <w:bottom w:val="none" w:sz="0" w:space="0" w:color="auto"/>
        <w:right w:val="none" w:sz="0" w:space="0" w:color="auto"/>
      </w:divBdr>
    </w:div>
    <w:div w:id="201976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B5A9-246B-401F-B221-CEFEC15C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24</Pages>
  <Words>3656</Words>
  <Characters>21646</Characters>
  <Application>Microsoft Office Word</Application>
  <DocSecurity>0</DocSecurity>
  <Lines>1273</Lines>
  <Paragraphs>538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2017-07-11T12:03:00Z</cp:lastPrinted>
  <dcterms:created xsi:type="dcterms:W3CDTF">2017-08-28T08:59:00Z</dcterms:created>
  <dcterms:modified xsi:type="dcterms:W3CDTF">2017-08-29T06:12:00Z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