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340EF83169964F7F9F708E7DD4D5A36F" style="width:450.7pt;height:379.6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noProof/>
        </w:rPr>
      </w:pPr>
      <w:r>
        <w:rPr>
          <w:noProof/>
        </w:rPr>
        <w:t>1.</w:t>
      </w:r>
      <w:r>
        <w:rPr>
          <w:noProof/>
        </w:rPr>
        <w:tab/>
        <w:t>CONTEXTE DE LA PROPOSITION</w:t>
      </w:r>
    </w:p>
    <w:p>
      <w:pPr>
        <w:pStyle w:val="ManualHeading2"/>
        <w:rPr>
          <w:rFonts w:eastAsia="Arial Unicode MS"/>
          <w:noProof/>
        </w:rPr>
      </w:pPr>
      <w:r>
        <w:rPr>
          <w:noProof/>
          <w:color w:val="000000"/>
          <w:u w:color="000000"/>
          <w:bdr w:val="nil"/>
        </w:rPr>
        <w:t>•</w:t>
      </w:r>
      <w:r>
        <w:rPr>
          <w:noProof/>
        </w:rPr>
        <w:tab/>
        <w:t>Justification et objectifs de la proposition</w:t>
      </w:r>
    </w:p>
    <w:p>
      <w:pPr>
        <w:pBdr>
          <w:top w:val="nil"/>
          <w:left w:val="nil"/>
          <w:bottom w:val="nil"/>
          <w:right w:val="nil"/>
          <w:between w:val="nil"/>
          <w:bar w:val="nil"/>
        </w:pBdr>
        <w:spacing w:before="0" w:after="0"/>
        <w:rPr>
          <w:rFonts w:eastAsia="Arial Unicode MS"/>
          <w:noProof/>
        </w:rPr>
      </w:pPr>
      <w:r>
        <w:rPr>
          <w:noProof/>
        </w:rPr>
        <w:t xml:space="preserve">Le 30 mai 2017, le Conseil a autorisé la Commission à ouvrir des négociations avec la République libanaise (le «Liban»), au nom de l’Union, sur un accord international entre l’Union et le Liban établissant les conditions et modalités de la participation du Liban au partenariat en matière de recherche et d’innovation dans la zone méditerranéenne (PRIMA). </w:t>
      </w:r>
    </w:p>
    <w:p>
      <w:pPr>
        <w:pBdr>
          <w:top w:val="nil"/>
          <w:left w:val="nil"/>
          <w:bottom w:val="nil"/>
          <w:right w:val="nil"/>
          <w:between w:val="nil"/>
          <w:bar w:val="nil"/>
        </w:pBdr>
        <w:spacing w:before="0" w:after="0"/>
        <w:rPr>
          <w:rFonts w:eastAsia="Arial Unicode MS"/>
          <w:noProof/>
        </w:rPr>
      </w:pPr>
    </w:p>
    <w:p>
      <w:pPr>
        <w:pBdr>
          <w:top w:val="nil"/>
          <w:left w:val="nil"/>
          <w:bottom w:val="nil"/>
          <w:right w:val="nil"/>
          <w:between w:val="nil"/>
          <w:bar w:val="nil"/>
        </w:pBdr>
        <w:spacing w:before="0" w:after="0"/>
        <w:rPr>
          <w:rFonts w:eastAsia="Arial Unicode MS"/>
          <w:noProof/>
        </w:rPr>
      </w:pPr>
      <w:r>
        <w:rPr>
          <w:noProof/>
        </w:rPr>
        <w:t xml:space="preserve">Conformément aux dispositions de la décision d’autorisation du Conseil, les négociations n’ont pu débuter qu’après l’adoption d’une décision du Parlement européen et du Conseil relative à la participation de l’Union au partenariat en matière de recherche et d’innovation dans la zone méditerranéenne (PRIMA) entrepris conjointement par plusieurs États membres. </w:t>
      </w:r>
    </w:p>
    <w:p>
      <w:pPr>
        <w:pBdr>
          <w:top w:val="nil"/>
          <w:left w:val="nil"/>
          <w:bottom w:val="nil"/>
          <w:right w:val="nil"/>
          <w:between w:val="nil"/>
          <w:bar w:val="nil"/>
        </w:pBdr>
        <w:spacing w:before="0" w:after="0"/>
        <w:rPr>
          <w:rFonts w:eastAsia="Arial Unicode MS"/>
          <w:noProof/>
        </w:rPr>
      </w:pPr>
    </w:p>
    <w:p>
      <w:pPr>
        <w:pBdr>
          <w:top w:val="nil"/>
          <w:left w:val="nil"/>
          <w:bottom w:val="nil"/>
          <w:right w:val="nil"/>
          <w:between w:val="nil"/>
          <w:bar w:val="nil"/>
        </w:pBdr>
        <w:spacing w:before="0" w:after="0"/>
        <w:rPr>
          <w:rFonts w:eastAsia="Arial Unicode MS"/>
          <w:noProof/>
        </w:rPr>
      </w:pPr>
      <w:r>
        <w:rPr>
          <w:noProof/>
        </w:rPr>
        <w:t>Ces négociations ont débuté le 26 juin 2017 et ont abouti le 18 juillet 2017, date à laquelle les négociateurs en chef des futures parties ont signé le procès-verbal attestant la conclusion du processus de négociation. Le projet d’accord joint à la présente proposition est conforme aux directives de négociation adoptées par le Conseil. En particulier, il dispose que les conditions et modalités de la participation du Liban à PRIMA sont celles indiquées dans la décision (UE) 2017/1324</w:t>
      </w:r>
      <w:r>
        <w:rPr>
          <w:rStyle w:val="FootnoteReference"/>
          <w:noProof/>
        </w:rPr>
        <w:footnoteReference w:id="1"/>
      </w:r>
      <w:r>
        <w:rPr>
          <w:noProof/>
        </w:rPr>
        <w:t>, en faisant directement référence à l’acte législatif de l’Union.</w:t>
      </w:r>
    </w:p>
    <w:p>
      <w:pPr>
        <w:pBdr>
          <w:top w:val="nil"/>
          <w:left w:val="nil"/>
          <w:bottom w:val="nil"/>
          <w:right w:val="nil"/>
          <w:between w:val="nil"/>
          <w:bar w:val="nil"/>
        </w:pBdr>
        <w:spacing w:before="0" w:after="0"/>
        <w:rPr>
          <w:rFonts w:eastAsia="Arial Unicode MS"/>
          <w:noProof/>
        </w:rPr>
      </w:pPr>
    </w:p>
    <w:p>
      <w:pPr>
        <w:pBdr>
          <w:top w:val="nil"/>
          <w:left w:val="nil"/>
          <w:bottom w:val="nil"/>
          <w:right w:val="nil"/>
          <w:between w:val="nil"/>
          <w:bar w:val="nil"/>
        </w:pBdr>
        <w:spacing w:before="0" w:after="0"/>
        <w:rPr>
          <w:rFonts w:eastAsia="Arial Unicode MS"/>
          <w:noProof/>
        </w:rPr>
      </w:pPr>
      <w:r>
        <w:rPr>
          <w:noProof/>
        </w:rPr>
        <w:t>Afin de garantir la protection des intérêts financiers de l’Union, notamment les pouvoirs de la Commission, de l’Office européen de lutte antifraude, de la Cour des comptes et de la structure de mise en œuvre de PRIMA (PRIMA-IS) de mener des audits et des enquêtes conformément à la législation applicable de l’Union, l’accord contient une référence précise aux dispositions pertinentes de la décision (UE) 2017/1324 et oblige les parties à apporter toute l’assistance nécessaire pour assurer leur mise en œuvre. En outre, le futur accord dispose que les parties doivent s'entendre sur les modalités de l’assistance, ces modalités étant indispensables à leur coopération dans le cadre de cet accord. À la demande du Liban et comme convenu au cours des négociations, un considérant supplémentaire a été inséré dans le préambule de l’accord pour signifier qu’une coopération et une coordination sans réserve entre les autorités compétentes des deux futures parties sont essentielles à la mise en œuvre du futur accord.</w:t>
      </w:r>
    </w:p>
    <w:p>
      <w:pPr>
        <w:pBdr>
          <w:top w:val="nil"/>
          <w:left w:val="nil"/>
          <w:bottom w:val="nil"/>
          <w:right w:val="nil"/>
          <w:between w:val="nil"/>
          <w:bar w:val="nil"/>
        </w:pBdr>
        <w:spacing w:before="0" w:after="0"/>
        <w:rPr>
          <w:rFonts w:eastAsia="Arial Unicode MS"/>
          <w:noProof/>
        </w:rPr>
      </w:pPr>
    </w:p>
    <w:p>
      <w:pPr>
        <w:pBdr>
          <w:top w:val="nil"/>
          <w:left w:val="nil"/>
          <w:bottom w:val="nil"/>
          <w:right w:val="nil"/>
          <w:between w:val="nil"/>
          <w:bar w:val="nil"/>
        </w:pBdr>
        <w:spacing w:before="0" w:after="0"/>
        <w:rPr>
          <w:rFonts w:eastAsia="Arial Unicode MS"/>
          <w:noProof/>
        </w:rPr>
      </w:pPr>
    </w:p>
    <w:p>
      <w:pPr>
        <w:pStyle w:val="ManualHeading2"/>
        <w:rPr>
          <w:rFonts w:eastAsia="Arial Unicode MS"/>
          <w:noProof/>
          <w:color w:val="000000"/>
          <w:u w:color="000000"/>
          <w:bdr w:val="nil"/>
        </w:rPr>
      </w:pPr>
      <w:r>
        <w:rPr>
          <w:noProof/>
          <w:color w:val="000000"/>
          <w:u w:color="000000"/>
          <w:bdr w:val="nil"/>
        </w:rPr>
        <w:t>•</w:t>
      </w:r>
      <w:r>
        <w:rPr>
          <w:noProof/>
        </w:rPr>
        <w:tab/>
        <w:t>Cohérence avec les dispositions existantes dans le domaine d’action</w:t>
      </w:r>
    </w:p>
    <w:p>
      <w:pPr>
        <w:pBdr>
          <w:top w:val="nil"/>
          <w:left w:val="nil"/>
          <w:bottom w:val="nil"/>
          <w:right w:val="nil"/>
          <w:between w:val="nil"/>
          <w:bar w:val="nil"/>
        </w:pBdr>
        <w:spacing w:before="0" w:after="240"/>
        <w:rPr>
          <w:rFonts w:eastAsia="Arial Unicode MS"/>
          <w:noProof/>
        </w:rPr>
      </w:pPr>
      <w:r>
        <w:rPr>
          <w:noProof/>
        </w:rPr>
        <w:t>Comme le rapport d’analyse d’impact pour PRIMA</w:t>
      </w:r>
      <w:r>
        <w:rPr>
          <w:rStyle w:val="FootnoteReference"/>
          <w:noProof/>
        </w:rPr>
        <w:footnoteReference w:id="2"/>
      </w:r>
      <w:r>
        <w:rPr>
          <w:noProof/>
        </w:rPr>
        <w:t xml:space="preserve"> l’indique aussi, l’ouverture de PRIMA à la participation de pays tiers tels que le Liban est conforme aux objectifs de la coopération internationale en matière de recherche et d’innovation décrits dans la communication de la Commission de 2012 intitulée «Renforcement et ciblage de la coopération internationale de </w:t>
      </w:r>
      <w:r>
        <w:rPr>
          <w:noProof/>
        </w:rPr>
        <w:lastRenderedPageBreak/>
        <w:t>l’Union européenne dans la recherche et l’innovation: une approche stratégique»</w:t>
      </w:r>
      <w:r>
        <w:rPr>
          <w:rStyle w:val="FootnoteReference"/>
          <w:noProof/>
        </w:rPr>
        <w:footnoteReference w:id="3"/>
      </w:r>
      <w:r>
        <w:rPr>
          <w:noProof/>
        </w:rPr>
        <w:t xml:space="preserve"> et dans le programme-cadre «Horizon 2020», qui promeut la coopération avec les pays tiers dans le domaine de la science, de la technologie et de l’innovation dans le but de relever des défis sociétaux d’envergure mondiale et de soutenir les politiques extérieures de l’Union. Cet accord est également conforme à l’actuel accord euro-méditerranéen instituant une association entre la Communauté européenne et ses États membres, d’une part, et la République libanaise, d’autre part</w:t>
      </w:r>
      <w:r>
        <w:rPr>
          <w:rStyle w:val="FootnoteReference"/>
          <w:noProof/>
        </w:rPr>
        <w:footnoteReference w:id="4"/>
      </w:r>
      <w:r>
        <w:rPr>
          <w:noProof/>
        </w:rPr>
        <w:t xml:space="preserve">, qui prévoit une coopération entre l’Union et le Liban en matière de recherche et de développement technologique et encourage les activités de recherche et de développement dans les domaines d’intérêt commun. </w:t>
      </w:r>
    </w:p>
    <w:p>
      <w:pPr>
        <w:pBdr>
          <w:top w:val="nil"/>
          <w:left w:val="nil"/>
          <w:bottom w:val="nil"/>
          <w:right w:val="nil"/>
          <w:between w:val="nil"/>
          <w:bar w:val="nil"/>
        </w:pBdr>
        <w:spacing w:before="0" w:after="240"/>
        <w:rPr>
          <w:rFonts w:eastAsia="Arial Unicode MS"/>
          <w:noProof/>
        </w:rPr>
      </w:pPr>
    </w:p>
    <w:p>
      <w:pPr>
        <w:pStyle w:val="ManualHeading2"/>
        <w:rPr>
          <w:rFonts w:eastAsia="Arial Unicode MS"/>
          <w:noProof/>
        </w:rPr>
      </w:pPr>
      <w:r>
        <w:rPr>
          <w:noProof/>
          <w:color w:val="000000"/>
          <w:u w:color="000000"/>
          <w:bdr w:val="nil"/>
        </w:rPr>
        <w:t>•</w:t>
      </w:r>
      <w:r>
        <w:rPr>
          <w:noProof/>
        </w:rPr>
        <w:tab/>
        <w:t>Cohérence avec les autres politiques de l’Union</w:t>
      </w:r>
    </w:p>
    <w:p>
      <w:pPr>
        <w:pBdr>
          <w:top w:val="nil"/>
          <w:left w:val="nil"/>
          <w:bottom w:val="nil"/>
          <w:right w:val="nil"/>
          <w:between w:val="nil"/>
          <w:bar w:val="nil"/>
        </w:pBdr>
        <w:spacing w:before="0" w:after="240"/>
        <w:rPr>
          <w:rFonts w:eastAsia="Arial Unicode MS"/>
          <w:noProof/>
        </w:rPr>
      </w:pPr>
      <w:r>
        <w:rPr>
          <w:noProof/>
        </w:rPr>
        <w:t>La mise en œuvre de PRIMA, en coopération étroite avec des pays tiers tels que le Liban, est aussi conforme aux autres politiques de l’Union, comme la politique de migration, la politique de développement et la politique de voisinage, pour lesquelles elle est pertinente.</w:t>
      </w:r>
    </w:p>
    <w:p>
      <w:pPr>
        <w:pStyle w:val="ManualHeading1"/>
        <w:rPr>
          <w:noProof/>
        </w:rPr>
      </w:pPr>
      <w:r>
        <w:rPr>
          <w:noProof/>
        </w:rPr>
        <w:t>2.</w:t>
      </w:r>
      <w:r>
        <w:rPr>
          <w:noProof/>
        </w:rPr>
        <w:tab/>
        <w:t xml:space="preserve">ÉLÉMENTS </w:t>
      </w:r>
      <w:r>
        <w:rPr>
          <w:noProof/>
          <w:sz w:val="30"/>
        </w:rPr>
        <w:t>JURIDIQUES DE LA PROPOSITION</w:t>
      </w:r>
    </w:p>
    <w:p>
      <w:pPr>
        <w:pBdr>
          <w:top w:val="nil"/>
          <w:left w:val="nil"/>
          <w:bottom w:val="nil"/>
          <w:right w:val="nil"/>
          <w:between w:val="nil"/>
          <w:bar w:val="nil"/>
        </w:pBdr>
        <w:spacing w:before="0" w:after="240"/>
        <w:rPr>
          <w:rFonts w:eastAsia="Arial Unicode MS"/>
          <w:noProof/>
        </w:rPr>
      </w:pPr>
      <w:r>
        <w:rPr>
          <w:noProof/>
        </w:rPr>
        <w:t>La proposition de décision du Conseil est fondée sur l'article 186 et sur l'article 218, paragraphe 6, point a), du traité sur le fonctionnement de l’Union européenne.</w:t>
      </w:r>
    </w:p>
    <w:p>
      <w:pPr>
        <w:rPr>
          <w:noProof/>
        </w:rPr>
      </w:pPr>
    </w:p>
    <w:p>
      <w:pPr>
        <w:rPr>
          <w:noProof/>
        </w:rPr>
      </w:pPr>
      <w:r>
        <w:rPr>
          <w:noProof/>
        </w:rPr>
        <w:t>À la lumière de ce qui précède, la Commission propose que le Conseil conclue l’accord au nom de l’Union.</w:t>
      </w:r>
    </w:p>
    <w:p>
      <w:pPr>
        <w:rPr>
          <w:noProof/>
        </w:rPr>
      </w:pPr>
    </w:p>
    <w:p>
      <w:pPr>
        <w:rPr>
          <w:noProof/>
        </w:rPr>
      </w:pP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2017/0199 (NLE)</w:t>
      </w:r>
    </w:p>
    <w:p>
      <w:pPr>
        <w:pStyle w:val="Statut"/>
        <w:rPr>
          <w:noProof/>
        </w:rPr>
      </w:pPr>
      <w:r>
        <w:rPr>
          <w:noProof/>
        </w:rPr>
        <w:t>Proposition de</w:t>
      </w:r>
    </w:p>
    <w:p>
      <w:pPr>
        <w:pStyle w:val="Typedudocument"/>
        <w:rPr>
          <w:noProof/>
        </w:rPr>
      </w:pPr>
      <w:r>
        <w:rPr>
          <w:noProof/>
        </w:rPr>
        <w:t>DÉCISION DU CONSEIL</w:t>
      </w:r>
    </w:p>
    <w:p>
      <w:pPr>
        <w:pStyle w:val="Titreobjet"/>
        <w:rPr>
          <w:noProof/>
        </w:rPr>
      </w:pPr>
      <w:r>
        <w:rPr>
          <w:noProof/>
        </w:rPr>
        <w:t>relative à la conclusion de l’accord de coopération scientifique et technologique entre l’Union européenne et la République libanaise fixant les conditions et modalités de la participation de la République libanaise au partenariat en matière de recherche et d’innovation dans la zone méditerranéenne (PRIMA)</w:t>
      </w:r>
    </w:p>
    <w:p>
      <w:pPr>
        <w:pStyle w:val="Institutionquiagit"/>
        <w:rPr>
          <w:noProof/>
        </w:rPr>
      </w:pPr>
      <w:r>
        <w:rPr>
          <w:noProof/>
        </w:rPr>
        <w:t>LE CONSEIL DE L'UNION EUROPÉENNE,</w:t>
      </w:r>
    </w:p>
    <w:p>
      <w:pPr>
        <w:rPr>
          <w:rFonts w:eastAsia="Calibri"/>
          <w:noProof/>
        </w:rPr>
      </w:pPr>
      <w:r>
        <w:rPr>
          <w:noProof/>
        </w:rPr>
        <w:t>vu le traité sur le fonctionnement de l'Union européenne, et notamment son article 186 en liaison avec l'article 218, paragraphe 6, point a),</w:t>
      </w:r>
    </w:p>
    <w:p>
      <w:pPr>
        <w:rPr>
          <w:noProof/>
        </w:rPr>
      </w:pPr>
      <w:r>
        <w:rPr>
          <w:noProof/>
        </w:rPr>
        <w:t>vu la proposition de la Commission européenne,</w:t>
      </w:r>
    </w:p>
    <w:p>
      <w:pPr>
        <w:rPr>
          <w:noProof/>
        </w:rPr>
      </w:pPr>
      <w:r>
        <w:rPr>
          <w:noProof/>
        </w:rPr>
        <w:t xml:space="preserve">vu l'approbation du Parlement européen, </w:t>
      </w:r>
    </w:p>
    <w:p>
      <w:pPr>
        <w:rPr>
          <w:noProof/>
        </w:rPr>
      </w:pPr>
      <w:r>
        <w:rPr>
          <w:noProof/>
        </w:rPr>
        <w:t>considérant ce qui suit:</w:t>
      </w:r>
    </w:p>
    <w:p>
      <w:pPr>
        <w:pStyle w:val="ManualConsidrant"/>
        <w:rPr>
          <w:noProof/>
        </w:rPr>
      </w:pPr>
      <w:r>
        <w:t>(1)</w:t>
      </w:r>
      <w:r>
        <w:tab/>
      </w:r>
      <w:r>
        <w:rPr>
          <w:noProof/>
        </w:rPr>
        <w:t>La décision (UE) 2017/1324 du Parlement européen et du Conseil</w:t>
      </w:r>
      <w:r>
        <w:rPr>
          <w:rStyle w:val="FootnoteReference"/>
          <w:noProof/>
        </w:rPr>
        <w:footnoteReference w:id="5"/>
      </w:r>
      <w:r>
        <w:rPr>
          <w:noProof/>
        </w:rPr>
        <w:t xml:space="preserve"> prévoit la participation de l'Union au partenariat en matière de recherche et d'innovation dans la zone méditerranéenne (PRIMA) entrepris conjointement par plusieurs États membres.</w:t>
      </w:r>
    </w:p>
    <w:p>
      <w:pPr>
        <w:pStyle w:val="ManualConsidrant"/>
        <w:rPr>
          <w:noProof/>
        </w:rPr>
      </w:pPr>
      <w:r>
        <w:t>(2)</w:t>
      </w:r>
      <w:r>
        <w:tab/>
      </w:r>
      <w:r>
        <w:rPr>
          <w:noProof/>
        </w:rPr>
        <w:t>La République libanaise (le «Liban») a fait part de son souhait d’adhérer à PRIMA en qualité d’État participant et sur un pied d’égalité avec les États membres de l’UE et les pays associés au programme-cadre «Horizon 2020» participant à PRIMA.</w:t>
      </w:r>
    </w:p>
    <w:p>
      <w:pPr>
        <w:pStyle w:val="ManualConsidrant"/>
        <w:rPr>
          <w:noProof/>
        </w:rPr>
      </w:pPr>
      <w:r>
        <w:t>(3)</w:t>
      </w:r>
      <w:r>
        <w:tab/>
      </w:r>
      <w:r>
        <w:rPr>
          <w:noProof/>
        </w:rPr>
        <w:t>Conformément à l’article 1</w:t>
      </w:r>
      <w:r>
        <w:rPr>
          <w:noProof/>
          <w:vertAlign w:val="superscript"/>
        </w:rPr>
        <w:t>er</w:t>
      </w:r>
      <w:r>
        <w:rPr>
          <w:noProof/>
        </w:rPr>
        <w:t>, paragraphe 2, de la décision (UE) 2017/1324, le Liban devient un État participant à PRIMA sous réserve de la conclusion d’un accord international de coopération scientifique et technologique avec l’Union fixant les conditions et modalités de la participation du Liban à PRIMA.</w:t>
      </w:r>
    </w:p>
    <w:p>
      <w:pPr>
        <w:pStyle w:val="ManualConsidrant"/>
        <w:rPr>
          <w:noProof/>
        </w:rPr>
      </w:pPr>
      <w:r>
        <w:t>(4)</w:t>
      </w:r>
      <w:r>
        <w:tab/>
      </w:r>
      <w:r>
        <w:rPr>
          <w:noProof/>
        </w:rPr>
        <w:t>Conformément à la décision &lt;XXX&gt; du Conseil</w:t>
      </w:r>
      <w:r>
        <w:rPr>
          <w:rStyle w:val="FootnoteReference"/>
          <w:noProof/>
        </w:rPr>
        <w:footnoteReference w:id="6"/>
      </w:r>
      <w:r>
        <w:rPr>
          <w:noProof/>
        </w:rPr>
        <w:t>, l’accord de coopération scientifique et technologique entre l’Union européenne et la République libanaise fixant les conditions et modalités de la participation de la République libanaise au partenariat en matière de recherche et d’innovation dans la zone méditerranéenne (PRIMA) a été signé au nom de l’Union le XX 20XX, sous réserve de sa conclusion à une date ultérieure.</w:t>
      </w:r>
    </w:p>
    <w:p>
      <w:pPr>
        <w:pStyle w:val="ManualConsidrant"/>
        <w:rPr>
          <w:noProof/>
        </w:rPr>
      </w:pPr>
      <w:r>
        <w:t>(5)</w:t>
      </w:r>
      <w:r>
        <w:tab/>
      </w:r>
      <w:r>
        <w:rPr>
          <w:noProof/>
        </w:rPr>
        <w:t>Il convient que l'accord soit approuvé au nom de l'Union,</w:t>
      </w:r>
    </w:p>
    <w:p>
      <w:pPr>
        <w:pStyle w:val="Formuledadoption"/>
        <w:rPr>
          <w:noProof/>
        </w:rPr>
      </w:pPr>
      <w:r>
        <w:rPr>
          <w:noProof/>
        </w:rPr>
        <w:lastRenderedPageBreak/>
        <w:t xml:space="preserve">A ADOPTÉ LA PRÉSENTE DÉCISION: </w:t>
      </w:r>
    </w:p>
    <w:p>
      <w:pPr>
        <w:pStyle w:val="Titrearticle"/>
        <w:rPr>
          <w:noProof/>
        </w:rPr>
      </w:pPr>
      <w:r>
        <w:rPr>
          <w:noProof/>
        </w:rPr>
        <w:t>Article premier</w:t>
      </w:r>
    </w:p>
    <w:p>
      <w:pPr>
        <w:rPr>
          <w:noProof/>
        </w:rPr>
      </w:pPr>
      <w:r>
        <w:rPr>
          <w:noProof/>
        </w:rPr>
        <w:t>L’accord de coopération scientifique et technologique entre l’Union européenne et la République libanaise fixant les conditions et modalités de la participation de la République libanaise au partenariat en matière de recherche et d’innovation dans la zone méditerranéenne (PRIMA) est approuvé au nom de l’Union.</w:t>
      </w:r>
    </w:p>
    <w:p>
      <w:pPr>
        <w:rPr>
          <w:noProof/>
          <w:szCs w:val="24"/>
        </w:rPr>
      </w:pPr>
      <w:r>
        <w:rPr>
          <w:noProof/>
        </w:rPr>
        <w:t>Le texte de l'accord est joint à la présente décision.</w:t>
      </w:r>
    </w:p>
    <w:p>
      <w:pPr>
        <w:pStyle w:val="Titrearticle"/>
        <w:rPr>
          <w:noProof/>
        </w:rPr>
      </w:pPr>
      <w:r>
        <w:rPr>
          <w:noProof/>
        </w:rPr>
        <w:t>Article 2</w:t>
      </w:r>
    </w:p>
    <w:p>
      <w:pPr>
        <w:rPr>
          <w:noProof/>
        </w:rPr>
      </w:pPr>
      <w:r>
        <w:rPr>
          <w:noProof/>
        </w:rPr>
        <w:t>Le président du Conseil désigne la personne habilitée à procéder, au nom de l’Union, à la notification prévue à l’article 5, paragraphe 2 de l’accord, à l’effet d’exprimer le consentement de l’Union à être liée par l’accord.</w:t>
      </w:r>
    </w:p>
    <w:p>
      <w:pPr>
        <w:pStyle w:val="Titrearticle"/>
        <w:rPr>
          <w:noProof/>
        </w:rPr>
      </w:pPr>
      <w:r>
        <w:rPr>
          <w:noProof/>
        </w:rPr>
        <w:t>Article 3</w:t>
      </w:r>
    </w:p>
    <w:p>
      <w:pPr>
        <w:keepLines/>
        <w:rPr>
          <w:noProof/>
        </w:rPr>
      </w:pPr>
      <w:r>
        <w:rPr>
          <w:noProof/>
        </w:rPr>
        <w:t>La présente décision entre en vigueur le [date de son adoption].</w:t>
      </w:r>
    </w:p>
    <w:p>
      <w:pPr>
        <w:pStyle w:val="Fait"/>
        <w:rPr>
          <w:noProof/>
        </w:rPr>
      </w:pPr>
      <w:r>
        <w:rPr>
          <w:noProof/>
        </w:rPr>
        <w:t>Fait à Bruxelles, le</w:t>
      </w:r>
    </w:p>
    <w:p>
      <w:pPr>
        <w:pStyle w:val="Institutionquisigne"/>
        <w:rPr>
          <w:noProof/>
        </w:rPr>
      </w:pPr>
      <w:r>
        <w:rPr>
          <w:noProof/>
        </w:rPr>
        <w:tab/>
        <w:t>Par le Conseil</w:t>
      </w:r>
    </w:p>
    <w:p>
      <w:pPr>
        <w:pStyle w:val="Personnequisigne"/>
        <w:rPr>
          <w:noProof/>
        </w:rPr>
      </w:pPr>
      <w:r>
        <w:rPr>
          <w:noProof/>
        </w:rPr>
        <w:tab/>
        <w:t>Le président</w:t>
      </w:r>
    </w:p>
    <w:sect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Décision (UE) 2017/1324 du Parlement européen et du Conseil du 4 juillet 2017 relative à la participation de l'Union au partenariat en matière de recherche et d'innovation dans la zone méditerranéenne (PRIMA) entrepris conjointement par plusieurs États membres (JO L 185 du 18.7.2017, p. 1).</w:t>
      </w:r>
    </w:p>
  </w:footnote>
  <w:footnote w:id="2">
    <w:p>
      <w:pPr>
        <w:pStyle w:val="FootnoteText"/>
        <w:rPr>
          <w:lang w:val="pt-PT"/>
        </w:rPr>
      </w:pPr>
      <w:r>
        <w:rPr>
          <w:rStyle w:val="FootnoteReference"/>
        </w:rPr>
        <w:footnoteRef/>
      </w:r>
      <w:r>
        <w:rPr>
          <w:lang w:val="pt-PT"/>
        </w:rPr>
        <w:tab/>
        <w:t>SWD(2016) 332 final du 18.10.2016.</w:t>
      </w:r>
    </w:p>
  </w:footnote>
  <w:footnote w:id="3">
    <w:p>
      <w:pPr>
        <w:pStyle w:val="FootnoteText"/>
        <w:rPr>
          <w:lang w:val="pt-PT"/>
        </w:rPr>
      </w:pPr>
      <w:r>
        <w:rPr>
          <w:rStyle w:val="FootnoteReference"/>
        </w:rPr>
        <w:footnoteRef/>
      </w:r>
      <w:r>
        <w:rPr>
          <w:lang w:val="pt-PT"/>
        </w:rPr>
        <w:tab/>
        <w:t>COM(2012) 497 final.</w:t>
      </w:r>
    </w:p>
  </w:footnote>
  <w:footnote w:id="4">
    <w:p>
      <w:pPr>
        <w:pStyle w:val="FootnoteText"/>
      </w:pPr>
      <w:r>
        <w:rPr>
          <w:rStyle w:val="FootnoteReference"/>
        </w:rPr>
        <w:footnoteRef/>
      </w:r>
      <w:r>
        <w:tab/>
        <w:t>JO L 143 du 30.5.2006, p. 2.</w:t>
      </w:r>
    </w:p>
  </w:footnote>
  <w:footnote w:id="5">
    <w:p>
      <w:pPr>
        <w:pStyle w:val="FootnoteText"/>
      </w:pPr>
      <w:r>
        <w:rPr>
          <w:rStyle w:val="FootnoteReference"/>
        </w:rPr>
        <w:footnoteRef/>
      </w:r>
      <w:r>
        <w:tab/>
        <w:t>Décision (UE) 2017/1324 du Parlement européen et du Conseil du 4 juillet 2017 relative à la participation de l'Union au partenariat en matière de recherche et d'innovation dans la zone méditerranéenne (PRIMA) entrepris conjointement par plusieurs États membres (JO L 185 du 18.7.2017, p. 1).</w:t>
      </w:r>
    </w:p>
  </w:footnote>
  <w:footnote w:id="6">
    <w:p>
      <w:pPr>
        <w:pStyle w:val="FootnoteText"/>
        <w:rPr>
          <w:lang w:val="pt-PT"/>
        </w:rPr>
      </w:pPr>
      <w:r>
        <w:rPr>
          <w:rStyle w:val="FootnoteReference"/>
        </w:rPr>
        <w:footnoteRef/>
      </w:r>
      <w: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7422AD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27320AEC"/>
    <w:lvl w:ilvl="0">
      <w:start w:val="1"/>
      <w:numFmt w:val="decimal"/>
      <w:pStyle w:val="ListNumber3"/>
      <w:lvlText w:val="%1."/>
      <w:lvlJc w:val="left"/>
      <w:pPr>
        <w:tabs>
          <w:tab w:val="num" w:pos="926"/>
        </w:tabs>
        <w:ind w:left="926" w:hanging="360"/>
      </w:pPr>
    </w:lvl>
  </w:abstractNum>
  <w:abstractNum w:abstractNumId="2">
    <w:nsid w:val="FFFFFF7F"/>
    <w:multiLevelType w:val="singleLevel"/>
    <w:tmpl w:val="5832EF66"/>
    <w:lvl w:ilvl="0">
      <w:start w:val="1"/>
      <w:numFmt w:val="decimal"/>
      <w:pStyle w:val="ListNumber2"/>
      <w:lvlText w:val="%1."/>
      <w:lvlJc w:val="left"/>
      <w:pPr>
        <w:tabs>
          <w:tab w:val="num" w:pos="643"/>
        </w:tabs>
        <w:ind w:left="643" w:hanging="360"/>
      </w:pPr>
    </w:lvl>
  </w:abstractNum>
  <w:abstractNum w:abstractNumId="3">
    <w:nsid w:val="FFFFFF81"/>
    <w:multiLevelType w:val="singleLevel"/>
    <w:tmpl w:val="C69E507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CA6E4B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26304AF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9"/>
    <w:multiLevelType w:val="singleLevel"/>
    <w:tmpl w:val="7CFC6EDA"/>
    <w:lvl w:ilvl="0">
      <w:start w:val="1"/>
      <w:numFmt w:val="bullet"/>
      <w:pStyle w:val="ListBullet"/>
      <w:lvlText w:val=""/>
      <w:lvlJc w:val="left"/>
      <w:pPr>
        <w:tabs>
          <w:tab w:val="num" w:pos="360"/>
        </w:tabs>
        <w:ind w:left="360" w:hanging="360"/>
      </w:pPr>
      <w:rPr>
        <w:rFonts w:ascii="Symbol" w:hAnsi="Symbol" w:hint="default"/>
      </w:rPr>
    </w:lvl>
  </w:abstractNum>
  <w:abstractNum w:abstractNumId="7">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5"/>
  </w:num>
  <w:num w:numId="3">
    <w:abstractNumId w:val="4"/>
  </w:num>
  <w:num w:numId="4">
    <w:abstractNumId w:val="3"/>
  </w:num>
  <w:num w:numId="5">
    <w:abstractNumId w:val="7"/>
  </w:num>
  <w:num w:numId="6">
    <w:abstractNumId w:val="16"/>
  </w:num>
  <w:num w:numId="7">
    <w:abstractNumId w:val="15"/>
  </w:num>
  <w:num w:numId="8">
    <w:abstractNumId w:val="23"/>
  </w:num>
  <w:num w:numId="9">
    <w:abstractNumId w:val="24"/>
    <w:lvlOverride w:ilvl="0">
      <w:startOverride w:val="1"/>
    </w:lvlOverride>
  </w:num>
  <w:num w:numId="10">
    <w:abstractNumId w:val="2"/>
  </w:num>
  <w:num w:numId="11">
    <w:abstractNumId w:val="1"/>
  </w:num>
  <w:num w:numId="12">
    <w:abstractNumId w:val="0"/>
  </w:num>
  <w:num w:numId="13">
    <w:abstractNumId w:val="20"/>
  </w:num>
  <w:num w:numId="14">
    <w:abstractNumId w:val="12"/>
  </w:num>
  <w:num w:numId="15">
    <w:abstractNumId w:val="22"/>
  </w:num>
  <w:num w:numId="16">
    <w:abstractNumId w:val="11"/>
  </w:num>
  <w:num w:numId="17">
    <w:abstractNumId w:val="13"/>
  </w:num>
  <w:num w:numId="18">
    <w:abstractNumId w:val="9"/>
  </w:num>
  <w:num w:numId="19">
    <w:abstractNumId w:val="21"/>
  </w:num>
  <w:num w:numId="20">
    <w:abstractNumId w:val="8"/>
  </w:num>
  <w:num w:numId="21">
    <w:abstractNumId w:val="14"/>
  </w:num>
  <w:num w:numId="22">
    <w:abstractNumId w:val="18"/>
  </w:num>
  <w:num w:numId="23">
    <w:abstractNumId w:val="19"/>
  </w:num>
  <w:num w:numId="24">
    <w:abstractNumId w:val="10"/>
  </w:num>
  <w:num w:numId="25">
    <w:abstractNumId w:val="17"/>
  </w:num>
  <w:num w:numId="26">
    <w:abstractNumId w:val="24"/>
  </w:num>
  <w:num w:numId="27">
    <w:abstractNumId w:val="20"/>
  </w:num>
  <w:num w:numId="28">
    <w:abstractNumId w:val="12"/>
  </w:num>
  <w:num w:numId="29">
    <w:abstractNumId w:val="22"/>
  </w:num>
  <w:num w:numId="30">
    <w:abstractNumId w:val="11"/>
  </w:num>
  <w:num w:numId="31">
    <w:abstractNumId w:val="13"/>
  </w:num>
  <w:num w:numId="32">
    <w:abstractNumId w:val="9"/>
  </w:num>
  <w:num w:numId="33">
    <w:abstractNumId w:val="21"/>
  </w:num>
  <w:num w:numId="34">
    <w:abstractNumId w:val="8"/>
  </w:num>
  <w:num w:numId="35">
    <w:abstractNumId w:val="14"/>
  </w:num>
  <w:num w:numId="36">
    <w:abstractNumId w:val="18"/>
  </w:num>
  <w:num w:numId="37">
    <w:abstractNumId w:val="19"/>
  </w:num>
  <w:num w:numId="38">
    <w:abstractNumId w:val="10"/>
  </w:num>
  <w:num w:numId="39">
    <w:abstractNumId w:val="17"/>
  </w:num>
  <w:num w:numId="40">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8-29 07:43:44"/>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9"/>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340EF83169964F7F9F708E7DD4D5A36F"/>
    <w:docVar w:name="LW_CROSSREFERENCE" w:val="&lt;UNUSED&gt;"/>
    <w:docVar w:name="LW_DocType" w:val="COM"/>
    <w:docVar w:name="LW_EMISSION" w:val="11.8.2017"/>
    <w:docVar w:name="LW_EMISSION_ISODATE" w:val="2017-08-11"/>
    <w:docVar w:name="LW_EMISSION_LOCATION" w:val="BRX"/>
    <w:docVar w:name="LW_EMISSION_PREFIX" w:val="Bruxelles, le "/>
    <w:docVar w:name="LW_EMISSION_SUFFIX" w:val=" "/>
    <w:docVar w:name="LW_ID_DOCMODEL" w:val="SJ-019"/>
    <w:docVar w:name="LW_ID_DOCSIGNATURE" w:val="SJ-019"/>
    <w:docVar w:name="LW_ID_DOCSTRUCTURE" w:val="COM/PL/ORG"/>
    <w:docVar w:name="LW_ID_DOCTYPE" w:val="SJ-019"/>
    <w:docVar w:name="LW_ID_STATUT" w:val="SJ-019"/>
    <w:docVar w:name="LW_INTERETEEE.CP" w:val="&lt;UNUSED&gt;"/>
    <w:docVar w:name="LW_LANGUE" w:val="FR"/>
    <w:docVar w:name="LW_MARKING" w:val="&lt;UNUSED&gt;"/>
    <w:docVar w:name="LW_NOM.INST" w:val="COMMISSION EUROPÉENNE"/>
    <w:docVar w:name="LW_NOM.INST_JOINTDOC" w:val="&lt;EMPTY&gt;"/>
    <w:docVar w:name="LW_PART_NBR" w:val="1"/>
    <w:docVar w:name="LW_PART_NBR_TOTAL" w:val="1"/>
    <w:docVar w:name="LW_REF.II.NEW.CP" w:val="NLE"/>
    <w:docVar w:name="LW_REF.II.NEW.CP_NUMBER" w:val="0199"/>
    <w:docVar w:name="LW_REF.II.NEW.CP_YEAR" w:val="2017"/>
    <w:docVar w:name="LW_REF.INST.NEW" w:val="COM"/>
    <w:docVar w:name="LW_REF.INST.NEW_ADOPTED" w:val="final"/>
    <w:docVar w:name="LW_REF.INST.NEW_TEXT" w:val="(2017) 433"/>
    <w:docVar w:name="LW_REF.INTERNE" w:val="&lt;UNUSED&gt;"/>
    <w:docVar w:name="LW_SOUS.TITRE.OBJ.CP" w:val="&lt;UNUSED&gt;"/>
    <w:docVar w:name="LW_STATUT.CP" w:val="Proposition de"/>
    <w:docVar w:name="LW_SUPERTITRE" w:val="&lt;UNUSED&gt;"/>
    <w:docVar w:name="LW_TITRE.OBJ.CP" w:val="relative à la conclusion de l\u8217?accord de coopération scientifique et technologique entre l\u8217?Union européenne et la République libanaise fixant les conditions et modalités de la participation de la République libanaise au partenariat en matière de recherche et d\u8217?innovation dans la zone méditerranéenne (PRIMA)"/>
    <w:docVar w:name="LW_TYPE.DOC.CP" w:val="DÉCISION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Number">
    <w:name w:val="List Number"/>
    <w:basedOn w:val="Normal"/>
    <w:pPr>
      <w:numPr>
        <w:numId w:val="8"/>
      </w:numPr>
    </w:pPr>
    <w:rPr>
      <w:rFonts w:eastAsia="Times New Roman"/>
    </w:rPr>
  </w:style>
  <w:style w:type="paragraph" w:customStyle="1" w:styleId="ListBullet1">
    <w:name w:val="List Bullet 1"/>
    <w:basedOn w:val="Normal"/>
    <w:pPr>
      <w:numPr>
        <w:numId w:val="5"/>
      </w:numPr>
    </w:pPr>
    <w:rPr>
      <w:rFonts w:eastAsia="Times New Roman"/>
    </w:rPr>
  </w:style>
  <w:style w:type="paragraph" w:customStyle="1" w:styleId="ListDash1">
    <w:name w:val="List Dash 1"/>
    <w:basedOn w:val="Normal"/>
    <w:pPr>
      <w:numPr>
        <w:numId w:val="6"/>
      </w:numPr>
    </w:pPr>
    <w:rPr>
      <w:rFonts w:eastAsia="Times New Roman"/>
    </w:rPr>
  </w:style>
  <w:style w:type="paragraph" w:customStyle="1" w:styleId="ListDash2">
    <w:name w:val="List Dash 2"/>
    <w:basedOn w:val="Normal"/>
    <w:pPr>
      <w:numPr>
        <w:numId w:val="7"/>
      </w:numPr>
    </w:pPr>
    <w:rPr>
      <w:rFonts w:eastAsia="Times New Roman"/>
    </w:rPr>
  </w:style>
  <w:style w:type="paragraph" w:customStyle="1" w:styleId="ListNumberLevel2">
    <w:name w:val="List Number (Level 2)"/>
    <w:basedOn w:val="Normal"/>
    <w:pPr>
      <w:numPr>
        <w:ilvl w:val="1"/>
        <w:numId w:val="8"/>
      </w:numPr>
    </w:pPr>
    <w:rPr>
      <w:rFonts w:eastAsia="Times New Roman"/>
    </w:rPr>
  </w:style>
  <w:style w:type="paragraph" w:customStyle="1" w:styleId="ListNumberLevel3">
    <w:name w:val="List Number (Level 3)"/>
    <w:basedOn w:val="Normal"/>
    <w:pPr>
      <w:numPr>
        <w:ilvl w:val="2"/>
        <w:numId w:val="8"/>
      </w:numPr>
    </w:pPr>
    <w:rPr>
      <w:rFonts w:eastAsia="Times New Roman"/>
    </w:rPr>
  </w:style>
  <w:style w:type="paragraph" w:customStyle="1" w:styleId="ListNumberLevel4">
    <w:name w:val="List Number (Level 4)"/>
    <w:basedOn w:val="Normal"/>
    <w:pPr>
      <w:numPr>
        <w:ilvl w:val="3"/>
        <w:numId w:val="8"/>
      </w:numPr>
    </w:pPr>
    <w:rPr>
      <w:rFonts w:eastAsia="Times New Roman"/>
    </w:rPr>
  </w:style>
  <w:style w:type="character" w:styleId="Hyperlink">
    <w:name w:val="Hyperlink"/>
    <w:rPr>
      <w:color w:val="0000FF"/>
      <w:u w:val="single"/>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10"/>
      </w:numPr>
      <w:contextualSpacing/>
    </w:pPr>
  </w:style>
  <w:style w:type="paragraph" w:styleId="ListNumber3">
    <w:name w:val="List Number 3"/>
    <w:basedOn w:val="Normal"/>
    <w:uiPriority w:val="99"/>
    <w:semiHidden/>
    <w:unhideWhenUsed/>
    <w:pPr>
      <w:numPr>
        <w:numId w:val="11"/>
      </w:numPr>
      <w:contextualSpacing/>
    </w:pPr>
  </w:style>
  <w:style w:type="paragraph" w:styleId="ListNumber4">
    <w:name w:val="List Number 4"/>
    <w:basedOn w:val="Normal"/>
    <w:uiPriority w:val="99"/>
    <w:semiHidden/>
    <w:unhideWhenUsed/>
    <w:pPr>
      <w:numPr>
        <w:numId w:val="12"/>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Number">
    <w:name w:val="List Number"/>
    <w:basedOn w:val="Normal"/>
    <w:pPr>
      <w:numPr>
        <w:numId w:val="8"/>
      </w:numPr>
    </w:pPr>
    <w:rPr>
      <w:rFonts w:eastAsia="Times New Roman"/>
    </w:rPr>
  </w:style>
  <w:style w:type="paragraph" w:customStyle="1" w:styleId="ListBullet1">
    <w:name w:val="List Bullet 1"/>
    <w:basedOn w:val="Normal"/>
    <w:pPr>
      <w:numPr>
        <w:numId w:val="5"/>
      </w:numPr>
    </w:pPr>
    <w:rPr>
      <w:rFonts w:eastAsia="Times New Roman"/>
    </w:rPr>
  </w:style>
  <w:style w:type="paragraph" w:customStyle="1" w:styleId="ListDash1">
    <w:name w:val="List Dash 1"/>
    <w:basedOn w:val="Normal"/>
    <w:pPr>
      <w:numPr>
        <w:numId w:val="6"/>
      </w:numPr>
    </w:pPr>
    <w:rPr>
      <w:rFonts w:eastAsia="Times New Roman"/>
    </w:rPr>
  </w:style>
  <w:style w:type="paragraph" w:customStyle="1" w:styleId="ListDash2">
    <w:name w:val="List Dash 2"/>
    <w:basedOn w:val="Normal"/>
    <w:pPr>
      <w:numPr>
        <w:numId w:val="7"/>
      </w:numPr>
    </w:pPr>
    <w:rPr>
      <w:rFonts w:eastAsia="Times New Roman"/>
    </w:rPr>
  </w:style>
  <w:style w:type="paragraph" w:customStyle="1" w:styleId="ListNumberLevel2">
    <w:name w:val="List Number (Level 2)"/>
    <w:basedOn w:val="Normal"/>
    <w:pPr>
      <w:numPr>
        <w:ilvl w:val="1"/>
        <w:numId w:val="8"/>
      </w:numPr>
    </w:pPr>
    <w:rPr>
      <w:rFonts w:eastAsia="Times New Roman"/>
    </w:rPr>
  </w:style>
  <w:style w:type="paragraph" w:customStyle="1" w:styleId="ListNumberLevel3">
    <w:name w:val="List Number (Level 3)"/>
    <w:basedOn w:val="Normal"/>
    <w:pPr>
      <w:numPr>
        <w:ilvl w:val="2"/>
        <w:numId w:val="8"/>
      </w:numPr>
    </w:pPr>
    <w:rPr>
      <w:rFonts w:eastAsia="Times New Roman"/>
    </w:rPr>
  </w:style>
  <w:style w:type="paragraph" w:customStyle="1" w:styleId="ListNumberLevel4">
    <w:name w:val="List Number (Level 4)"/>
    <w:basedOn w:val="Normal"/>
    <w:pPr>
      <w:numPr>
        <w:ilvl w:val="3"/>
        <w:numId w:val="8"/>
      </w:numPr>
    </w:pPr>
    <w:rPr>
      <w:rFonts w:eastAsia="Times New Roman"/>
    </w:rPr>
  </w:style>
  <w:style w:type="character" w:styleId="Hyperlink">
    <w:name w:val="Hyperlink"/>
    <w:rPr>
      <w:color w:val="0000FF"/>
      <w:u w:val="single"/>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10"/>
      </w:numPr>
      <w:contextualSpacing/>
    </w:pPr>
  </w:style>
  <w:style w:type="paragraph" w:styleId="ListNumber3">
    <w:name w:val="List Number 3"/>
    <w:basedOn w:val="Normal"/>
    <w:uiPriority w:val="99"/>
    <w:semiHidden/>
    <w:unhideWhenUsed/>
    <w:pPr>
      <w:numPr>
        <w:numId w:val="11"/>
      </w:numPr>
      <w:contextualSpacing/>
    </w:pPr>
  </w:style>
  <w:style w:type="paragraph" w:styleId="ListNumber4">
    <w:name w:val="List Number 4"/>
    <w:basedOn w:val="Normal"/>
    <w:uiPriority w:val="99"/>
    <w:semiHidden/>
    <w:unhideWhenUsed/>
    <w:pPr>
      <w:numPr>
        <w:numId w:val="12"/>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A8816-B6FD-4F92-A522-DAF757DA0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5</Pages>
  <Words>1065</Words>
  <Characters>5894</Characters>
  <Application>Microsoft Office Word</Application>
  <DocSecurity>0</DocSecurity>
  <Lines>111</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2017-07-11T12:03:00Z</cp:lastPrinted>
  <dcterms:created xsi:type="dcterms:W3CDTF">2017-08-21T07:44:00Z</dcterms:created>
  <dcterms:modified xsi:type="dcterms:W3CDTF">2017-08-29T05:43:00Z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SJ-019</vt:lpwstr>
  </property>
  <property fmtid="{D5CDD505-2E9C-101B-9397-08002B2CF9AE}" pid="10" name="LWCR Document">
    <vt:lpwstr>True</vt:lpwstr>
  </property>
  <property fmtid="{D5CDD505-2E9C-101B-9397-08002B2CF9AE}" pid="11" name="LWCR Version">
    <vt:lpwstr>1.6.413</vt:lpwstr>
  </property>
  <property fmtid="{D5CDD505-2E9C-101B-9397-08002B2CF9AE}" pid="12" name="DQCStatus">
    <vt:lpwstr>Green (DQC version 03)</vt:lpwstr>
  </property>
</Properties>
</file>