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71E9CF5F67A49FCAA18654C5B155DCD"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0"/>
        <w:rPr>
          <w:rFonts w:eastAsia="Arial Unicode MS"/>
          <w:noProof/>
        </w:rPr>
      </w:pPr>
      <w:r>
        <w:rPr>
          <w:noProof/>
        </w:rPr>
        <w:t xml:space="preserve">На 30 май 2017 г. Съветът разреши на Комисията да започне преговори от името на Съюза с Република Ливан („Ливан“) относно международно споразумение между Съюза и Ливан за определяне на реда и условията за участието на Ливан в Партньорството за научни изследвания и иновации в Средиземноморския регион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 xml:space="preserve">Съгласно текста на решението на Съвета за разрешаване преговорите може да започнат само след приемане на решение на Европейския парламент и на Съвета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Преговорите започнаха на 26 юни 2017 г. и приключиха успешно на 18 юли 2017 г., когато главните преговарящи на бъдещите страни по споразумението подписаха протокол за удостоверяване на приключването на преговорния процес. Проектът на споразумение, приложен към настоящото предложение, е в съответствие с приетите от Съвета указания за водене на преговори. По-специално в него се посочва, че редът и условията за участието на Ливан в PRIMA са тези, определени в Решение (ЕС) 2017/1324</w:t>
      </w:r>
      <w:r>
        <w:rPr>
          <w:rStyle w:val="FootnoteReference"/>
          <w:noProof/>
        </w:rPr>
        <w:footnoteReference w:id="1"/>
      </w:r>
      <w:r>
        <w:rPr>
          <w:noProof/>
        </w:rPr>
        <w:t>, като се прави пряко позоваване на законодателния акт на Съюза.</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С цел да се гарантира защитата на финансовите интереси на Съюза, по-специално на правомощията на Комисията, Европейската служба за борба с измамите, Сметната палата и изпълнителната структура на PRIMA (PRIMA-IS) за извършване на одити и разследвания в съответствие с приложимото законодателство на Съюза, в споразумението се прави конкретно позоваване на съответните разпоредби на Решение (ЕС) 2017/1324 и страните се задължават да предоставят цялата необходима помощ, за да се гарантира тяхното прилагане. Освен това в бъдещото споразумение се постановява, че страните трябва да постигнат подробни договорености за оказване на помощ, тъй като те са от основно значение за сътрудничеството им съгласно настоящото споразумение. По искане на Ливан и в съответствие с договореното по време на преговорите бе добавено допълнително съображение в преамбюла на споразумението, за да се посочи, че пълното сътрудничество и координация между компетентните органи на двете бъдещи страни е от основно значение за прилагането на бъдещото споразумение.</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Както се посочва и в доклада за оценка на въздействието за PRIMA</w:t>
      </w:r>
      <w:r>
        <w:rPr>
          <w:rStyle w:val="FootnoteReference"/>
          <w:noProof/>
        </w:rPr>
        <w:footnoteReference w:id="2"/>
      </w:r>
      <w:r>
        <w:rPr>
          <w:noProof/>
        </w:rPr>
        <w:t>, достъпността на PRIMA за участие на трети държави като Ливан е в съответствие с целите на международното сътрудничество за научни изследвания и иновации, както се посочва в Съобщението на Комисията от 2012 г. „Подобряване и фокусиране на международното сътрудничество на ЕС в областта на научните изследвания и иновациите — стратегически подход“</w:t>
      </w:r>
      <w:r>
        <w:rPr>
          <w:rStyle w:val="FootnoteReference"/>
          <w:noProof/>
        </w:rPr>
        <w:footnoteReference w:id="3"/>
      </w:r>
      <w:r>
        <w:rPr>
          <w:noProof/>
        </w:rPr>
        <w:t xml:space="preserve"> и в рамковата програма „Хоризонт 2020“, с която се насърчава сътрудничеството с трети държави в областта на науката, технологиите и иновациите с цел справяне с глобалните предизвикателства пред обществото и подпомагане на външната политика на Съюза. Настоящото споразумение е също така в съответствие със съществуващото Евро-средиземноморско споразумение за асоцииране между Европейската общност и нейните държави членки, от една страна, и Република Ливан, от друга страна</w:t>
      </w:r>
      <w:r>
        <w:rPr>
          <w:rStyle w:val="FootnoteReference"/>
          <w:noProof/>
        </w:rPr>
        <w:footnoteReference w:id="4"/>
      </w:r>
      <w:r>
        <w:rPr>
          <w:noProof/>
        </w:rPr>
        <w:t xml:space="preserve">, в което се предвижда сътрудничество между Съюза и Ливан в областта на научноизследователската дейност и технологичното развитие и насърчаване на научноизследователски и развойни дейности в области от общ интерес.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Прилагането на PRIMA в тясно сътрудничество с трети държави като Ливан е в съответствие и с другите политики на ЕС, като например политиката в областта на миграцията, политиката за развитие и политиката за съседство, и е от значение за тях.</w:t>
      </w:r>
    </w:p>
    <w:p>
      <w:pPr>
        <w:pStyle w:val="ManualHeading1"/>
        <w:rPr>
          <w:noProof/>
        </w:rPr>
      </w:pPr>
      <w:r>
        <w:rPr>
          <w:noProof/>
        </w:rPr>
        <w:t>2.</w:t>
      </w:r>
      <w:r>
        <w:rPr>
          <w:noProof/>
        </w:rPr>
        <w:tab/>
        <w:t xml:space="preserve">ПРАВНИ </w:t>
      </w:r>
      <w:r>
        <w:rPr>
          <w:noProof/>
          <w:sz w:val="30"/>
        </w:rPr>
        <w:t>елементи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Предложението за решение на Съвета се основава на член 186 и член 218, параграф 6, буква а) от Договора за функционирането на Европейския съюз.</w:t>
      </w:r>
    </w:p>
    <w:p>
      <w:pPr>
        <w:rPr>
          <w:noProof/>
        </w:rPr>
      </w:pPr>
    </w:p>
    <w:p>
      <w:pPr>
        <w:rPr>
          <w:noProof/>
        </w:rPr>
      </w:pPr>
      <w:r>
        <w:rPr>
          <w:noProof/>
        </w:rPr>
        <w:t>С оглед на гореизложеното Комисията предлага Съветът да сключи споразумението от името на Съюза.</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научно и технологично сътрудничество между Европейския съюз и Република Ливан, в което се определят редът и условията за участието на Република Ливан в Партньорството за научни изследвания и иновации в Средиземноморския регион (PRIMA)</w:t>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186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 xml:space="preserve">като взе предвид одобрението на Европейския парламент, </w:t>
      </w:r>
    </w:p>
    <w:p>
      <w:pPr>
        <w:rPr>
          <w:noProof/>
        </w:rPr>
      </w:pPr>
      <w:r>
        <w:rPr>
          <w:noProof/>
        </w:rPr>
        <w:t>като има предвид, че:</w:t>
      </w:r>
    </w:p>
    <w:p>
      <w:pPr>
        <w:pStyle w:val="ManualConsidrant"/>
        <w:rPr>
          <w:noProof/>
        </w:rPr>
      </w:pPr>
      <w:r>
        <w:t>(1)</w:t>
      </w:r>
      <w:r>
        <w:tab/>
      </w:r>
      <w:r>
        <w:rPr>
          <w:noProof/>
        </w:rPr>
        <w:t>В Решение (ЕС) 2017/1324 на Европейския парламент и на Съвета</w:t>
      </w:r>
      <w:r>
        <w:rPr>
          <w:rStyle w:val="FootnoteReference"/>
          <w:noProof/>
        </w:rPr>
        <w:footnoteReference w:id="5"/>
      </w:r>
      <w:r>
        <w:rPr>
          <w:noProof/>
        </w:rPr>
        <w:t xml:space="preserve"> се предвижда участието на Съюза в Партньорството за научни изследвания и иновации в Средиземноморския регион (PRIMA), осъществявано съвместно от няколко държави членки.</w:t>
      </w:r>
    </w:p>
    <w:p>
      <w:pPr>
        <w:pStyle w:val="ManualConsidrant"/>
        <w:rPr>
          <w:noProof/>
        </w:rPr>
      </w:pPr>
      <w:r>
        <w:t>(2)</w:t>
      </w:r>
      <w:r>
        <w:tab/>
      </w:r>
      <w:r>
        <w:rPr>
          <w:noProof/>
        </w:rPr>
        <w:t>Република Ливан („Ливан“) изрази желанието си да се присъедини към PRIMA като участваща държава и на равна основа с участващите в PRIMA държави членки и държави, асоциирани към „Хоризонт 2020“.</w:t>
      </w:r>
    </w:p>
    <w:p>
      <w:pPr>
        <w:pStyle w:val="ManualConsidrant"/>
        <w:rPr>
          <w:noProof/>
        </w:rPr>
      </w:pPr>
      <w:r>
        <w:t>(3)</w:t>
      </w:r>
      <w:r>
        <w:tab/>
      </w:r>
      <w:r>
        <w:rPr>
          <w:noProof/>
        </w:rPr>
        <w:t>В съответствие с член 1, параграф 2 от Решение (ЕС) 2017/1324 Ливан ще стане участваща държава в PRIMA, при условие че бъде сключено международно споразумение за научно и технологично сътрудничество със Съюза, в което се определят редът и условията за участието на Ливан в PRIMA.</w:t>
      </w:r>
    </w:p>
    <w:p>
      <w:pPr>
        <w:pStyle w:val="ManualConsidrant"/>
        <w:rPr>
          <w:noProof/>
        </w:rPr>
      </w:pPr>
      <w:r>
        <w:t>(4)</w:t>
      </w:r>
      <w:r>
        <w:tab/>
      </w:r>
      <w:r>
        <w:rPr>
          <w:noProof/>
        </w:rPr>
        <w:t>В съответствие с Решение &lt;XXX&gt; на Съвета</w:t>
      </w:r>
      <w:r>
        <w:rPr>
          <w:rStyle w:val="FootnoteReference"/>
          <w:noProof/>
        </w:rPr>
        <w:footnoteReference w:id="6"/>
      </w:r>
      <w:r>
        <w:rPr>
          <w:noProof/>
        </w:rPr>
        <w:t xml:space="preserve"> Споразумението за научно и технологично сътрудничество между Европейския съюз и Република Ливан, в което се определят редът и условията за участието на Република Ливан в Партньорството за научни изследвания и иновации в Средиземноморския регион (PRIMA), бе подписано от името на Съюза на XX, 20XX г., при условие че бъде сключено на по-късна дата.</w:t>
      </w:r>
    </w:p>
    <w:p>
      <w:pPr>
        <w:pStyle w:val="ManualConsidrant"/>
        <w:rPr>
          <w:noProof/>
        </w:rPr>
      </w:pPr>
      <w:r>
        <w:t>(5)</w:t>
      </w:r>
      <w:r>
        <w:tab/>
      </w:r>
      <w:r>
        <w:rPr>
          <w:noProof/>
        </w:rPr>
        <w:t>Споразумението следва да бъде одобрено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за научно и технологично сътрудничество между Европейския съюз и Република Ливан, в което се определят редът и условията за участието на Република Ливан в Партньорството за научни изследвания и иновации в Средиземноморския регион (PRIMA), се одобрява от името на Съюза.</w:t>
      </w:r>
    </w:p>
    <w:p>
      <w:pPr>
        <w:rPr>
          <w:noProof/>
          <w:szCs w:val="24"/>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определя лицето, упълномощено да извърши от името на Съюза нотификацията, предвидена в член 5, параграф 2 от споразумението, за да се изрази съгласието на Съюза да бъде обвързан със споразумението.</w:t>
      </w:r>
    </w:p>
    <w:p>
      <w:pPr>
        <w:pStyle w:val="Titrearticle"/>
        <w:rPr>
          <w:noProof/>
        </w:rPr>
      </w:pPr>
      <w:r>
        <w:rPr>
          <w:noProof/>
        </w:rPr>
        <w:t>Член 3</w:t>
      </w:r>
    </w:p>
    <w:p>
      <w:pPr>
        <w:keepLines/>
        <w:rPr>
          <w:noProof/>
        </w:rPr>
      </w:pPr>
      <w:r>
        <w:rPr>
          <w:noProof/>
        </w:rPr>
        <w:t>Настоящото решение влиза в сила на [датата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footnote>
  <w:footnote w:id="2">
    <w:p>
      <w:pPr>
        <w:pStyle w:val="FootnoteText"/>
        <w:rPr>
          <w:lang w:val="pt-PT"/>
        </w:rPr>
      </w:pPr>
      <w:r>
        <w:rPr>
          <w:rStyle w:val="FootnoteReference"/>
        </w:rPr>
        <w:footnoteRef/>
      </w:r>
      <w:r>
        <w:tab/>
        <w:t>SWD(2016) 332 final, 18.10.2016 г.</w:t>
      </w:r>
    </w:p>
  </w:footnote>
  <w:footnote w:id="3">
    <w:p>
      <w:pPr>
        <w:pStyle w:val="FootnoteText"/>
        <w:rPr>
          <w:lang w:val="pt-PT"/>
        </w:rPr>
      </w:pPr>
      <w:r>
        <w:rPr>
          <w:rStyle w:val="FootnoteReference"/>
        </w:rPr>
        <w:footnoteRef/>
      </w:r>
      <w:r>
        <w:tab/>
        <w:t>COM(2012) 497 final.</w:t>
      </w:r>
    </w:p>
  </w:footnote>
  <w:footnote w:id="4">
    <w:p>
      <w:pPr>
        <w:pStyle w:val="FootnoteText"/>
        <w:rPr>
          <w:lang w:val="pt-PT"/>
        </w:rPr>
      </w:pPr>
      <w:r>
        <w:rPr>
          <w:rStyle w:val="FootnoteReference"/>
        </w:rPr>
        <w:footnoteRef/>
      </w:r>
      <w:r>
        <w:tab/>
        <w:t>ОВ L 143, 30.5.2006 г., стp. 2.</w:t>
      </w:r>
    </w:p>
  </w:footnote>
  <w:footnote w:id="5">
    <w:p>
      <w:pPr>
        <w:pStyle w:val="FootnoteText"/>
      </w:pPr>
      <w:r>
        <w:rPr>
          <w:rStyle w:val="FootnoteReference"/>
        </w:rPr>
        <w:footnoteRef/>
      </w:r>
      <w:r>
        <w:tab/>
        <w:t>Решение (ЕС) 2017/1324 на Европейския парламент и на Съвета от 4 юли 2017 г. относно участието на Съюза в Партньорството за научни изследвания и иновации в Средиземноморския регион (PRIMA), осъществявано съвместно от няколко държави членки (ОВ L 185, 18.7.2017 г., стр. 1).</w:t>
      </w:r>
    </w:p>
  </w:footnote>
  <w:footnote w:id="6">
    <w:p>
      <w:pPr>
        <w:pStyle w:val="FootnoteText"/>
        <w:rPr>
          <w:lang w:val="pt-PT"/>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422A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320A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832EF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9E5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6E4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304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7CFC6ED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6"/>
  </w:num>
  <w:num w:numId="7">
    <w:abstractNumId w:val="15"/>
  </w:num>
  <w:num w:numId="8">
    <w:abstractNumId w:val="23"/>
  </w:num>
  <w:num w:numId="9">
    <w:abstractNumId w:val="24"/>
    <w:lvlOverride w:ilvl="0">
      <w:startOverride w:val="1"/>
    </w:lvlOverride>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 w:numId="27">
    <w:abstractNumId w:val="20"/>
  </w:num>
  <w:num w:numId="28">
    <w:abstractNumId w:val="12"/>
  </w:num>
  <w:num w:numId="29">
    <w:abstractNumId w:val="22"/>
  </w:num>
  <w:num w:numId="30">
    <w:abstractNumId w:val="11"/>
  </w:num>
  <w:num w:numId="31">
    <w:abstractNumId w:val="13"/>
  </w:num>
  <w:num w:numId="32">
    <w:abstractNumId w:val="9"/>
  </w:num>
  <w:num w:numId="33">
    <w:abstractNumId w:val="21"/>
  </w:num>
  <w:num w:numId="34">
    <w:abstractNumId w:val="8"/>
  </w:num>
  <w:num w:numId="35">
    <w:abstractNumId w:val="14"/>
  </w:num>
  <w:num w:numId="36">
    <w:abstractNumId w:val="18"/>
  </w:num>
  <w:num w:numId="37">
    <w:abstractNumId w:val="19"/>
  </w:num>
  <w:num w:numId="38">
    <w:abstractNumId w:val="10"/>
  </w:num>
  <w:num w:numId="39">
    <w:abstractNumId w:val="17"/>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07:44: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71E9CF5F67A49FCAA18654C5B155DCD"/>
    <w:docVar w:name="LW_CROSSREFERENCE" w:val="&lt;UNUSED&gt;"/>
    <w:docVar w:name="LW_DocType" w:val="COM"/>
    <w:docVar w:name="LW_EMISSION" w:val="11.8.2017"/>
    <w:docVar w:name="LW_EMISSION_ISODATE" w:val="2017-08-1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9"/>
    <w:docVar w:name="LW_REF.II.NEW.CP_YEAR" w:val="2017"/>
    <w:docVar w:name="LW_REF.INST.NEW" w:val="COM"/>
    <w:docVar w:name="LW_REF.INST.NEW_ADOPTED" w:val="final"/>
    <w:docVar w:name="LW_REF.INST.NEW_TEXT" w:val="(2017) 433"/>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85?\u1072?\u1091?\u1095?\u1085?\u1086? \u1080? \u1090?\u1077?\u1093?\u1085?\u1086?\u1083?\u1086?\u1075?\u1080?\u1095?\u1085?\u1086? \u1089?\u1098?\u1090?\u1088?\u1091?\u1076?\u1085?\u1080?\u1095?\u1077?\u1089?\u1090?\u1074?\u1086? \u1084?\u1077?\u1078?\u1076?\u1091? \u1045?\u1074?\u1088?\u1086?\u1087?\u1077?\u1081?\u1089?\u1082?\u1080?\u1103? \u1089?\u1098?\u1102?\u1079? \u1080? \u1056?\u1077?\u1087?\u1091?\u1073?\u1083?\u1080?\u1082?\u1072? \u1051?\u1080?\u1074?\u1072?\u1085?, \u1074? \u1082?\u1086?\u1077?\u1090?\u1086? \u1089?\u1077? \u1086?\u1087?\u1088?\u1077?\u1076?\u1077?\u1083?\u1103?\u1090? \u1088?\u1077?\u1076?\u1098?\u1090? \u1080? \u1091?\u1089?\u1083?\u1086?\u1074?\u1080?\u1103?\u1090?\u1072? \u1079?\u1072? \u1091?\u1095?\u1072?\u1089?\u1090?\u1080?\u1077?\u1090?\u1086? \u1085?\u1072? \u1056?\u1077?\u1087?\u1091?\u1073?\u1083?\u1080?\u1082?\u1072? \u1051?\u1080?\u1074?\u1072?\u1085? \u1074? \u1055?\u1072?\u1088?\u1090?\u1085?\u1100?\u1086?\u1088?\u1089?\u1090?\u1074?\u1086?\u1090?\u1086? \u1079?\u1072? \u1085?\u1072?\u1091?\u1095?\u1085?\u1080? \u1080?\u1079?\u1089?\u1083?\u1077?\u1076?\u1074?\u1072?\u1085?\u1080?\u1103? \u1080? \u1080?\u1085?\u1086?\u1074?\u1072?\u1094?\u1080?\u1080? \u1074? \u1057?\u1088?\u1077?\u1076?\u1080?\u1079?\u1077?\u1084?\u1085?\u1086?\u1084?\u1086?\u1088?\u1089?\u1082?\u1080?\u1103? \u1088?\u1077?\u1075?\u1080?\u1086?\u1085? (PRIMA)"/>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Number">
    <w:name w:val="List Number"/>
    <w:basedOn w:val="Normal"/>
    <w:pPr>
      <w:numPr>
        <w:numId w:val="8"/>
      </w:numPr>
    </w:pPr>
    <w:rPr>
      <w:rFonts w:eastAsia="Times New Roman"/>
    </w:rPr>
  </w:style>
  <w:style w:type="paragraph" w:customStyle="1" w:styleId="ListBullet1">
    <w:name w:val="List Bullet 1"/>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5373-1FA2-4203-AE5C-F886FE12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976</Words>
  <Characters>5605</Characters>
  <Application>Microsoft Office Word</Application>
  <DocSecurity>0</DocSecurity>
  <Lines>119</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2017-07-11T12:03:00Z</cp:lastPrinted>
  <dcterms:created xsi:type="dcterms:W3CDTF">2017-08-25T13:29:00Z</dcterms:created>
  <dcterms:modified xsi:type="dcterms:W3CDTF">2017-08-29T05:44:00Z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