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B4F20A684B4F749B33F296F59B84CD"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spacing w:before="0" w:after="0"/>
        <w:rPr>
          <w:rFonts w:ascii="Arial" w:hAnsi="Arial" w:cs="Arial"/>
          <w:noProof/>
          <w:sz w:val="21"/>
          <w:szCs w:val="21"/>
        </w:rPr>
      </w:pPr>
      <w:r>
        <w:rPr>
          <w:noProof/>
        </w:rPr>
        <w:t xml:space="preserve">На 30 май 2017 г. Съветът разреши на Комисията да започне преговори от името на Съюза с Алжирската народнодемократична република („Алжир“) относно международно споразумение между Съюза и Алжир за определяне на реда и условията за участието на Алжир в Партньорството за научни изследвания и иновации в Средиземноморския регион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Съгласно текста на решението на Съвета за разрешаване преговорите може да започнат само след приемане на решение на Европейския парламент и на Съвета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11 юли 2017 г., когато текстът на проекта на споразумението бе парафиран от представителите на всяка от бъдещите страни по него.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Алжир в PRIMA са тези, определени в Решение (ЕС) 2017/1324</w:t>
      </w:r>
      <w:r>
        <w:rPr>
          <w:rStyle w:val="FootnoteReference"/>
          <w:noProof/>
        </w:rPr>
        <w:footnoteReference w:id="1"/>
      </w:r>
      <w:r>
        <w:rPr>
          <w:noProof/>
        </w:rPr>
        <w:t>,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2"/>
      </w:r>
      <w:r>
        <w:rPr>
          <w:noProof/>
        </w:rPr>
        <w:t>, достъпността на PRIMA за участие на трети държави като Алжир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стратегически подход“</w:t>
      </w:r>
      <w:r>
        <w:rPr>
          <w:rStyle w:val="FootnoteReference"/>
          <w:noProof/>
        </w:rPr>
        <w:footnoteReference w:id="3"/>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асоцииране между Европейската общност и нейните държави членки, от една страна, и Народна демократична република Алжир, от друга страна</w:t>
      </w:r>
      <w:r>
        <w:rPr>
          <w:rStyle w:val="FootnoteReference"/>
          <w:noProof/>
        </w:rPr>
        <w:footnoteReference w:id="4"/>
      </w:r>
      <w:r>
        <w:rPr>
          <w:noProof/>
        </w:rPr>
        <w:t>, и Споразумението между Европейския съюз и Алжирската демократична народна република за научно и технологично сътрудничество</w:t>
      </w:r>
      <w:r>
        <w:rPr>
          <w:rStyle w:val="FootnoteReference"/>
          <w:noProof/>
        </w:rPr>
        <w:footnoteReference w:id="5"/>
      </w:r>
      <w:r>
        <w:rPr>
          <w:noProof/>
        </w:rPr>
        <w:t xml:space="preserve">, в които се предвижда сътрудничество между Съюза и Алжир в областта на научноизследователската дейност и технологичното развитие и насърчаване на научноизследователски и развойни дейности в области от общ интерес.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Алжир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на Съвета се основава на член 186 и член 218, параграф 6, буква а) от Договора за функционирането на Европейския съюз.</w:t>
      </w:r>
    </w:p>
    <w:p>
      <w:pPr>
        <w:rPr>
          <w:noProof/>
        </w:rPr>
      </w:pPr>
    </w:p>
    <w:p>
      <w:pPr>
        <w:rPr>
          <w:noProof/>
        </w:rPr>
      </w:pPr>
      <w:r>
        <w:rPr>
          <w:noProof/>
        </w:rPr>
        <w:t>С оглед на гореизложеното Комисията предлага Съветът да сключи споразумението от името на Европейския съюз.</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186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6"/>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Style w:val="ManualConsidrant"/>
        <w:rPr>
          <w:noProof/>
        </w:rPr>
      </w:pPr>
      <w:r>
        <w:t>(2)</w:t>
      </w:r>
      <w:r>
        <w:tab/>
      </w:r>
      <w:r>
        <w:rPr>
          <w:noProof/>
        </w:rPr>
        <w:t>Алжирската народнодемократична република („Алжир“) изрази желанието си да се присъедини към PRIMA като участваща държава и на равна основа с участващите в PRIMA държави членки и държави, асоциирани към „Хоризонт 2020“.</w:t>
      </w:r>
    </w:p>
    <w:p>
      <w:pPr>
        <w:pStyle w:val="ManualConsidrant"/>
        <w:rPr>
          <w:noProof/>
        </w:rPr>
      </w:pPr>
      <w:r>
        <w:t>(3)</w:t>
      </w:r>
      <w:r>
        <w:tab/>
      </w:r>
      <w:r>
        <w:rPr>
          <w:noProof/>
        </w:rPr>
        <w:t>В съответствие с член 1, параграф 2 от Решение (ЕС) 2017/1324 Алжир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Алжир в PRIMA.</w:t>
      </w:r>
    </w:p>
    <w:p>
      <w:pPr>
        <w:pStyle w:val="ManualConsidrant"/>
        <w:rPr>
          <w:noProof/>
        </w:rPr>
      </w:pPr>
      <w:r>
        <w:t>(4)</w:t>
      </w:r>
      <w:r>
        <w:tab/>
      </w:r>
      <w:r>
        <w:rPr>
          <w:noProof/>
        </w:rPr>
        <w:t>В съответствие с Решение &lt;XXX&gt; на Съвета</w:t>
      </w:r>
      <w:r>
        <w:rPr>
          <w:rStyle w:val="FootnoteReference"/>
          <w:noProof/>
        </w:rPr>
        <w:footnoteReference w:id="7"/>
      </w:r>
      <w:r>
        <w:rPr>
          <w:noProof/>
        </w:rPr>
        <w:t xml:space="preserve"> 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 бе подписано от името на Съюза на XX, 20XX г., при условие че бъде сключено на по-късна дата.</w:t>
      </w:r>
    </w:p>
    <w:p>
      <w:pPr>
        <w:pStyle w:val="ManualConsidrant"/>
        <w:rPr>
          <w:noProof/>
        </w:rPr>
      </w:pPr>
      <w:r>
        <w:t>(5)</w:t>
      </w:r>
      <w:r>
        <w:tab/>
      </w:r>
      <w:r>
        <w:rPr>
          <w:noProof/>
        </w:rPr>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 се одобрява от името на Съюза.</w:t>
      </w:r>
    </w:p>
    <w:p>
      <w:pPr>
        <w:rPr>
          <w:noProof/>
          <w:szCs w:val="24"/>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определя лицето, упълномощено да извърши от името на Съюза нотификацията, предвидена в член 5, параграф 2 от споразумението, за да се изрази съгласието на Съюза да бъде обвързан със споразумението.</w:t>
      </w:r>
    </w:p>
    <w:p>
      <w:pPr>
        <w:pStyle w:val="Titrearticle"/>
        <w:rPr>
          <w:noProof/>
        </w:rPr>
      </w:pPr>
      <w:r>
        <w:rPr>
          <w:noProof/>
        </w:rPr>
        <w:t>Член 3</w:t>
      </w:r>
    </w:p>
    <w:p>
      <w:pPr>
        <w:keepLines/>
        <w:rPr>
          <w:noProof/>
        </w:rPr>
      </w:pPr>
      <w:r>
        <w:rPr>
          <w:noProof/>
        </w:rPr>
        <w:t>Настоящото решение влиза в сила на [датата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2">
    <w:p>
      <w:pPr>
        <w:pStyle w:val="FootnoteText"/>
        <w:rPr>
          <w:lang w:val="pt-PT"/>
        </w:rPr>
      </w:pPr>
      <w:r>
        <w:rPr>
          <w:rStyle w:val="FootnoteReference"/>
        </w:rPr>
        <w:footnoteRef/>
      </w:r>
      <w:r>
        <w:rPr>
          <w:lang w:val="pt-PT"/>
        </w:rPr>
        <w:tab/>
        <w:t>SWD(2016) 332 final, 18.10.2016 </w:t>
      </w:r>
      <w:r>
        <w:t>г</w:t>
      </w:r>
      <w:r>
        <w:rPr>
          <w:lang w:val="pt-PT"/>
        </w:rPr>
        <w:t>.</w:t>
      </w:r>
    </w:p>
  </w:footnote>
  <w:footnote w:id="3">
    <w:p>
      <w:pPr>
        <w:pStyle w:val="FootnoteText"/>
        <w:rPr>
          <w:lang w:val="pt-PT"/>
        </w:rPr>
      </w:pPr>
      <w:r>
        <w:rPr>
          <w:rStyle w:val="FootnoteReference"/>
        </w:rPr>
        <w:footnoteRef/>
      </w:r>
      <w:r>
        <w:rPr>
          <w:lang w:val="pt-PT"/>
        </w:rPr>
        <w:tab/>
        <w:t>COM(2012) 497 final.</w:t>
      </w:r>
    </w:p>
  </w:footnote>
  <w:footnote w:id="4">
    <w:p>
      <w:pPr>
        <w:pStyle w:val="FootnoteText"/>
        <w:rPr>
          <w:lang w:val="pt-PT"/>
        </w:rPr>
      </w:pPr>
      <w:r>
        <w:rPr>
          <w:rStyle w:val="FootnoteReference"/>
        </w:rPr>
        <w:footnoteRef/>
      </w:r>
      <w:r>
        <w:rPr>
          <w:lang w:val="pt-PT"/>
        </w:rPr>
        <w:tab/>
      </w:r>
      <w:r>
        <w:t>ОВ</w:t>
      </w:r>
      <w:r>
        <w:rPr>
          <w:lang w:val="pt-PT"/>
        </w:rPr>
        <w:t xml:space="preserve"> L 265, 10.10.2005 </w:t>
      </w:r>
      <w:r>
        <w:t>г</w:t>
      </w:r>
      <w:r>
        <w:rPr>
          <w:lang w:val="pt-PT"/>
        </w:rPr>
        <w:t xml:space="preserve">., </w:t>
      </w:r>
      <w:r>
        <w:t>ст</w:t>
      </w:r>
      <w:r>
        <w:rPr>
          <w:lang w:val="pt-PT"/>
        </w:rPr>
        <w:t>p. 2.</w:t>
      </w:r>
    </w:p>
  </w:footnote>
  <w:footnote w:id="5">
    <w:p>
      <w:pPr>
        <w:pStyle w:val="FootnoteText"/>
        <w:rPr>
          <w:lang w:val="pt-PT"/>
        </w:rPr>
      </w:pPr>
      <w:r>
        <w:rPr>
          <w:rStyle w:val="FootnoteReference"/>
        </w:rPr>
        <w:footnoteRef/>
      </w:r>
      <w:r>
        <w:rPr>
          <w:lang w:val="pt-PT"/>
        </w:rPr>
        <w:tab/>
      </w:r>
      <w:r>
        <w:t>ОВ</w:t>
      </w:r>
      <w:r>
        <w:rPr>
          <w:lang w:val="pt-PT"/>
        </w:rPr>
        <w:t xml:space="preserve"> L 99, 5.4.2012 </w:t>
      </w:r>
      <w:r>
        <w:t>г</w:t>
      </w:r>
      <w:r>
        <w:rPr>
          <w:lang w:val="pt-PT"/>
        </w:rPr>
        <w:t xml:space="preserve">., </w:t>
      </w:r>
      <w:r>
        <w:t>ст</w:t>
      </w:r>
      <w:r>
        <w:rPr>
          <w:lang w:val="pt-PT"/>
        </w:rPr>
        <w:t>p. 1—8.</w:t>
      </w:r>
    </w:p>
  </w:footnote>
  <w:footnote w:id="6">
    <w:p>
      <w:pPr>
        <w:pStyle w:val="FootnoteText"/>
        <w:rPr>
          <w:lang w:val="pt-PT"/>
        </w:rPr>
      </w:pPr>
      <w:r>
        <w:rPr>
          <w:rStyle w:val="FootnoteReference"/>
        </w:rPr>
        <w:footnoteRef/>
      </w:r>
      <w:r>
        <w:rPr>
          <w:lang w:val="pt-PT"/>
        </w:rPr>
        <w:tab/>
      </w:r>
      <w:r>
        <w:t>Решение</w:t>
      </w:r>
      <w:r>
        <w:rPr>
          <w:lang w:val="pt-PT"/>
        </w:rPr>
        <w:t xml:space="preserve"> (</w:t>
      </w:r>
      <w:r>
        <w:t>ЕС</w:t>
      </w:r>
      <w:r>
        <w:rPr>
          <w:lang w:val="pt-PT"/>
        </w:rPr>
        <w:t xml:space="preserve">) 2017/1324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4 </w:t>
      </w:r>
      <w:r>
        <w:t>юли</w:t>
      </w:r>
      <w:r>
        <w:rPr>
          <w:lang w:val="pt-PT"/>
        </w:rPr>
        <w:t xml:space="preserve"> 2017 </w:t>
      </w:r>
      <w:r>
        <w:t>г</w:t>
      </w:r>
      <w:r>
        <w:rPr>
          <w:lang w:val="pt-PT"/>
        </w:rPr>
        <w:t xml:space="preserve">. </w:t>
      </w:r>
      <w:r>
        <w:t>относно</w:t>
      </w:r>
      <w:r>
        <w:rPr>
          <w:lang w:val="pt-PT"/>
        </w:rPr>
        <w:t xml:space="preserve"> </w:t>
      </w:r>
      <w:r>
        <w:t>участието</w:t>
      </w:r>
      <w:r>
        <w:rPr>
          <w:lang w:val="pt-PT"/>
        </w:rPr>
        <w:t xml:space="preserve"> </w:t>
      </w:r>
      <w:r>
        <w:t>на</w:t>
      </w:r>
      <w:r>
        <w:rPr>
          <w:lang w:val="pt-PT"/>
        </w:rPr>
        <w:t xml:space="preserve"> </w:t>
      </w:r>
      <w:r>
        <w:t>Съюза</w:t>
      </w:r>
      <w:r>
        <w:rPr>
          <w:lang w:val="pt-PT"/>
        </w:rPr>
        <w:t xml:space="preserve"> </w:t>
      </w:r>
      <w:r>
        <w:t>в</w:t>
      </w:r>
      <w:r>
        <w:rPr>
          <w:lang w:val="pt-PT"/>
        </w:rPr>
        <w:t xml:space="preserve"> </w:t>
      </w:r>
      <w:r>
        <w:t>Партньорството</w:t>
      </w:r>
      <w:r>
        <w:rPr>
          <w:lang w:val="pt-PT"/>
        </w:rPr>
        <w:t xml:space="preserve"> </w:t>
      </w:r>
      <w:r>
        <w:t>за</w:t>
      </w:r>
      <w:r>
        <w:rPr>
          <w:lang w:val="pt-PT"/>
        </w:rPr>
        <w:t xml:space="preserve"> </w:t>
      </w:r>
      <w:r>
        <w:t>научни</w:t>
      </w:r>
      <w:r>
        <w:rPr>
          <w:lang w:val="pt-PT"/>
        </w:rPr>
        <w:t xml:space="preserve"> </w:t>
      </w:r>
      <w:r>
        <w:t>изследвания</w:t>
      </w:r>
      <w:r>
        <w:rPr>
          <w:lang w:val="pt-PT"/>
        </w:rPr>
        <w:t xml:space="preserve"> </w:t>
      </w:r>
      <w:r>
        <w:t>и</w:t>
      </w:r>
      <w:r>
        <w:rPr>
          <w:lang w:val="pt-PT"/>
        </w:rPr>
        <w:t xml:space="preserve"> </w:t>
      </w:r>
      <w:r>
        <w:t>иновации</w:t>
      </w:r>
      <w:r>
        <w:rPr>
          <w:lang w:val="pt-PT"/>
        </w:rPr>
        <w:t xml:space="preserve"> </w:t>
      </w:r>
      <w:r>
        <w:t>в</w:t>
      </w:r>
      <w:r>
        <w:rPr>
          <w:lang w:val="pt-PT"/>
        </w:rPr>
        <w:t xml:space="preserve"> </w:t>
      </w:r>
      <w:r>
        <w:t>Средиземноморския</w:t>
      </w:r>
      <w:r>
        <w:rPr>
          <w:lang w:val="pt-PT"/>
        </w:rPr>
        <w:t xml:space="preserve"> </w:t>
      </w:r>
      <w:r>
        <w:t>регион</w:t>
      </w:r>
      <w:r>
        <w:rPr>
          <w:lang w:val="pt-PT"/>
        </w:rPr>
        <w:t xml:space="preserve"> (PRIMA), </w:t>
      </w:r>
      <w:r>
        <w:t>осъществявано</w:t>
      </w:r>
      <w:r>
        <w:rPr>
          <w:lang w:val="pt-PT"/>
        </w:rPr>
        <w:t xml:space="preserve"> </w:t>
      </w:r>
      <w:r>
        <w:t>съвместно</w:t>
      </w:r>
      <w:r>
        <w:rPr>
          <w:lang w:val="pt-PT"/>
        </w:rPr>
        <w:t xml:space="preserve"> </w:t>
      </w:r>
      <w:r>
        <w:t>от</w:t>
      </w:r>
      <w:r>
        <w:rPr>
          <w:lang w:val="pt-PT"/>
        </w:rPr>
        <w:t xml:space="preserve"> </w:t>
      </w:r>
      <w:r>
        <w:t>няколко</w:t>
      </w:r>
      <w:r>
        <w:rPr>
          <w:lang w:val="pt-PT"/>
        </w:rPr>
        <w:t xml:space="preserve"> </w:t>
      </w:r>
      <w:r>
        <w:t>държави</w:t>
      </w:r>
      <w:r>
        <w:rPr>
          <w:lang w:val="pt-PT"/>
        </w:rPr>
        <w:t xml:space="preserve"> </w:t>
      </w:r>
      <w:r>
        <w:t>членки</w:t>
      </w:r>
      <w:r>
        <w:rPr>
          <w:lang w:val="pt-PT"/>
        </w:rPr>
        <w:t xml:space="preserve"> (</w:t>
      </w:r>
      <w:r>
        <w:t>ОВ</w:t>
      </w:r>
      <w:r>
        <w:rPr>
          <w:lang w:val="pt-PT"/>
        </w:rPr>
        <w:t xml:space="preserve"> L 185, 18.7.2017 </w:t>
      </w:r>
      <w:r>
        <w:t>г</w:t>
      </w:r>
      <w:r>
        <w:rPr>
          <w:lang w:val="pt-PT"/>
        </w:rPr>
        <w:t xml:space="preserve">., </w:t>
      </w:r>
      <w:r>
        <w:t>стр</w:t>
      </w:r>
      <w:r>
        <w:rPr>
          <w:lang w:val="pt-PT"/>
        </w:rPr>
        <w:t>. 1).</w:t>
      </w:r>
    </w:p>
  </w:footnote>
  <w:footnote w:id="7">
    <w:p>
      <w:pPr>
        <w:pStyle w:val="FootnoteText"/>
        <w:rPr>
          <w:lang w:val="pt-PT"/>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DC2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6C84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9416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1: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6B4F20A684B4F749B33F296F59B84CD"/>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7"/>
    <w:docVar w:name="LW_REF.II.NEW.CP_YEAR" w:val="2017"/>
    <w:docVar w:name="LW_REF.INST.NEW" w:val="COM"/>
    <w:docVar w:name="LW_REF.INST.NEW_ADOPTED" w:val="final"/>
    <w:docVar w:name="LW_REF.INST.NEW_TEXT" w:val="(2017) 431"/>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40?\u1083?\u1078?\u1080?\u1088?\u1089?\u1082?\u1072?\u1090?\u1072? \u1085?\u1072?\u1088?\u1086?\u1076?\u1085?\u1086?\u1076?\u1077?\u1084?\u1086?\u1082?\u1088?\u1072?\u1090?\u1080?\u1095?\u1085?\u1072? \u1088?\u1077?\u1087?\u1091?\u1073?\u1083?\u1080?\u1082?\u1072?, \u1074? \u1082?\u1086?\u1077?\u1090?\u1086? \u1089?\u1077? \u1086?\u1087?\u1088?\u1077?\u1076?\u1077?\u1083?\u1103?\u1090? \u1088?\u1077?\u1076?\u1098?\u1090? \u1080? \u1091?\u1089?\u1083?\u1086?\u1074?\u1080?\u1103?\u1090?\u1072? \u1079?\u1072? \u1091?\u1095?\u1072?\u1089?\u1090?\u1080?\u1077?\u1090?\u1086? \u1085?\u1072? \u1040?\u1083?\u1078?\u1080?\u1088?\u1089?\u1082?\u1072?\u1090?\u1072? \u1085?\u1072?\u1088?\u1086?\u1076?\u1085?\u1086?\u1076?\u1077?\u1084?\u1086?\u1082?\u1088?\u1072?\u1090?\u1080?\u1095?\u1085?\u1072? \u1088?\u1077?\u1087?\u1091?\u1073?\u1083?\u1080?\u1082?\u1072?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02A3-A3DD-4D3F-B95D-A3FE1D91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955</Words>
  <Characters>5640</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2017-08-28T10:17:00Z</dcterms:created>
  <dcterms:modified xsi:type="dcterms:W3CDTF">2017-08-29T08:11:00Z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