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D17082A49A4F465A938A303146B98C6D" style="width:450.75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Standard"/>
        <w:jc w:val="both"/>
        <w:rPr>
          <w:b/>
          <w:noProof/>
        </w:rPr>
      </w:pPr>
      <w:bookmarkStart w:id="0" w:name="_GoBack"/>
      <w:bookmarkEnd w:id="0"/>
      <w:r>
        <w:rPr>
          <w:b/>
          <w:noProof/>
        </w:rPr>
        <w:lastRenderedPageBreak/>
        <w:t>Споразумение за научно и технологично сътрудничество между Европейския съюз и Арабска република Египет, в което се определят редът и условията за участието на Арабска република Египет в Партньорството за научни изследвания и иновации в Средиземноморския регион (PRIMA)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  <w:r>
        <w:rPr>
          <w:noProof/>
        </w:rPr>
        <w:t>Европейският съюз (наричан по-нататък „Съюзът“),</w:t>
      </w:r>
    </w:p>
    <w:p>
      <w:pPr>
        <w:pStyle w:val="Standard"/>
        <w:rPr>
          <w:noProof/>
        </w:rPr>
      </w:pPr>
      <w:r>
        <w:rPr>
          <w:noProof/>
        </w:rPr>
        <w:t>от една страна,</w:t>
      </w:r>
    </w:p>
    <w:p>
      <w:pPr>
        <w:pStyle w:val="Standard"/>
        <w:rPr>
          <w:noProof/>
        </w:rPr>
      </w:pPr>
      <w:r>
        <w:rPr>
          <w:noProof/>
        </w:rPr>
        <w:t>и</w:t>
      </w:r>
    </w:p>
    <w:p>
      <w:pPr>
        <w:pStyle w:val="Standard"/>
        <w:rPr>
          <w:noProof/>
        </w:rPr>
      </w:pPr>
      <w:r>
        <w:rPr>
          <w:noProof/>
        </w:rPr>
        <w:t>Арабска република Египет (наричана по-нататък „Египет“),</w:t>
      </w:r>
    </w:p>
    <w:p>
      <w:pPr>
        <w:pStyle w:val="Standard"/>
        <w:rPr>
          <w:noProof/>
        </w:rPr>
      </w:pPr>
      <w:r>
        <w:rPr>
          <w:noProof/>
        </w:rPr>
        <w:t>от друга страна,</w:t>
      </w:r>
    </w:p>
    <w:p>
      <w:pPr>
        <w:pStyle w:val="Standard"/>
        <w:rPr>
          <w:noProof/>
        </w:rPr>
      </w:pPr>
      <w:r>
        <w:rPr>
          <w:noProof/>
        </w:rPr>
        <w:t>(наричани по-нататък „страните“),</w:t>
      </w:r>
    </w:p>
    <w:p>
      <w:pPr>
        <w:pStyle w:val="Standard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в Евро-средиземноморското споразумение за асоцииране между Европейските общности и техните държави членки, от една страна, и Арабска република Египет, от друга страна, което влезе в сила на 1 юни 2004 г., се предвижда осъществяване на научно и технологично сътрудничество;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със Споразумението за научно и технологично сътрудничество между Европейската общност и Арабска република Египет, което влезе в сила на 27 февруари 2008 г., се установява официална рамка за сътрудничество между страните в областта на научните и технологичните изследвания;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 Решение (ЕС) 2017/1324 на Европейския парламент и на Съвета относно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членки, се уреждат редът и условията за участието на държавите — членки на ЕС, и държавите, асоциирани към „Хоризонт 2020“, които са участващи в инициативата държави, и по-специално финансовите им задължения и участието в управленските структури на инициативата;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съгласно текста на Решение (ЕС) 2017/1324 Египет ще стане участваща държава в PRIMA, при условие че бъде сключено международно споразумение за научно и технологично сътрудничество със Съюза, в което се определят редът и условията за участието на Египет в PRIMA;</w:t>
      </w:r>
    </w:p>
    <w:p>
      <w:pPr>
        <w:pStyle w:val="Standard"/>
        <w:jc w:val="both"/>
        <w:rPr>
          <w:noProof/>
        </w:rPr>
      </w:pPr>
      <w:r>
        <w:rPr>
          <w:noProof/>
        </w:rPr>
        <w:t xml:space="preserve"> </w:t>
      </w: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Египет изрази желанието си да се присъедини към PRIMA като участваща държава и на равна основа с участващите в PRIMA държави — членки на ЕС, и държави, асоциирани към „Хоризонт 2020“;</w:t>
      </w:r>
    </w:p>
    <w:p>
      <w:pPr>
        <w:pStyle w:val="Standard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е необходимо международно споразумение между Съюза и Египет за регламентиране на правата и задълженията на Египет като участваща в PRIMA държава;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като имат предвид, че пълното сътрудничество и координация между компетентните органи на двете страни е от основно значение за прилагането на настоящото споразумение;</w:t>
      </w:r>
    </w:p>
    <w:p>
      <w:pPr>
        <w:pStyle w:val="Standard"/>
        <w:jc w:val="both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  <w:r>
        <w:rPr>
          <w:noProof/>
        </w:rPr>
        <w:t>СЕ СПОРАЗУМЯХА ЗА СЛЕДНОТО: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1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Цел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Целта на настоящото споразумение е да се определят редът и условията за участието на Египет в Партньорството за научни изследвания и иновации в Средиземноморския регион (PRIMA).</w:t>
      </w:r>
    </w:p>
    <w:p>
      <w:pPr>
        <w:pStyle w:val="Standard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2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Ред и условия за участието на Египет в PRIMA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iCs/>
          <w:noProof/>
        </w:rPr>
      </w:pPr>
      <w:r>
        <w:rPr>
          <w:noProof/>
        </w:rPr>
        <w:t>Редът и условията за участието на Египет в PRIMA са тези, определени в Решение (ЕС) 2017/1324 на Европейския парламент и на Съвета относно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членки. Страните спазват задълженията, установени с посоченото решение, и предприемат целесъобразни мерки, по-специално като предоставят цялата необходима помощ, за да се гарантира прилагането на член 10, параграф 2 и член 11, параграфи 3 и 4 от него. Страните трябва да постигнат подробни договорености за оказване на помощ, тъй като те са от основно значение за сътрудничеството им съгласно настоящото споразумение.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b/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3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Териториално приложение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Настоящото споразумение се прилага, от една страна, на териториите, на които се прилагат Договорът за функционирането на Европейския съюз и Договорът за Европейския съюз, и от друга страна, на територията на Египет.</w:t>
      </w:r>
    </w:p>
    <w:p>
      <w:pPr>
        <w:pStyle w:val="Standard"/>
        <w:rPr>
          <w:noProof/>
        </w:rPr>
      </w:pPr>
    </w:p>
    <w:p>
      <w:pPr>
        <w:pStyle w:val="Standard"/>
        <w:rPr>
          <w:noProof/>
        </w:rPr>
      </w:pP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4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Временно прилагане, влизане в сила и срок на действие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1. Настоящото споразумение се одобрява от страните в съответствие с техните собствени процедури. 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2. Настоящото споразумение влиза в сила на датата, на която и двете страни се нотифицират взаимно по дипломатически канали относно приключването на процедурите, посочени в първия параграф. След подписването на споразумението и до влизането му в сила страните го прилагат временно от датата, на която ЕС получи </w:t>
      </w:r>
      <w:r>
        <w:rPr>
          <w:noProof/>
        </w:rPr>
        <w:lastRenderedPageBreak/>
        <w:t>нотификацията относно приключването от страна на Египет на процедурите, посочени в първия параграф.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3. Настоящото споразумение остава в сила докато е в сила Решение (ЕС) 2017/1324, освен ако действието му не бъде прекратено от някоя от страните в съответствие с член 5.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5</w:t>
      </w:r>
    </w:p>
    <w:p>
      <w:pPr>
        <w:pStyle w:val="Standard"/>
        <w:jc w:val="center"/>
        <w:rPr>
          <w:noProof/>
        </w:rPr>
      </w:pPr>
    </w:p>
    <w:p>
      <w:pPr>
        <w:pStyle w:val="Standard"/>
        <w:jc w:val="center"/>
        <w:rPr>
          <w:noProof/>
        </w:rPr>
      </w:pPr>
      <w:r>
        <w:rPr>
          <w:noProof/>
        </w:rPr>
        <w:t>Прекратяване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 xml:space="preserve">1. Всяка от страните може да прекрати настоящото споразумение по всяко време чрез писмено известие, с което информира за намерението си да го прекрати. 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Прекратяването влиза в сила шест месеца след датата, на която писменото известие стигне до своя получател.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2. Проектите и дейностите, които са започнати към момента на прекратяване на настоящото споразумение, продължават до тяхното приключване при условията, предвидени в настоящото споразумение.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  <w:r>
        <w:rPr>
          <w:noProof/>
        </w:rPr>
        <w:t>3. Страните уреждат по взаимно съгласие всякакви други последици от прекратяването.</w:t>
      </w:r>
    </w:p>
    <w:p>
      <w:pPr>
        <w:pStyle w:val="Standard"/>
        <w:jc w:val="both"/>
        <w:rPr>
          <w:noProof/>
        </w:rPr>
      </w:pPr>
    </w:p>
    <w:p>
      <w:pPr>
        <w:pStyle w:val="Standard"/>
        <w:jc w:val="both"/>
        <w:rPr>
          <w:noProof/>
        </w:rPr>
      </w:pPr>
    </w:p>
    <w:p>
      <w:pPr>
        <w:pStyle w:val="Standard"/>
        <w:jc w:val="center"/>
        <w:rPr>
          <w:b/>
          <w:noProof/>
        </w:rPr>
      </w:pPr>
      <w:r>
        <w:rPr>
          <w:b/>
          <w:noProof/>
        </w:rPr>
        <w:t>Член 6</w:t>
      </w:r>
    </w:p>
    <w:p>
      <w:pPr>
        <w:pStyle w:val="Standard"/>
        <w:jc w:val="center"/>
        <w:rPr>
          <w:noProof/>
        </w:rPr>
      </w:pPr>
      <w:r>
        <w:rPr>
          <w:noProof/>
        </w:rPr>
        <w:t>Уреждане на спорове</w:t>
      </w:r>
    </w:p>
    <w:p>
      <w:pPr>
        <w:pStyle w:val="Standard"/>
        <w:rPr>
          <w:noProof/>
        </w:rPr>
      </w:pPr>
    </w:p>
    <w:p>
      <w:pPr>
        <w:pStyle w:val="Standard"/>
        <w:jc w:val="both"/>
        <w:rPr>
          <w:iCs/>
          <w:noProof/>
        </w:rPr>
      </w:pPr>
      <w:r>
        <w:rPr>
          <w:noProof/>
        </w:rPr>
        <w:t>Процедурата по уреждане на спорове, предвидена в член 82 от Евро-средиземноморското споразумение за асоцииране между Европейските общности и техните държави членки, от една страна, и Арабска република Египет, от друга страна, се прилага за всички спорове, свързани с прилагането или тълкуването на настоящото споразумение.</w:t>
      </w:r>
    </w:p>
    <w:p>
      <w:pPr>
        <w:pStyle w:val="Standard"/>
        <w:jc w:val="both"/>
        <w:rPr>
          <w:iCs/>
          <w:noProof/>
        </w:rPr>
      </w:pPr>
    </w:p>
    <w:p>
      <w:pPr>
        <w:pStyle w:val="Standard"/>
        <w:jc w:val="both"/>
        <w:rPr>
          <w:i/>
          <w:iCs/>
          <w:noProof/>
        </w:rPr>
      </w:pPr>
    </w:p>
    <w:p>
      <w:pPr>
        <w:pStyle w:val="Standard"/>
        <w:jc w:val="both"/>
        <w:rPr>
          <w:iCs/>
          <w:noProof/>
        </w:rPr>
      </w:pPr>
      <w:r>
        <w:rPr>
          <w:noProof/>
        </w:rPr>
        <w:t>Настоящото споразумение е съставено в два еднообразни екземпляра на английски, български, гръцки, датски, естонски,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хърватски, чешки, шведски и арабски език, като всички текстове са еднакво автентични.</w:t>
      </w:r>
    </w:p>
    <w:p>
      <w:pPr>
        <w:pStyle w:val="Standard"/>
        <w:jc w:val="both"/>
        <w:rPr>
          <w:iCs/>
          <w:noProof/>
        </w:rPr>
      </w:pPr>
    </w:p>
    <w:p>
      <w:pPr>
        <w:pStyle w:val="Standard"/>
        <w:rPr>
          <w:noProof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EACE9D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FFCF3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05021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2E4DB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CB068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E7681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628D1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DA24C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8-29 10:21:3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4"/>
    <w:docVar w:name="DQCResult_UnknownFonts" w:val="0;0"/>
    <w:docVar w:name="DQCResult_UnknownStyles" w:val="0;82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D17082A49A4F465A938A303146B98C6D"/>
    <w:docVar w:name="LW_CROSSREFERENCE" w:val="&lt;UNUSED&gt;"/>
    <w:docVar w:name="LW_DocType" w:val="ANNEX"/>
    <w:docVar w:name="LW_EMISSION" w:val="11.8.2017"/>
    <w:docVar w:name="LW_EMISSION_ISODATE" w:val="2017-08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7?\u1086?\u1076?\u1087?\u1080?\u1089?\u1074?\u1072?\u1085?\u1077? \u1086?\u1090? \u1080?\u1084?\u1077?\u1090?\u1086? \u1085?\u1072? \u1057?\u1098?\u1102?\u1079?\u1072? \u1080? \u1079?\u1072? \u1074?\u1088?\u1077?\u1084?\u1077?\u1085?\u1085?\u1086? \u1087?\u1088?\u1080?\u1083?\u1072?\u1075?\u1072?\u1085?\u1077? \u1085?\u1072? \u1057?\u1087?\u1086?\u1088?\u1072?\u1079?\u1091?\u1084?\u1077?\u1085?\u1080?\u1077?\u1090?\u1086? \u1079?\u1072? \u1085?\u1072?\u1091?\u1095?\u1085?\u1086? \u1080? \u1090?\u1077?\u1093?\u1085?\u1086?\u1083?\u1086?\u1075?\u1080?\u1095?\u1085?\u1086? \u1089?\u1098?\u1090?\u1088?\u1091?\u1076?\u1085?\u1080?\u1095?\u1077?\u1089?\u1090?\u1074?\u1086? \u1084?\u1077?\u1078?\u1076?\u1091? \u1045?\u1074?\u1088?\u1086?\u1087?\u1077?\u1081?\u1089?\u1082?\u1080?\u1103? \u1089?\u1098?\u1102?\u1079? \u1080? \u1040?\u1088?\u1072?\u1073?\u1089?\u1082?\u1072? \u1088?\u1077?\u1087?\u1091?\u1073?\u1083?\u1080?\u1082?\u1072? \u1045?\u1075?\u1080?\u1087?\u1077?\u1090?, \u1074? \u1082?\u1086?\u1077?\u1090?\u1086? \u1089?\u1077? \u1086?\u1087?\u1088?\u1077?\u1076?\u1077?\u1083?\u1103?\u1090? \u1088?\u1077?\u1076?\u1098?\u1090? \u1080? \u1091?\u1089?\u1083?\u1086?\u1074?\u1080?\u1103?\u1090?\u1072? \u1079?\u1072? \u1091?\u1095?\u1072?\u1089?\u1090?\u1080?\u1077?\u1090?\u1086? \u1085?\u1072? \u1040?\u1088?\u1072?\u1073?\u1089?\u1082?\u1072? \u1088?\u1077?\u1087?\u1091?\u1073?\u1083?\u1080?\u1082?\u1072? \u1045?\u1075?\u1080?\u1087?\u1077?\u1090? \u1074? \u1055?\u1072?\u1088?\u1090?\u1085?\u1100?\u1086?\u1088?\u1089?\u1090?\u1074?\u1086?\u1090?\u1086? \u1079?\u1072? \u1085?\u1072?\u1091?\u1095?\u1085?\u1080? \u1080?\u1079?\u1089?\u1083?\u1077?\u1076?\u1074?\u1072?\u1085?\u1080?\u1103? \u1080? \u1080?\u1085?\u1086?\u1074?\u1072?\u1094?\u1080?\u1080? \u1074? \u1057?\u1088?\u1077?\u1076?\u1080?\u1079?\u1077?\u1084?\u1085?\u1086?\u1084?\u1086?\u1088?\u1089?\u1082?\u1080?\u1103? \u1088?\u1077?\u1075?\u1080?\u1086?\u1085? (PRIMA)"/>
    <w:docVar w:name="LW_PART_NBR" w:val="1"/>
    <w:docVar w:name="LW_PART_NBR_TOTAL" w:val="1"/>
    <w:docVar w:name="LW_REF.INST.NEW" w:val="COM"/>
    <w:docVar w:name="LW_REF.INST.NEW_ADOPTED" w:val="final"/>
    <w:docVar w:name="LW_REF.INST.NEW_TEXT" w:val="(2017) 429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87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811</Words>
  <Characters>4820</Characters>
  <Application>Microsoft Office Word</Application>
  <DocSecurity>0</DocSecurity>
  <Lines>141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VIRVILI Vasiliki (RTD)</dc:creator>
  <cp:lastModifiedBy>DIGIT/A3</cp:lastModifiedBy>
  <cp:revision>7</cp:revision>
  <dcterms:created xsi:type="dcterms:W3CDTF">2017-08-28T08:26:00Z</dcterms:created>
  <dcterms:modified xsi:type="dcterms:W3CDTF">2017-08-29T08:21:00Z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