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85A69DC8614125AF26F70DF8DA41B9"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À la suite d’une proposition de la Commission relative à une initiative PRIMA au titre de l’article 185 du TFUE</w:t>
      </w:r>
      <w:r>
        <w:rPr>
          <w:rStyle w:val="FootnoteReference"/>
          <w:noProof/>
        </w:rPr>
        <w:footnoteReference w:id="1"/>
      </w:r>
      <w:r>
        <w:rPr>
          <w:noProof/>
        </w:rPr>
        <w:t>, la décision (UE) 2017/1324 du Parlement européen et du Conseil</w:t>
      </w:r>
      <w:r>
        <w:rPr>
          <w:rStyle w:val="FootnoteReference"/>
          <w:noProof/>
        </w:rPr>
        <w:footnoteReference w:id="2"/>
      </w:r>
      <w:r>
        <w:rPr>
          <w:noProof/>
        </w:rPr>
        <w:t xml:space="preserve"> relative à la participation de l'Union au partenariat en matière de recherche et d'innovation dans la zone méditerranéenne (PRIMA) entrepris conjointement par plusieurs États membres a été adoptée.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 PRIMA sera entrepris conjointement par un certain nombre d’États membres et de pays tiers (les «États participants à PRIMA») s’engageant fermement en faveur de l’intégration scientifique, administrative et financière, et selon les mêmes conditions et modalités.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La République libanaise (le «Liban») a fait part de son souhait d’adhérer à PRIMA en qualité d’État participant par lettres du 1</w:t>
      </w:r>
      <w:r>
        <w:rPr>
          <w:noProof/>
          <w:vertAlign w:val="superscript"/>
        </w:rPr>
        <w:t>er</w:t>
      </w:r>
      <w:r>
        <w:rPr>
          <w:noProof/>
        </w:rPr>
        <w:t xml:space="preserve"> septembre 2014, du 17 février 2016 et du 4 avril 2017, et s’est engagée à apporter une contribution financière de 7 millions d’EUR à l’initiative.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que le Liban participe à PRIMA sur un pied d’égalité avec les États membres et les pays tiers associés à «Horizon 2020», un accord international avec l’Union est nécessaire pour étendre au Liban le régime juridique établi par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Le 30 mai 2017, le Conseil a autorisé la Commission à ouvrir des négociations avec le Liban, au nom de l’Union, sur un accord international entre l’Union et le Liban établissant les conditions et modalités de la participation du Liban à PRIMA, sous réserve de l’adoption de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18 juillet 2017, date à laquelle les négociateurs en chef des futures parties ont signé le procès-verbal attestant la conclusion du processus de négociation. Le projet d’accord joint à la présente proposition est conforme aux directives de négociation adoptées par le Conseil. En particulier, il dispose que les conditions et modalités de la participation du Liban à PRIMA sont celles indiquées dans la décision (UE) 2017/1324,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 À la demande du Liban et comme convenu au cours des négociations, un considérant supplémentaire a été inséré dans le préambule de l’accord pour signifier qu’une coopération et une coordination sans réserve entre les autorités compétentes des deux futures parties sont essentielles à la mise en œuvre du futur accord.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relatif à PRIMA</w:t>
      </w:r>
      <w:r>
        <w:rPr>
          <w:rStyle w:val="FootnoteReference"/>
          <w:noProof/>
        </w:rPr>
        <w:footnoteReference w:id="3"/>
      </w:r>
      <w:r>
        <w:rPr>
          <w:noProof/>
        </w:rPr>
        <w:t xml:space="preserve"> l'indique aussi, l’ouverture de PRIMA à la participation de pays tiers tels que le Liban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4"/>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instituant une association entre la Communauté européenne et ses États membres, d’une part, et la République libanaise, d’autre part</w:t>
      </w:r>
      <w:r>
        <w:rPr>
          <w:rStyle w:val="FootnoteReference"/>
          <w:noProof/>
        </w:rPr>
        <w:footnoteReference w:id="5"/>
      </w:r>
      <w:r>
        <w:rPr>
          <w:noProof/>
        </w:rPr>
        <w:t xml:space="preserve">, qui prévoit une coopération entre l’Union et le Liban en matière de recherche et de développement technologique et encourage les activités de recherche et de développement dans les domaines d’intérêt commun.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le Liban,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ÉLÉMENTS JURIDIQUES DE LA PROPOSITION</w:t>
      </w:r>
    </w:p>
    <w:p>
      <w:pPr>
        <w:pBdr>
          <w:top w:val="nil"/>
          <w:left w:val="nil"/>
          <w:bottom w:val="nil"/>
          <w:right w:val="nil"/>
          <w:between w:val="nil"/>
          <w:bar w:val="nil"/>
        </w:pBdr>
        <w:spacing w:before="0" w:after="240"/>
        <w:rPr>
          <w:rFonts w:eastAsia="Arial Unicode MS"/>
          <w:noProof/>
        </w:rPr>
      </w:pPr>
      <w:r>
        <w:rPr>
          <w:noProof/>
        </w:rPr>
        <w:t xml:space="preserve">La proposition de décision du Conseil est fondée sur l'article 186 et sur l'article 218, paragraphe 5, du traité sur le fonctionnement de l’Union européenne.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fiche financière législative accompagnant la présente décision expose les incidences budgétaires indicatives. </w:t>
      </w:r>
    </w:p>
    <w:p>
      <w:pPr>
        <w:rPr>
          <w:noProof/>
        </w:rPr>
      </w:pPr>
    </w:p>
    <w:p>
      <w:pPr>
        <w:rPr>
          <w:noProof/>
        </w:rPr>
      </w:pPr>
      <w:r>
        <w:rPr>
          <w:noProof/>
        </w:rPr>
        <w:t xml:space="preserve">Compte tenu de ce qui précède, la Commission propose que le Conseil </w:t>
      </w:r>
    </w:p>
    <w:p>
      <w:pPr>
        <w:rPr>
          <w:noProof/>
        </w:rPr>
      </w:pPr>
      <w:r>
        <w:rPr>
          <w:noProof/>
        </w:rPr>
        <w:t>- adopte une décision concernant la signature, au nom de l’Union, et l’application provisoire de l’accord;</w:t>
      </w:r>
    </w:p>
    <w:p>
      <w:pPr>
        <w:pStyle w:val="ListParagraph"/>
        <w:rPr>
          <w:noProof/>
        </w:rPr>
      </w:pPr>
    </w:p>
    <w:p>
      <w:pPr>
        <w:rPr>
          <w:noProof/>
        </w:rPr>
      </w:pPr>
      <w:r>
        <w:rPr>
          <w:noProof/>
        </w:rPr>
        <w:t>- autorise le négociateur de l’accord à signer, au nom de l’Union, l’accord de coopération scientifique et technologique entre l’Union européenne et la République libanaise fixant les conditions et modalités de la participation de la République libanaise au partenariat en matière de recherche et d’innovation dans la zone méditerranéenne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de l’accord de coopération scientifique et technologique entre l’Union européenne et la République libanaise fixant les conditions et modalités de la participation de la République libanaise au partenariat en matière de recherche et d’innovation dans la zone méditerranéenne (PRIMA)</w:t>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6"/>
      </w:r>
      <w:r>
        <w:rPr>
          <w:noProof/>
        </w:rPr>
        <w:t xml:space="preserve"> prévoit la participation de l'Union au partenariat en matière de recherche et d'innovation dans la zone méditerranéenne (PRIMA) entrepris conjointement par plusieurs États membres. </w:t>
      </w:r>
    </w:p>
    <w:p>
      <w:pPr>
        <w:pStyle w:val="ManualConsidrant"/>
        <w:rPr>
          <w:noProof/>
        </w:rPr>
      </w:pPr>
      <w:r>
        <w:t>(2)</w:t>
      </w:r>
      <w:r>
        <w:tab/>
      </w:r>
      <w:r>
        <w:rPr>
          <w:noProof/>
        </w:rPr>
        <w:t>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w:t>
      </w:r>
    </w:p>
    <w:p>
      <w:pPr>
        <w:pStyle w:val="ManualConsidrant"/>
        <w:rPr>
          <w:noProof/>
        </w:rPr>
      </w:pPr>
      <w:r>
        <w:t>(3)</w:t>
      </w:r>
      <w:r>
        <w:tab/>
      </w:r>
      <w:r>
        <w:rPr>
          <w:noProof/>
        </w:rPr>
        <w:t>PRIMA sera entrepris conjointement par un certain nombre d’États membres et de pays tiers (les «États participants à PRIMA») s’engageant fermement en faveur de l’intégration scientifique, administrative et financière, et selon les mêmes conditions et modalités.</w:t>
      </w:r>
    </w:p>
    <w:p>
      <w:pPr>
        <w:pStyle w:val="ManualConsidrant"/>
        <w:rPr>
          <w:noProof/>
        </w:rPr>
      </w:pPr>
      <w:r>
        <w:t>(4)</w:t>
      </w:r>
      <w:r>
        <w:tab/>
      </w:r>
      <w:r>
        <w:rPr>
          <w:noProof/>
        </w:rPr>
        <w:t>La République libanaise (le «Liban»)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(5)</w:t>
      </w:r>
      <w:r>
        <w:tab/>
      </w:r>
      <w:r>
        <w:rPr>
          <w:noProof/>
        </w:rPr>
        <w:t>Conformément à l’article 1</w:t>
      </w:r>
      <w:r>
        <w:rPr>
          <w:noProof/>
          <w:vertAlign w:val="superscript"/>
        </w:rPr>
        <w:t>er</w:t>
      </w:r>
      <w:r>
        <w:rPr>
          <w:noProof/>
        </w:rPr>
        <w:t>, paragraphe 2, de la décision (UE) 2017/1324, le Liban devient un État participant à PRIMA sous réserve de la conclusion d’un accord international de coopération scientifique et technologique avec l’Union fixant les conditions et modalités de la participation du Liban à PRIMA.</w:t>
      </w:r>
    </w:p>
    <w:p>
      <w:pPr>
        <w:pStyle w:val="ManualConsidrant"/>
        <w:rPr>
          <w:noProof/>
        </w:rPr>
      </w:pPr>
      <w:r>
        <w:t>(6)</w:t>
      </w:r>
      <w:r>
        <w:tab/>
      </w:r>
      <w:r>
        <w:rPr>
          <w:noProof/>
        </w:rPr>
        <w:t>Le 30 mai 2017, le Conseil a autorisé la Commission à ouvrir des négociations avec le Liban, au nom de l’Union, sur un accord international fixant les conditions et modalités de la participation du Liban à PRIMA, sous réserve de l’adoption de la décision (UE) 2017/1324. Les négociations ont été menées à bonne fin.</w:t>
      </w:r>
    </w:p>
    <w:p>
      <w:pPr>
        <w:pStyle w:val="ManualConsidrant"/>
        <w:rPr>
          <w:noProof/>
        </w:rPr>
      </w:pPr>
      <w:r>
        <w:t>(7)</w:t>
      </w:r>
      <w:r>
        <w:tab/>
      </w:r>
      <w:r>
        <w:rPr>
          <w:noProof/>
        </w:rPr>
        <w:t>Il convient dès lors que l’accord soit signé au nom de l’Union, sous réserve de sa conclusion à une date ultérieure.</w:t>
      </w:r>
    </w:p>
    <w:p>
      <w:pPr>
        <w:pStyle w:val="ManualConsidrant"/>
        <w:rPr>
          <w:noProof/>
        </w:rPr>
      </w:pPr>
      <w:r>
        <w:t>(8)</w:t>
      </w:r>
      <w:r>
        <w:tab/>
      </w:r>
      <w:r>
        <w:rPr>
          <w:noProof/>
        </w:rPr>
        <w:t>Afin de permettre au Liban de participer à PRIMA dès son lancement, il convient que l’accord soit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de coopération scientifique et technologique entre l’Union européenne et la République libanaise fixant les conditions et modalités de la participation de la République libanaise au partenariat en matière de recherche et d’innovation dans la zone méditerranéenne (PRIMA) est approuvée au nom de l’Union, sous réserve de la conclusion dudit accord.</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keepLines/>
        <w:rPr>
          <w:noProof/>
        </w:rPr>
      </w:pPr>
      <w:r>
        <w:rPr>
          <w:noProof/>
        </w:rPr>
        <w:t xml:space="preserve">L’accord est appliqué à titre provisoire, conformément à son article 4, à compter de la date de sa signature, dans l’attente de son entrée en vigueur. </w:t>
      </w:r>
    </w:p>
    <w:p>
      <w:pPr>
        <w:pStyle w:val="Titrearticle"/>
        <w:rPr>
          <w:noProof/>
        </w:rPr>
      </w:pPr>
      <w:r>
        <w:rPr>
          <w:noProof/>
        </w:rPr>
        <w:t>Article 4</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et à l’application provisoire de l’accord de coopération scientifique et technologique entre l’Union européenne et la République libanaise fixant les conditions et modalités de la participation de la République libanaise au partenariat en matière de recherche et d’innovation dans la zone méditerranéenne (PRIMA).</w:t>
      </w:r>
    </w:p>
    <w:p>
      <w:pPr>
        <w:pStyle w:val="ManualHeading2"/>
        <w:rPr>
          <w:noProof/>
          <w:szCs w:val="24"/>
        </w:rPr>
      </w:pPr>
      <w:r>
        <w:t>1.2.</w:t>
      </w:r>
      <w:r>
        <w:tab/>
      </w:r>
      <w:r>
        <w:rPr>
          <w:noProof/>
        </w:rPr>
        <w:t>Domaine(s) politique(s) concerné(s) dans la structure ABM/ABB</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au Liban de devenir un État participant à PRIMA, dont l’objectif stratégique est de construire des capacités de recherche et d'innovation et de développer des connaissances et des solutions innovantes communes pour les systèmes agroalimentaires afin de les rendre durables, ainsi que pour un approvisionnement intégré en eau et une gestion intégrée de l'eau dans la zone méditerranéenne, afin d'améliorer la résilience de ces systèmes, de cet approvisionnement et de cette gestion aux effets du changement climatique, de même que leur efficacité, leur rentabilité et leur durabilité environnementale et sociale, et de contribuer à la résolution en amont des problèmes en rapport avec la pénurie d'eau, la sécurité alimentaire, la nutrition, la santé, le bien-être et les migrations.</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En vue de la réalisation de ses objectifs, PRIMA sera entrepris conjointement par un certain nombre d’États membres et de pays tiers selon les mêmes conditions et modalités. Afin de garantir que le Liban participe à PRIMA sur un pied d’égalité avec les États membres et les pays tiers associés à «Horizon 2020», un accord international avec l’Union est nécessaire pour étendre au Liban le régime juridique établi par la décision (UE) 2017/1324.</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permettra au Liban de devenir un État participant à PRIMA et, partant, de s’engager sur un pied d’égalité avec les États membres et les pays tiers associés à «Horizon 2020». Conformément aux dispositions de la décision (UE) 2017/1324, les entités juridiques libanaises seraient automatiquement éligibles à un financement de l’UE dans le cadre de projets financés par le budget de l’UE.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la participation du Liban à PRIMA. Les indicateurs de résultats et d’incidences de la présente initiative sont donc étroitement liés à ceux relatifs à l’initiative PRIMA dans son ensemble, comme indiqué dans la proposition correspondante de la Commission</w:t>
      </w:r>
      <w:r>
        <w:rPr>
          <w:rStyle w:val="FootnoteReference"/>
          <w:noProof/>
        </w:rPr>
        <w:footnoteReference w:id="9"/>
      </w:r>
      <w:r>
        <w:rPr>
          <w:noProof/>
        </w:rPr>
        <w: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 et au rapport d’analyse d’impact relatif à PRIMA accompagnant ladite proposition de la Commission</w:t>
      </w:r>
      <w:r>
        <w:rPr>
          <w:rStyle w:val="FootnoteReference"/>
          <w:noProof/>
        </w:rPr>
        <w:footnoteReference w:id="10"/>
      </w:r>
      <w:r>
        <w:rPr>
          <w:noProof/>
        </w:rPr>
        <w: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n’existe aucun précédent pour la présente initiative étant donné que PRIMA est la toute première initiative à compter avec la participation de pays tiers qui ne sont pas associés au programme-cadre de recherche de l’UE sur un pied d’égalité avec les États membres et qui, par conséquent, requiert la conclusion d’accords internationaux avec l’Union en vue de leur participation.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FE"/>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à partir de la date d’application provisoire de l’accord et aussi longtemps que la décision (UE) 2017/1324 est en vigueur (31 décembre 2028).</w:t>
      </w:r>
    </w:p>
    <w:p>
      <w:pPr>
        <w:pStyle w:val="ListDash2"/>
        <w:rPr>
          <w:noProof/>
        </w:rPr>
      </w:pPr>
      <w:r>
        <w:rPr>
          <w:noProof/>
        </w:rPr>
        <w:sym w:font="Wingdings" w:char="F0FE"/>
      </w:r>
      <w:r>
        <w:rPr>
          <w:noProof/>
        </w:rPr>
        <w:tab/>
        <w:t>Incidence financière à partir de la date d’application provisoire de l’accord jusqu’au 31 décembre 2020 (au cours de cette période, des dispositions mettant en œuvre l’accord seront mises en place. Après cette période, il n’y a pas d’autres activités prévues dans le cadre de l’accord).</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1"/>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sz w:val="23"/>
        </w:rPr>
        <w:t>Une nouvelle entité juridique sera créée - avec pour unique rôle la mise en œuvre de PRIMA. Elle relaiera la contribution financière de l'UE à l'initiative.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qui sera conclu entre l’UE et le Liban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Rubrique la - Compétitivité pour la croissance et l’emploi </w:t>
            </w:r>
          </w:p>
          <w:p>
            <w:pPr>
              <w:rPr>
                <w:noProof/>
                <w:sz w:val="22"/>
              </w:rPr>
            </w:pPr>
          </w:p>
        </w:tc>
        <w:tc>
          <w:tcPr>
            <w:tcW w:w="1080" w:type="dxa"/>
            <w:vAlign w:val="center"/>
          </w:tcPr>
          <w:p>
            <w:pPr>
              <w:jc w:val="center"/>
              <w:rPr>
                <w:noProof/>
                <w:sz w:val="22"/>
              </w:rPr>
            </w:pPr>
            <w:r>
              <w:rPr>
                <w:noProof/>
                <w:sz w:val="18"/>
              </w:rPr>
              <w:t>CD/CND</w:t>
            </w:r>
            <w:r>
              <w:rPr>
                <w:rStyle w:val="FootnoteReference"/>
                <w:noProof/>
                <w:sz w:val="18"/>
              </w:rPr>
              <w:footnoteReference w:id="12"/>
            </w:r>
          </w:p>
        </w:tc>
        <w:tc>
          <w:tcPr>
            <w:tcW w:w="956" w:type="dxa"/>
            <w:vAlign w:val="center"/>
          </w:tcPr>
          <w:p>
            <w:pPr>
              <w:jc w:val="center"/>
              <w:rPr>
                <w:noProof/>
                <w:sz w:val="22"/>
              </w:rPr>
            </w:pPr>
            <w:r>
              <w:rPr>
                <w:noProof/>
                <w:sz w:val="18"/>
              </w:rPr>
              <w:t>de pays AELE</w:t>
            </w:r>
            <w:r>
              <w:rPr>
                <w:rStyle w:val="FootnoteReference"/>
                <w:noProof/>
                <w:sz w:val="18"/>
              </w:rPr>
              <w:footnoteReference w:id="13"/>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4"/>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[Cette partie est à compléter en utilisant la</w:t>
      </w:r>
      <w:hyperlink r:id="rId13">
        <w:r>
          <w:rPr>
            <w:rStyle w:val="Hyperlink"/>
            <w:b/>
            <w:noProof/>
            <w:highlight w:val="lightGray"/>
          </w:rPr>
          <w:t xml:space="preserve"> feuille de calcul sur les données budgétaires de nature administrative</w:t>
        </w:r>
      </w:hyperlink>
      <w:r>
        <w:rPr>
          <w:noProof/>
          <w:highlight w:val="lightGray"/>
        </w:rPr>
        <w:t xml:space="preserve"> (second document en annexe à la présente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343"/>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5"/>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302" w:type="dxa"/>
            <w:vAlign w:val="center"/>
          </w:tcPr>
          <w:p>
            <w:pPr>
              <w:jc w:val="center"/>
              <w:rPr>
                <w:noProof/>
                <w:sz w:val="20"/>
              </w:rPr>
            </w:pPr>
            <w:r>
              <w:rPr>
                <w:noProof/>
                <w:sz w:val="20"/>
              </w:rPr>
              <w:t>Année</w:t>
            </w:r>
            <w:r>
              <w:rPr>
                <w:noProof/>
                <w:sz w:val="22"/>
              </w:rPr>
              <w:br/>
            </w:r>
            <w:r>
              <w:rPr>
                <w:b/>
                <w:noProof/>
                <w:sz w:val="20"/>
              </w:rPr>
              <w:t>2021-2029</w:t>
            </w:r>
          </w:p>
        </w:tc>
        <w:tc>
          <w:tcPr>
            <w:tcW w:w="1343"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343"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6"/>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343"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Numéro de ligne budgétaire: 08.010501 </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343"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RTD</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69 000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noProof/>
              </w:rPr>
              <w:footnoteReference w:id="17"/>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182" w:type="dxa"/>
            <w:vAlign w:val="center"/>
          </w:tcPr>
          <w:p>
            <w:pPr>
              <w:jc w:val="center"/>
              <w:rPr>
                <w:noProof/>
                <w:sz w:val="20"/>
              </w:rPr>
            </w:pPr>
            <w:r>
              <w:rPr>
                <w:noProof/>
                <w:sz w:val="20"/>
              </w:rPr>
              <w:t>Année</w:t>
            </w:r>
            <w:r>
              <w:rPr>
                <w:noProof/>
                <w:sz w:val="22"/>
              </w:rPr>
              <w:br/>
            </w:r>
            <w:r>
              <w:rPr>
                <w:b/>
                <w:noProof/>
                <w:sz w:val="20"/>
              </w:rPr>
              <w:t>2021-2029</w:t>
            </w:r>
          </w:p>
        </w:tc>
        <w:tc>
          <w:tcPr>
            <w:tcW w:w="1463"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noProof/>
                <w:sz w:val="20"/>
              </w:rPr>
            </w:pPr>
            <w:r>
              <w:rPr>
                <w:noProof/>
                <w:sz w:val="20"/>
              </w:rPr>
              <w:t>4 600</w:t>
            </w:r>
          </w:p>
        </w:tc>
        <w:tc>
          <w:tcPr>
            <w:tcW w:w="868" w:type="dxa"/>
            <w:vAlign w:val="center"/>
          </w:tcPr>
          <w:p>
            <w:pPr>
              <w:spacing w:before="20" w:after="20"/>
              <w:jc w:val="right"/>
              <w:rPr>
                <w:noProof/>
                <w:sz w:val="20"/>
              </w:rPr>
            </w:pPr>
            <w:r>
              <w:rPr>
                <w:noProof/>
                <w:sz w:val="20"/>
              </w:rPr>
              <w:t>4 600</w:t>
            </w:r>
          </w:p>
        </w:tc>
        <w:tc>
          <w:tcPr>
            <w:tcW w:w="868" w:type="dxa"/>
            <w:vAlign w:val="center"/>
          </w:tcPr>
          <w:p>
            <w:pPr>
              <w:spacing w:before="20" w:after="20"/>
              <w:jc w:val="right"/>
              <w:rPr>
                <w:noProof/>
                <w:sz w:val="20"/>
              </w:rPr>
            </w:pPr>
            <w:r>
              <w:rPr>
                <w:noProof/>
                <w:sz w:val="20"/>
              </w:rPr>
              <w:t>4 600</w:t>
            </w:r>
          </w:p>
        </w:tc>
        <w:tc>
          <w:tcPr>
            <w:tcW w:w="1182" w:type="dxa"/>
            <w:vAlign w:val="center"/>
          </w:tcPr>
          <w:p>
            <w:pPr>
              <w:spacing w:before="20" w:after="20"/>
              <w:jc w:val="right"/>
              <w:rPr>
                <w:noProof/>
                <w:sz w:val="20"/>
              </w:rPr>
            </w:pPr>
          </w:p>
        </w:tc>
        <w:tc>
          <w:tcPr>
            <w:tcW w:w="1463" w:type="dxa"/>
            <w:vAlign w:val="center"/>
          </w:tcPr>
          <w:p>
            <w:pPr>
              <w:spacing w:before="20" w:after="20"/>
              <w:jc w:val="right"/>
              <w:rPr>
                <w:noProof/>
                <w:sz w:val="20"/>
              </w:rPr>
            </w:pPr>
            <w:r>
              <w:rPr>
                <w:noProof/>
                <w:sz w:val="20"/>
              </w:rPr>
              <w:t>13 800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b/>
                <w:noProof/>
                <w:sz w:val="20"/>
              </w:rPr>
            </w:pPr>
            <w:r>
              <w:rPr>
                <w:b/>
                <w:noProof/>
                <w:sz w:val="20"/>
              </w:rPr>
              <w:t>4 600</w:t>
            </w:r>
          </w:p>
        </w:tc>
        <w:tc>
          <w:tcPr>
            <w:tcW w:w="868" w:type="dxa"/>
            <w:vAlign w:val="center"/>
          </w:tcPr>
          <w:p>
            <w:pPr>
              <w:spacing w:before="20" w:after="20"/>
              <w:jc w:val="right"/>
              <w:rPr>
                <w:b/>
                <w:noProof/>
                <w:sz w:val="20"/>
              </w:rPr>
            </w:pPr>
            <w:r>
              <w:rPr>
                <w:b/>
                <w:noProof/>
                <w:sz w:val="20"/>
              </w:rPr>
              <w:t>4 600</w:t>
            </w:r>
          </w:p>
        </w:tc>
        <w:tc>
          <w:tcPr>
            <w:tcW w:w="868" w:type="dxa"/>
            <w:vAlign w:val="center"/>
          </w:tcPr>
          <w:p>
            <w:pPr>
              <w:spacing w:before="20" w:after="20"/>
              <w:jc w:val="right"/>
              <w:rPr>
                <w:b/>
                <w:noProof/>
                <w:sz w:val="20"/>
              </w:rPr>
            </w:pPr>
            <w:r>
              <w:rPr>
                <w:b/>
                <w:noProof/>
                <w:sz w:val="20"/>
              </w:rPr>
              <w:t>4 600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463"/>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4 600</w:t>
            </w:r>
          </w:p>
        </w:tc>
        <w:tc>
          <w:tcPr>
            <w:tcW w:w="868" w:type="dxa"/>
            <w:vAlign w:val="center"/>
          </w:tcPr>
          <w:p>
            <w:pPr>
              <w:spacing w:before="20" w:after="20"/>
              <w:jc w:val="right"/>
              <w:rPr>
                <w:b/>
                <w:noProof/>
                <w:sz w:val="20"/>
              </w:rPr>
            </w:pPr>
            <w:r>
              <w:rPr>
                <w:b/>
                <w:noProof/>
                <w:sz w:val="20"/>
              </w:rPr>
              <w:t>4 600</w:t>
            </w:r>
          </w:p>
        </w:tc>
        <w:tc>
          <w:tcPr>
            <w:tcW w:w="868" w:type="dxa"/>
            <w:vAlign w:val="center"/>
          </w:tcPr>
          <w:p>
            <w:pPr>
              <w:spacing w:before="20" w:after="20"/>
              <w:jc w:val="right"/>
              <w:rPr>
                <w:b/>
                <w:noProof/>
                <w:sz w:val="20"/>
              </w:rPr>
            </w:pPr>
            <w:r>
              <w:rPr>
                <w:b/>
                <w:noProof/>
                <w:sz w:val="20"/>
              </w:rPr>
              <w:t>4 600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13 800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182" w:type="dxa"/>
            <w:vAlign w:val="center"/>
          </w:tcPr>
          <w:p>
            <w:pPr>
              <w:jc w:val="center"/>
              <w:rPr>
                <w:noProof/>
                <w:sz w:val="20"/>
              </w:rPr>
            </w:pPr>
            <w:r>
              <w:rPr>
                <w:noProof/>
                <w:sz w:val="20"/>
              </w:rPr>
              <w:t>Année</w:t>
            </w:r>
            <w:r>
              <w:rPr>
                <w:noProof/>
                <w:sz w:val="22"/>
              </w:rPr>
              <w:br/>
            </w:r>
            <w:r>
              <w:rPr>
                <w:b/>
                <w:noProof/>
                <w:sz w:val="20"/>
              </w:rPr>
              <w:t>2021-2029</w:t>
            </w:r>
          </w:p>
        </w:tc>
        <w:tc>
          <w:tcPr>
            <w:tcW w:w="146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 xml:space="preserve">Crédits d’engagement en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2018</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20"/>
              </w:rPr>
              <w:t>4 600</w:t>
            </w:r>
          </w:p>
        </w:tc>
        <w:tc>
          <w:tcPr>
            <w:tcW w:w="1080" w:type="dxa"/>
            <w:vAlign w:val="center"/>
          </w:tcPr>
          <w:p>
            <w:pPr>
              <w:spacing w:before="60" w:after="60" w:line="200" w:lineRule="exact"/>
              <w:jc w:val="right"/>
              <w:rPr>
                <w:noProof/>
                <w:sz w:val="16"/>
                <w:szCs w:val="16"/>
              </w:rPr>
            </w:pPr>
            <w:r>
              <w:rPr>
                <w:noProof/>
                <w:sz w:val="20"/>
              </w:rPr>
              <w:t>4 600</w:t>
            </w:r>
          </w:p>
        </w:tc>
        <w:tc>
          <w:tcPr>
            <w:tcW w:w="1080" w:type="dxa"/>
            <w:vAlign w:val="center"/>
          </w:tcPr>
          <w:p>
            <w:pPr>
              <w:spacing w:before="60" w:after="60" w:line="200" w:lineRule="exact"/>
              <w:jc w:val="right"/>
              <w:rPr>
                <w:noProof/>
                <w:sz w:val="16"/>
                <w:szCs w:val="16"/>
              </w:rPr>
            </w:pPr>
            <w:r>
              <w:rPr>
                <w:noProof/>
                <w:sz w:val="20"/>
              </w:rPr>
              <w:t>4 600</w:t>
            </w:r>
          </w:p>
        </w:tc>
        <w:tc>
          <w:tcPr>
            <w:tcW w:w="1080" w:type="dxa"/>
            <w:vAlign w:val="center"/>
          </w:tcPr>
          <w:p>
            <w:pPr>
              <w:spacing w:before="60" w:after="60" w:line="200" w:lineRule="exact"/>
              <w:jc w:val="right"/>
              <w:rPr>
                <w:noProof/>
                <w:sz w:val="16"/>
                <w:szCs w:val="16"/>
              </w:rPr>
            </w:pPr>
            <w:r>
              <w:rPr>
                <w:noProof/>
                <w:sz w:val="20"/>
              </w:rPr>
              <w:t>4 600</w:t>
            </w: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b/>
                <w:noProof/>
                <w:sz w:val="20"/>
              </w:rPr>
              <w:t>4 600</w:t>
            </w:r>
          </w:p>
        </w:tc>
        <w:tc>
          <w:tcPr>
            <w:tcW w:w="1080" w:type="dxa"/>
            <w:vAlign w:val="center"/>
          </w:tcPr>
          <w:p>
            <w:pPr>
              <w:spacing w:before="60" w:after="60" w:line="200" w:lineRule="exact"/>
              <w:jc w:val="right"/>
              <w:rPr>
                <w:noProof/>
                <w:sz w:val="16"/>
                <w:szCs w:val="16"/>
              </w:rPr>
            </w:pPr>
            <w:r>
              <w:rPr>
                <w:b/>
                <w:noProof/>
                <w:sz w:val="20"/>
              </w:rPr>
              <w:t>4 600</w:t>
            </w:r>
          </w:p>
        </w:tc>
        <w:tc>
          <w:tcPr>
            <w:tcW w:w="1080" w:type="dxa"/>
            <w:vAlign w:val="center"/>
          </w:tcPr>
          <w:p>
            <w:pPr>
              <w:spacing w:before="60" w:after="60" w:line="200" w:lineRule="exact"/>
              <w:jc w:val="right"/>
              <w:rPr>
                <w:noProof/>
                <w:sz w:val="16"/>
                <w:szCs w:val="16"/>
              </w:rPr>
            </w:pPr>
            <w:r>
              <w:rPr>
                <w:b/>
                <w:noProof/>
                <w:sz w:val="20"/>
              </w:rPr>
              <w:t>4 600</w:t>
            </w:r>
          </w:p>
        </w:tc>
        <w:tc>
          <w:tcPr>
            <w:tcW w:w="1080" w:type="dxa"/>
            <w:vAlign w:val="center"/>
          </w:tcPr>
          <w:p>
            <w:pPr>
              <w:spacing w:before="60" w:after="60" w:line="200" w:lineRule="exact"/>
              <w:jc w:val="right"/>
              <w:rPr>
                <w:noProof/>
                <w:sz w:val="16"/>
                <w:szCs w:val="16"/>
              </w:rPr>
            </w:pPr>
            <w:r>
              <w:rPr>
                <w:b/>
                <w:noProof/>
                <w:sz w:val="20"/>
              </w:rPr>
              <w:t>4 600</w:t>
            </w: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2"/>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0"/>
                <w:szCs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0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3"/>
        <w:gridCol w:w="1956"/>
        <w:gridCol w:w="656"/>
        <w:gridCol w:w="656"/>
        <w:gridCol w:w="672"/>
        <w:gridCol w:w="1642"/>
      </w:tblGrid>
      <w:tr>
        <w:trPr>
          <w:gridBefore w:val="1"/>
          <w:wBefore w:w="7" w:type="pct"/>
          <w:trHeight w:val="289"/>
          <w:jc w:val="center"/>
        </w:trPr>
        <w:tc>
          <w:tcPr>
            <w:tcW w:w="2589" w:type="pct"/>
            <w:gridSpan w:val="2"/>
            <w:shd w:val="clear" w:color="auto" w:fill="auto"/>
          </w:tcPr>
          <w:p>
            <w:pPr>
              <w:pStyle w:val="Text1"/>
              <w:spacing w:before="40" w:after="40"/>
              <w:ind w:left="0"/>
              <w:jc w:val="center"/>
              <w:rPr>
                <w:i/>
                <w:noProof/>
                <w:sz w:val="16"/>
                <w:szCs w:val="16"/>
              </w:rPr>
            </w:pPr>
          </w:p>
        </w:tc>
        <w:tc>
          <w:tcPr>
            <w:tcW w:w="435"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435"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445" w:type="pct"/>
            <w:shd w:val="clear" w:color="auto" w:fill="auto"/>
            <w:vAlign w:val="center"/>
          </w:tcPr>
          <w:p>
            <w:pPr>
              <w:spacing w:before="20" w:after="20"/>
              <w:jc w:val="center"/>
              <w:rPr>
                <w:noProof/>
                <w:sz w:val="16"/>
                <w:szCs w:val="16"/>
              </w:rPr>
            </w:pPr>
            <w:r>
              <w:rPr>
                <w:noProof/>
                <w:sz w:val="16"/>
              </w:rPr>
              <w:t xml:space="preserve">Année </w:t>
            </w:r>
            <w:r>
              <w:rPr>
                <w:b/>
                <w:noProof/>
                <w:sz w:val="16"/>
              </w:rPr>
              <w:t>2020</w:t>
            </w:r>
          </w:p>
        </w:tc>
        <w:tc>
          <w:tcPr>
            <w:tcW w:w="1090"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noProof/>
                <w:sz w:val="16"/>
                <w:szCs w:val="16"/>
              </w:rPr>
            </w:pPr>
            <w:r>
              <w:rPr>
                <w:b/>
                <w:noProof/>
                <w:sz w:val="16"/>
              </w:rPr>
              <w:t>2021-2029</w:t>
            </w:r>
          </w:p>
        </w:tc>
      </w:tr>
      <w:tr>
        <w:trPr>
          <w:gridBefore w:val="1"/>
          <w:wBefore w:w="7" w:type="pct"/>
          <w:trHeight w:val="289"/>
          <w:jc w:val="center"/>
        </w:trPr>
        <w:tc>
          <w:tcPr>
            <w:tcW w:w="3903"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109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(recherche indirecte)</w:t>
            </w:r>
          </w:p>
        </w:tc>
        <w:tc>
          <w:tcPr>
            <w:tcW w:w="435" w:type="pct"/>
            <w:shd w:val="clear" w:color="auto" w:fill="auto"/>
            <w:vAlign w:val="center"/>
          </w:tcPr>
          <w:p>
            <w:pPr>
              <w:spacing w:beforeLines="20" w:before="48" w:afterLines="20" w:after="48"/>
              <w:jc w:val="center"/>
              <w:rPr>
                <w:noProof/>
                <w:sz w:val="16"/>
                <w:szCs w:val="16"/>
              </w:rPr>
            </w:pPr>
            <w:r>
              <w:rPr>
                <w:b/>
                <w:noProof/>
                <w:sz w:val="16"/>
              </w:rPr>
              <w:t>0,2</w:t>
            </w:r>
          </w:p>
        </w:tc>
        <w:tc>
          <w:tcPr>
            <w:tcW w:w="435" w:type="pct"/>
            <w:shd w:val="clear" w:color="auto" w:fill="auto"/>
            <w:vAlign w:val="center"/>
          </w:tcPr>
          <w:p>
            <w:pPr>
              <w:spacing w:beforeLines="20" w:before="48" w:afterLines="20" w:after="48"/>
              <w:jc w:val="center"/>
              <w:rPr>
                <w:noProof/>
                <w:sz w:val="16"/>
                <w:szCs w:val="16"/>
              </w:rPr>
            </w:pPr>
            <w:r>
              <w:rPr>
                <w:b/>
                <w:noProof/>
                <w:sz w:val="16"/>
              </w:rPr>
              <w:t>0,2</w:t>
            </w:r>
          </w:p>
        </w:tc>
        <w:tc>
          <w:tcPr>
            <w:tcW w:w="445" w:type="pct"/>
            <w:shd w:val="clear" w:color="auto" w:fill="auto"/>
            <w:vAlign w:val="center"/>
          </w:tcPr>
          <w:p>
            <w:pPr>
              <w:spacing w:beforeLines="20" w:before="48" w:afterLines="20" w:after="48"/>
              <w:jc w:val="center"/>
              <w:rPr>
                <w:noProof/>
                <w:sz w:val="16"/>
                <w:szCs w:val="16"/>
              </w:rPr>
            </w:pPr>
            <w:r>
              <w:rPr>
                <w:b/>
                <w:noProof/>
                <w:sz w:val="16"/>
              </w:rPr>
              <w:t>0,2</w:t>
            </w: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After w:val="1"/>
          <w:wAfter w:w="1090" w:type="pct"/>
          <w:trHeight w:val="248"/>
          <w:jc w:val="center"/>
        </w:trPr>
        <w:tc>
          <w:tcPr>
            <w:tcW w:w="391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3"/>
            </w:r>
          </w:p>
          <w:p>
            <w:pPr>
              <w:pStyle w:val="Text1"/>
              <w:spacing w:before="0" w:after="0"/>
              <w:ind w:left="0"/>
              <w:jc w:val="left"/>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shd w:val="clear" w:color="auto" w:fill="auto"/>
            <w:vAlign w:val="center"/>
          </w:tcPr>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9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4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109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La préparation et la conclusion des modalités administratives de l’assistance en ce qui concerne la protection des intérêts financiers de l’UE, avec les autorités libanaises, comme le prévoit l’article 2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 xml:space="preserve">Crédits en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du 18.10.2016.</w:t>
      </w:r>
    </w:p>
  </w:footnote>
  <w:footnote w:id="2">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3">
    <w:p>
      <w:pPr>
        <w:pStyle w:val="FootnoteText"/>
        <w:rPr>
          <w:lang w:val="pt-PT"/>
        </w:rPr>
      </w:pPr>
      <w:r>
        <w:rPr>
          <w:rStyle w:val="FootnoteReference"/>
        </w:rPr>
        <w:footnoteRef/>
      </w:r>
      <w:r>
        <w:rPr>
          <w:lang w:val="pt-PT"/>
        </w:rPr>
        <w:tab/>
        <w:t>SWD(2016) 332 final du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pPr>
      <w:r>
        <w:rPr>
          <w:rStyle w:val="FootnoteReference"/>
        </w:rPr>
        <w:footnoteRef/>
      </w:r>
      <w:r>
        <w:tab/>
        <w:t>JO L 143 du 30.5.2006, p. 2.</w:t>
      </w:r>
    </w:p>
  </w:footnote>
  <w:footnote w:id="6">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p>
      <w:pPr>
        <w:pStyle w:val="FootnoteText"/>
      </w:pPr>
    </w:p>
  </w:footnote>
  <w:footnote w:id="7">
    <w:p>
      <w:pPr>
        <w:pStyle w:val="FootnoteText"/>
        <w:rPr>
          <w:szCs w:val="24"/>
          <w:lang w:val="en-GB"/>
        </w:rPr>
      </w:pPr>
      <w:r>
        <w:rPr>
          <w:rStyle w:val="FootnoteReference"/>
        </w:rPr>
        <w:footnoteRef/>
      </w:r>
      <w:r>
        <w:rPr>
          <w:lang w:val="en-GB"/>
        </w:rPr>
        <w:tab/>
        <w:t>ABM: activity-based management; ABB: activity-based budgeting.</w:t>
      </w:r>
    </w:p>
  </w:footnote>
  <w:footnote w:id="8">
    <w:p>
      <w:pPr>
        <w:pStyle w:val="FootnoteText"/>
        <w:rPr>
          <w:szCs w:val="24"/>
        </w:rPr>
      </w:pPr>
      <w:r>
        <w:rPr>
          <w:rStyle w:val="FootnoteReference"/>
        </w:rPr>
        <w:footnoteRef/>
      </w:r>
      <w:r>
        <w:tab/>
        <w:t>Tel(le) que visé(e) à l’article 54, paragraphe 2, point a) ou b), du règlement financier.</w:t>
      </w:r>
    </w:p>
  </w:footnote>
  <w:footnote w:id="9">
    <w:p>
      <w:pPr>
        <w:pStyle w:val="FootnoteText"/>
        <w:rPr>
          <w:lang w:val="pt-PT"/>
        </w:rPr>
      </w:pPr>
      <w:r>
        <w:rPr>
          <w:rStyle w:val="FootnoteReference"/>
        </w:rPr>
        <w:footnoteRef/>
      </w:r>
      <w:r>
        <w:rPr>
          <w:lang w:val="pt-PT"/>
        </w:rPr>
        <w:tab/>
        <w:t>COM(2016) 662 final du 18.10.2016.</w:t>
      </w:r>
    </w:p>
  </w:footnote>
  <w:footnote w:id="10">
    <w:p>
      <w:pPr>
        <w:pStyle w:val="FootnoteText"/>
        <w:rPr>
          <w:lang w:val="pt-PT"/>
        </w:rPr>
      </w:pPr>
      <w:r>
        <w:rPr>
          <w:rStyle w:val="FootnoteReference"/>
        </w:rPr>
        <w:footnoteRef/>
      </w:r>
      <w:r>
        <w:rPr>
          <w:lang w:val="pt-PT"/>
        </w:rPr>
        <w:tab/>
        <w:t>SWD(2016) 332 final du 18.10.2016.</w:t>
      </w:r>
    </w:p>
  </w:footnote>
  <w:footnote w:id="11">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2">
    <w:p>
      <w:pPr>
        <w:pStyle w:val="FootnoteText"/>
        <w:rPr>
          <w:szCs w:val="24"/>
        </w:rPr>
      </w:pPr>
      <w:r>
        <w:rPr>
          <w:rStyle w:val="FootnoteReference"/>
        </w:rPr>
        <w:footnoteRef/>
      </w:r>
      <w:r>
        <w:tab/>
        <w:t>CD = crédits dissociés / CND = crédits non dissociés.</w:t>
      </w:r>
    </w:p>
  </w:footnote>
  <w:footnote w:id="13">
    <w:p>
      <w:pPr>
        <w:pStyle w:val="FootnoteText"/>
        <w:rPr>
          <w:szCs w:val="24"/>
        </w:rPr>
      </w:pPr>
      <w:r>
        <w:rPr>
          <w:rStyle w:val="FootnoteReference"/>
        </w:rPr>
        <w:footnoteRef/>
      </w:r>
      <w:r>
        <w:tab/>
        <w:t xml:space="preserve">AELE: Association européenne de libre-échange. </w:t>
      </w:r>
    </w:p>
  </w:footnote>
  <w:footnote w:id="14">
    <w:p>
      <w:pPr>
        <w:pStyle w:val="FootnoteText"/>
        <w:rPr>
          <w:szCs w:val="24"/>
        </w:rPr>
      </w:pPr>
      <w:r>
        <w:rPr>
          <w:rStyle w:val="FootnoteReference"/>
        </w:rPr>
        <w:footnoteRef/>
      </w:r>
      <w:r>
        <w:tab/>
        <w:t>Pays candidats et, le cas échéant, pays candidats potentiels des Balkans occidentaux.</w:t>
      </w:r>
    </w:p>
  </w:footnote>
  <w:footnote w:id="15">
    <w:p>
      <w:pPr>
        <w:pStyle w:val="FootnoteText"/>
        <w:rPr>
          <w:szCs w:val="24"/>
        </w:rPr>
      </w:pPr>
      <w:r>
        <w:rPr>
          <w:rStyle w:val="FootnoteReference"/>
        </w:rPr>
        <w:footnoteRef/>
      </w:r>
      <w:r>
        <w:tab/>
        <w:t>L'année N est l'année du début de la mise en œuvre de la proposition/de l'initiative.</w:t>
      </w:r>
    </w:p>
  </w:footnote>
  <w:footnote w:id="1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7">
    <w:p>
      <w:pPr>
        <w:pStyle w:val="FootnoteText"/>
      </w:pPr>
      <w:r>
        <w:rPr>
          <w:rStyle w:val="FootnoteReference"/>
        </w:rPr>
        <w:footnoteRef/>
      </w:r>
      <w:r>
        <w:tab/>
        <w:t>L'année 2018 est l'année du début de la mise en œuvre de la proposition/de l'initiative.</w:t>
      </w:r>
    </w:p>
  </w:footnote>
  <w:footnote w:id="18">
    <w:p>
      <w:pPr>
        <w:pStyle w:val="FootnoteText"/>
        <w:rPr>
          <w:szCs w:val="24"/>
        </w:rPr>
      </w:pPr>
      <w:r>
        <w:rPr>
          <w:rStyle w:val="FootnoteReference"/>
        </w:rPr>
        <w:footnoteRef/>
      </w:r>
      <w:r>
        <w:tab/>
        <w:t>L'année 2018 est l'année du début de la mise en œuvre de la proposition/de l'initiative.</w:t>
      </w:r>
    </w:p>
  </w:footnote>
  <w:footnote w:id="19">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0">
    <w:p>
      <w:pPr>
        <w:pStyle w:val="FootnoteText"/>
        <w:rPr>
          <w:szCs w:val="24"/>
        </w:rPr>
      </w:pPr>
      <w:r>
        <w:rPr>
          <w:rStyle w:val="FootnoteReference"/>
        </w:rPr>
        <w:footnoteRef/>
      </w:r>
      <w:r>
        <w:tab/>
        <w:t xml:space="preserve">Tel que décrit dans la partie 1.4.2. «Objectif(s) spécifique(s)…». </w:t>
      </w:r>
    </w:p>
  </w:footnote>
  <w:footnote w:id="21">
    <w:p>
      <w:pPr>
        <w:pStyle w:val="FootnoteText"/>
        <w:rPr>
          <w:szCs w:val="24"/>
        </w:rPr>
      </w:pPr>
      <w:r>
        <w:rPr>
          <w:rStyle w:val="FootnoteReference"/>
        </w:rPr>
        <w:footnoteRef/>
      </w:r>
      <w:r>
        <w:tab/>
        <w:t>L'année 2018 est l'année du début de la mise en œuvre de la proposition/de l'initiative.</w:t>
      </w:r>
    </w:p>
  </w:footnote>
  <w:footnote w:id="2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3">
    <w:p>
      <w:pPr>
        <w:pStyle w:val="FootnoteText"/>
        <w:rPr>
          <w:szCs w:val="24"/>
        </w:rPr>
      </w:pPr>
      <w:r>
        <w:rPr>
          <w:rStyle w:val="FootnoteReference"/>
        </w:rPr>
        <w:footnoteRef/>
      </w:r>
      <w:r>
        <w:tab/>
        <w:t xml:space="preserve">AC= agent contractuel; AL = agent local; END= expert national détaché; INT = intérimaire; JED= jeune expert en délégation. </w:t>
      </w:r>
    </w:p>
  </w:footnote>
  <w:footnote w:id="24">
    <w:p>
      <w:pPr>
        <w:pStyle w:val="FootnoteText"/>
        <w:rPr>
          <w:szCs w:val="24"/>
        </w:rPr>
      </w:pPr>
      <w:r>
        <w:rPr>
          <w:rStyle w:val="FootnoteReference"/>
        </w:rPr>
        <w:footnoteRef/>
      </w:r>
      <w:r>
        <w:tab/>
        <w:t>Sous-plafonds de personnel externe financés sur crédits opérationnels (anciennes lignes «BA»).</w:t>
      </w:r>
    </w:p>
  </w:footnote>
  <w:footnote w:id="25">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10D6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34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615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7:46: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C685A69DC8614125AF26F70DF8DA41B9"/>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1"/>
    <w:docVar w:name="LW_REF.II.NEW.CP_YEAR" w:val="2017"/>
    <w:docVar w:name="LW_REF.INST.NEW" w:val="COM"/>
    <w:docVar w:name="LW_REF.INST.NEW_ADOPTED" w:val="final"/>
    <w:docVar w:name="LW_REF.INST.NEW_TEXT" w:val="(2017) 435"/>
    <w:docVar w:name="LW_REF.INTERNE" w:val="&lt;UNUSED&gt;"/>
    <w:docVar w:name="LW_SOUS.TITRE.OBJ.CP" w:val="&lt;UNUSED&gt;"/>
    <w:docVar w:name="LW_STATUT.CP" w:val="Proposition de"/>
    <w:docVar w:name="LW_SUPERTITRE" w:val="&lt;UNUSED&gt;"/>
    <w:docVar w:name="LW_TITRE.OBJ.CP" w:val="relative à la signature, au nom de l\u8217?Union, et à l\u8217?application provisoire de l\u8217?accord de coopération scientifique et technologique entre l\u8217?Union européenne et la République libanaise fixant les conditions et modalités de la participation de la République libanais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CFDE-855F-4378-AB71-EF814F46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4365</Words>
  <Characters>24489</Characters>
  <Application>Microsoft Office Word</Application>
  <DocSecurity>0</DocSecurity>
  <Lines>1224</Lines>
  <Paragraphs>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2017-07-11T12:04:00Z</cp:lastPrinted>
  <dcterms:created xsi:type="dcterms:W3CDTF">2017-08-21T08:26:00Z</dcterms:created>
  <dcterms:modified xsi:type="dcterms:W3CDTF">2017-08-29T05:46:00Z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