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2E82DEE29CD4D9DA1E87ADC16937B4E" style="width:450.5pt;height:39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0"/>
        <w:rPr>
          <w:rFonts w:eastAsia="Arial Unicode MS"/>
          <w:noProof/>
        </w:rPr>
      </w:pPr>
      <w:r>
        <w:rPr>
          <w:noProof/>
        </w:rPr>
        <w:t>След предложение на Комисията за инициативата PRIMA по член 185 от ДФЕС</w:t>
      </w:r>
      <w:r>
        <w:rPr>
          <w:rStyle w:val="FootnoteReference"/>
          <w:noProof/>
        </w:rPr>
        <w:footnoteReference w:id="1"/>
      </w:r>
      <w:r>
        <w:rPr>
          <w:noProof/>
        </w:rPr>
        <w:t xml:space="preserve"> бе прието Решение (ЕС) 2017/1324 на Европейския парламент и на Съвета</w:t>
      </w:r>
      <w:r>
        <w:rPr>
          <w:rStyle w:val="FootnoteReference"/>
          <w:noProof/>
        </w:rPr>
        <w:footnoteReference w:id="2"/>
      </w:r>
      <w:r>
        <w:rPr>
          <w:noProof/>
        </w:rPr>
        <w:t xml:space="preserve">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PRIMA е насочено към изпълнението на съвместна програма за насърчаване на капацитета за научни изследвания и иновации, развиване на познания и разработване на общи новаторски решения за подобряване на ефективността, безопасността, сигурността и устойчивостта на селскостопанските и продоволствените системи и на интегрираното водоснабдяване и управление на водите в Средиземноморския регион. PRIMA ще бъде осъществявано съвместно от редица държави членки и трети държави („участващи в PRIMA държави“) с висока степен на ангажираност с научна, управленска и финансова интеграция и при прилагане на едни и същи ред и условия.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Република Ливан („Ливан“) изрази желанието си да се присъедини към PRIMA като участваща държава с писма от 1 септември 2014 г., 17 февруари 2016 г. и 4 април 2017 г., като пое ангажимент да предостави финансово участие в размер на 7 милиона евро за инициативата.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С цел да се гарантира, че Ливан участва в PRIMA на равна основа с държавите членки и с третите държави, асоциирани към „Хоризонт 2020“, е необходимо международно споразумение със Съюза, за да се разшири обхватът на правния режим, установен с Решение (ЕС) 2017/1324 по отношение на Ливан.</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На 30 май 2017 г. Съветът разреши на Комисията да започне преговори от името на Съюза с Ливан относно международно споразумение между Съюза и Ливан за определяне на реда и условията за участието на Ливан в PRIMA, при условие че бъде прието Решение (ЕС) 2017/1324.</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Преговорите започнаха на 26 юни 2017 г. и приключиха успешно на 18 юли 2017 г., когато главните преговарящи на бъдещите страни по споразумението подписаха протокол за удостоверяване на приключването на преговорния процес. Проектът на споразумение, приложен към настоящото предложение, е в съответствие с приетите от Съвета указания за водене на преговори. По-специално в него се посочва, че редът и условията за участието на Ливан в PRIMA са тези, определени в Решение (ЕС) 2017/1324, като се прави пряко позоваване на законодателния акт на Съюза.</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С цел да се гарантира защитата на финансовите интереси на Съюза, по-специално на правомощията на Комисията, Европейската служба за борба с измамите, Сметната палата и изпълнителната структура на PRIMA (PRIMA-IS) за извършване на одити и разследвания в съответствие с приложимото законодателство на Съюза, в споразумението се прави конкретно позоваване на съответните разпоредби на Решение (ЕС) 2017/1324 и страните се задължават да предоставят цялата необходима помощ, за да се гарантира тяхното прилагане. Освен това в бъдещото споразумение се постановява, че страните трябва да постигнат подробни договорености за оказване на помощ, тъй като те са от основно значение за сътрудничеството им съгласно настоящото споразумение. По искане на Ливан и в съответствие с договореното по време на преговорите бе добавено допълнително съображение в преамбюла на споразумението, за да се посочи, че пълното сътрудничество и координация между компетентните органи на двете бъдещи страни е от основно значение за прилагането на бъдещото споразумение.</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Както се посочва и в доклада за оценка на въздействието за PRIMA</w:t>
      </w:r>
      <w:r>
        <w:rPr>
          <w:rStyle w:val="FootnoteReference"/>
          <w:noProof/>
        </w:rPr>
        <w:footnoteReference w:id="3"/>
      </w:r>
      <w:r>
        <w:rPr>
          <w:noProof/>
        </w:rPr>
        <w:t>, достъпността на PRIMA за участие на трети държави като Ливан е в съответствие с целите на международното сътрудничество за научни изследвания и иновации, както се посочва в Съобщението на Комисията от 2012 г. „Подобряване и фокусиране на международното сътрудничество на ЕС в областта на научните изследвания и иновациите — стратегически подход“</w:t>
      </w:r>
      <w:r>
        <w:rPr>
          <w:rStyle w:val="FootnoteReference"/>
          <w:noProof/>
        </w:rPr>
        <w:footnoteReference w:id="4"/>
      </w:r>
      <w:r>
        <w:rPr>
          <w:noProof/>
        </w:rPr>
        <w:t xml:space="preserve"> и в рамковата програма „Хоризонт 2020“, с която се насърчава сътрудничеството с трети държави в областта на науката, технологиите и иновациите с цел справяне с глобалните предизвикателства пред обществото и подпомагане на външната политика на Съюза. Настоящото споразумение е също така в съответствие със съществуващото Евро-средиземноморско споразумение за асоцииране между Европейската общност и нейните държави членки, от една страна, и Република Ливан, от друга страна</w:t>
      </w:r>
      <w:r>
        <w:rPr>
          <w:rStyle w:val="FootnoteReference"/>
          <w:noProof/>
        </w:rPr>
        <w:footnoteReference w:id="5"/>
      </w:r>
      <w:r>
        <w:rPr>
          <w:noProof/>
        </w:rPr>
        <w:t xml:space="preserve">, в което се предвижда сътрудничество между Съюза и Ливан в областта на научноизследователската дейност и технологичното развитие и насърчаване на научноизследователски и развойни дейности в области от общ интерес.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Прилагането на PRIMA в тясно сътрудничество с трети държави като Ливан е в съответствие и с другите политики на ЕС, като например политиката в областта на миграцията, политиката за развитие и политиката за съседство, и е от значение за тях.</w:t>
      </w:r>
    </w:p>
    <w:p>
      <w:pPr>
        <w:pStyle w:val="ManualHeading1"/>
        <w:rPr>
          <w:noProof/>
        </w:rPr>
      </w:pPr>
      <w:r>
        <w:rPr>
          <w:noProof/>
        </w:rPr>
        <w:t>2.</w:t>
      </w:r>
      <w:r>
        <w:rPr>
          <w:noProof/>
        </w:rPr>
        <w:tab/>
        <w:t xml:space="preserve">ПРАВНИ </w:t>
      </w:r>
      <w:r>
        <w:rPr>
          <w:noProof/>
          <w:sz w:val="30"/>
        </w:rPr>
        <w:t>елементи на предложението</w:t>
      </w:r>
    </w:p>
    <w:p>
      <w:pPr>
        <w:pBdr>
          <w:top w:val="nil"/>
          <w:left w:val="nil"/>
          <w:bottom w:val="nil"/>
          <w:right w:val="nil"/>
          <w:between w:val="nil"/>
          <w:bar w:val="nil"/>
        </w:pBdr>
        <w:spacing w:before="0" w:after="240"/>
        <w:rPr>
          <w:rFonts w:eastAsia="Arial Unicode MS"/>
          <w:noProof/>
        </w:rPr>
      </w:pPr>
      <w:r>
        <w:rPr>
          <w:noProof/>
        </w:rPr>
        <w:t xml:space="preserve">Предложението за решение на Съвета се основава на член 186 и член 218, параграф 5 от Договора за функционирането на Европейския съюз. </w:t>
      </w:r>
    </w:p>
    <w:p>
      <w:pPr>
        <w:pStyle w:val="ManualHeading1"/>
        <w:rPr>
          <w:noProof/>
        </w:rPr>
      </w:pPr>
      <w:r>
        <w:rPr>
          <w:noProof/>
        </w:rPr>
        <w:t>3.</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В законодателната финансова обосновка, представена заедно с настоящото решение, се определя ориентировъчно отражението върху бюджета. </w:t>
      </w:r>
    </w:p>
    <w:p>
      <w:pPr>
        <w:rPr>
          <w:noProof/>
        </w:rPr>
      </w:pPr>
    </w:p>
    <w:p>
      <w:pPr>
        <w:rPr>
          <w:noProof/>
        </w:rPr>
      </w:pPr>
      <w:r>
        <w:rPr>
          <w:noProof/>
        </w:rPr>
        <w:t xml:space="preserve">С оглед на горепосоченото Комисията предлага Съветът: </w:t>
      </w:r>
    </w:p>
    <w:p>
      <w:pPr>
        <w:rPr>
          <w:noProof/>
        </w:rPr>
      </w:pPr>
      <w:r>
        <w:rPr>
          <w:noProof/>
        </w:rPr>
        <w:t>- да вземе решение за подписването и временното прилагане на споразумението от името на Съюза;</w:t>
      </w:r>
    </w:p>
    <w:p>
      <w:pPr>
        <w:pStyle w:val="ListParagraph"/>
        <w:rPr>
          <w:noProof/>
        </w:rPr>
      </w:pPr>
    </w:p>
    <w:p>
      <w:pPr>
        <w:rPr>
          <w:noProof/>
        </w:rPr>
      </w:pPr>
      <w:r>
        <w:rPr>
          <w:noProof/>
        </w:rPr>
        <w:t>- да разреши преговарящият по споразумението да подпише от името на Съюза Споразумението за научно и технологично сътрудничество между Европейския съюз и Република Ливан, в което се определят редът и условията за участието на Република Ливан в Партньорството за научни изследвания и иновации в Средиземноморския регион (PRIMA).</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2017/0201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Съюза и за временно прилагане на Споразумението за научно и технологично сътрудничество между Европейския съюз и Република Ливан, в което се определят редът и условията за участието на Република Ливан в Партньорството за научни изследвания и иновации в Средиземноморския регион (PRIMA)</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186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Решение (ЕС) 2017/1324 на Европейския парламент и на Съвета</w:t>
      </w:r>
      <w:r>
        <w:rPr>
          <w:rStyle w:val="FootnoteReference"/>
          <w:noProof/>
        </w:rPr>
        <w:footnoteReference w:id="6"/>
      </w:r>
      <w:r>
        <w:rPr>
          <w:noProof/>
        </w:rPr>
        <w:t xml:space="preserve"> се предвижда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w:t>
      </w:r>
    </w:p>
    <w:p>
      <w:pPr>
        <w:pStyle w:val="ManualConsidrant"/>
        <w:rPr>
          <w:noProof/>
        </w:rPr>
      </w:pPr>
      <w:r>
        <w:t>(2)</w:t>
      </w:r>
      <w:r>
        <w:tab/>
      </w:r>
      <w:r>
        <w:rPr>
          <w:noProof/>
        </w:rPr>
        <w:t>PRIMA е насочено към изпълнението на съвместна програма за насърчаване на капацитета за научни изследвания и иновации, развиване на познания и разработване на общи новаторски решения за подобряване на ефективността, безопасността, сигурността и устойчивостта на селскостопанските и продоволствените системи и на интегрираното водоснабдяване и управление на водите в Средиземноморския регион.</w:t>
      </w:r>
    </w:p>
    <w:p>
      <w:pPr>
        <w:pStyle w:val="ManualConsidrant"/>
        <w:rPr>
          <w:noProof/>
        </w:rPr>
      </w:pPr>
      <w:r>
        <w:t>(3)</w:t>
      </w:r>
      <w:r>
        <w:tab/>
      </w:r>
      <w:r>
        <w:rPr>
          <w:noProof/>
        </w:rPr>
        <w:t>PRIMA ще бъде осъществявано съвместно от редица държави членки и трети държави („участващи в PRIMA държави“) с висока степен на ангажираност с научна, управленска и финансова интеграция и при прилагане на едни и същи ред и условия.</w:t>
      </w:r>
    </w:p>
    <w:p>
      <w:pPr>
        <w:pStyle w:val="ManualConsidrant"/>
        <w:rPr>
          <w:noProof/>
        </w:rPr>
      </w:pPr>
      <w:r>
        <w:t>(4)</w:t>
      </w:r>
      <w:r>
        <w:tab/>
      </w:r>
      <w:r>
        <w:rPr>
          <w:noProof/>
        </w:rPr>
        <w:t>Република Ливан („Ливан“) изрази желанието си да се присъедини към PRIMA като участваща държава и на равна основа с участващите в PRIMA държави членки и държави, асоциирани към „Хоризонт 2020“.</w:t>
      </w:r>
    </w:p>
    <w:p>
      <w:pPr>
        <w:pStyle w:val="ManualConsidrant"/>
        <w:rPr>
          <w:noProof/>
        </w:rPr>
      </w:pPr>
      <w:r>
        <w:t>(5)</w:t>
      </w:r>
      <w:r>
        <w:tab/>
      </w:r>
      <w:r>
        <w:rPr>
          <w:noProof/>
        </w:rPr>
        <w:t>В съответствие с член 1, параграф 2 от Решение (ЕС) 2017/1324 Ливан ще стане участваща държава в PRIMA, при условие че бъде сключено международно споразумение за научно и технологично сътрудничество със Съюза, в което се определят редът и условията за участието на Ливан в PRIMA.</w:t>
      </w:r>
    </w:p>
    <w:p>
      <w:pPr>
        <w:pStyle w:val="ManualConsidrant"/>
        <w:rPr>
          <w:noProof/>
        </w:rPr>
      </w:pPr>
      <w:r>
        <w:t>(6)</w:t>
      </w:r>
      <w:r>
        <w:tab/>
      </w:r>
      <w:r>
        <w:rPr>
          <w:noProof/>
        </w:rPr>
        <w:t>На 30 май 2017 г. Съветът разреши на Комисията да започне преговори от името на Съюза с Ливан относно международно споразумение, в което се определят редът и условията за участието на Ливан в PRIMA, при условие че бъде прието Решение (ЕС) 2017/1324. Преговорите приключиха успешно.</w:t>
      </w:r>
    </w:p>
    <w:p>
      <w:pPr>
        <w:pStyle w:val="ManualConsidrant"/>
        <w:rPr>
          <w:noProof/>
        </w:rPr>
      </w:pPr>
      <w:r>
        <w:t>(7)</w:t>
      </w:r>
      <w:r>
        <w:tab/>
      </w:r>
      <w:r>
        <w:rPr>
          <w:noProof/>
        </w:rPr>
        <w:t>Поради това споразумението следва да бъде подписано от името на Съюза, при условие че бъде сключено на по-късна дата.</w:t>
      </w:r>
    </w:p>
    <w:p>
      <w:pPr>
        <w:pStyle w:val="ManualConsidrant"/>
        <w:rPr>
          <w:noProof/>
        </w:rPr>
      </w:pPr>
      <w:r>
        <w:t>(8)</w:t>
      </w:r>
      <w:r>
        <w:tab/>
      </w:r>
      <w:r>
        <w:rPr>
          <w:noProof/>
        </w:rPr>
        <w:t>За да се даде възможност за участието на Ливан в PRIMA от неговото начало, споразумението следва да се прилага временно,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Подписването на Споразумението за научно и технологично сътрудничество между Европейския съюз и Република Ливан, в което се определят редът и условията за участието на Република Ливан в Партньорството за научни изследвания и иновации в Средиземноморския регион (PRIMA), се одобрява от името на Съюза, при условие че посоченото споразумение бъде сключено на по-късна дата.</w:t>
      </w:r>
    </w:p>
    <w:p>
      <w:pPr>
        <w:rPr>
          <w:noProof/>
        </w:rPr>
      </w:pPr>
      <w:r>
        <w:rPr>
          <w:noProof/>
        </w:rPr>
        <w:t>Текстът на споразумението е приложен към настоящото решение.</w:t>
      </w:r>
    </w:p>
    <w:p>
      <w:pPr>
        <w:pStyle w:val="Titrearticle"/>
        <w:keepNext w:val="0"/>
        <w:rPr>
          <w:noProof/>
        </w:rPr>
      </w:pPr>
      <w:r>
        <w:rPr>
          <w:noProof/>
        </w:rPr>
        <w:t>Член 2</w:t>
      </w:r>
    </w:p>
    <w:p>
      <w:pPr>
        <w:rPr>
          <w:noProof/>
        </w:rPr>
      </w:pPr>
      <w:r>
        <w:rPr>
          <w:noProof/>
        </w:rPr>
        <w:t>Генералният секретариат на Съвета изготвя акта за предоставяне на пълномощия за подписване на споразумението, при условие че то бъде сключено, на лицето или лицата, посочени от преговарящия по споразумението.</w:t>
      </w:r>
    </w:p>
    <w:p>
      <w:pPr>
        <w:pStyle w:val="Titrearticle"/>
        <w:rPr>
          <w:noProof/>
        </w:rPr>
      </w:pPr>
      <w:r>
        <w:rPr>
          <w:noProof/>
        </w:rPr>
        <w:t>Член 3</w:t>
      </w:r>
    </w:p>
    <w:p>
      <w:pPr>
        <w:keepLines/>
        <w:rPr>
          <w:noProof/>
        </w:rPr>
      </w:pPr>
      <w:r>
        <w:rPr>
          <w:noProof/>
        </w:rPr>
        <w:t xml:space="preserve">От деня на подписване до влизането в сила на споразумението то се прилага временно в съответствие с член 4 от него. </w:t>
      </w:r>
    </w:p>
    <w:p>
      <w:pPr>
        <w:pStyle w:val="Titrearticle"/>
        <w:rPr>
          <w:noProof/>
        </w:rPr>
      </w:pPr>
      <w:r>
        <w:rPr>
          <w:noProof/>
        </w:rPr>
        <w:t>Член 4</w:t>
      </w:r>
    </w:p>
    <w:p>
      <w:pPr>
        <w:keepLines/>
        <w:rPr>
          <w:noProof/>
        </w:rPr>
      </w:pPr>
      <w:r>
        <w:rPr>
          <w:noProof/>
        </w:rPr>
        <w:t>Настоящото решение влиза в сила на [датата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решение на Съвета за подписване от името на Съюза и за временно прилагане на Споразумението за научно и технологично сътрудничество между Европейския съюз и Република Ливан, в което се определят редът и условията за участието на Република Ливан в Партньорството за научни изследвания и иновации в Средиземноморския регион (PRIMA).</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7"/>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sz w:val="23"/>
        </w:rPr>
        <w:t>Дял 08 — Научни изследвания и иновации, рамкова програма „Хоризонт 2020“.</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FE"/>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8"/>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Целта на настоящата инициатива е да се даде възможност на Ливан да стане участваща държава в PRIMA, чиято стратегическа цел е изграждането на капацитет за научни изследвания и иновации, развиване на познания и разработване на общи новаторски решения за селскостопанските и продоволствени системи, с цел да станат по-устойчиви, и за интегрирано водоснабдяване и управление на водите в Средиземноморския регион, с цел тези системи и това снабдяване и управление да бъдат направени по-устойчиви спрямо изменението на климата, ефикасни, икономически ефективни и устойчиви в екологичен и социален план, както и да се допринесе за разрешаването на проблеми с недостига на вода, продоволствената сигурност, храненето, здравето, благосъстоянието и миграцията нагоре по веригата.</w:t>
      </w:r>
    </w:p>
    <w:p>
      <w:pPr>
        <w:pStyle w:val="ManualHeading3"/>
        <w:rPr>
          <w:bCs/>
          <w:noProof/>
          <w:szCs w:val="24"/>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С оглед на постигането на своите цели PRIMA ще бъде осъществявано съвместно от редица държави членки и трети държави при прилагане на едни и същи ред и условия. С цел да се гарантира, че Ливан участва в PRIMA на равна основа с държавите членки и с третите държави, асоциирани към „Хоризонт 2020“, е необходимо международно споразумение със Съюза, за да се разшири обхватът на правния режим, установен с Решение (ЕС) 2017/1324 по отношение на Ливан.</w:t>
      </w:r>
    </w:p>
    <w:p>
      <w:pPr>
        <w:pStyle w:val="ManualHeading3"/>
        <w:rPr>
          <w:bCs/>
          <w:noProof/>
          <w:szCs w:val="24"/>
        </w:rPr>
      </w:pPr>
      <w:r>
        <w:rPr>
          <w:noProof/>
        </w:rPr>
        <w:br w:type="page"/>
      </w:r>
      <w:r>
        <w:t>1.4.3.</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Настоящата инициатива ще даде възможност на Ливан да стане участваща държава в PRIMA, като по този начин се ангажира на равна основа с държавите членки и с третите държави, асоциирани към „Хоризонт 2020“. В съответствие с разпоредбите на Решение (ЕС) 2017/1324 ливанските правни субекти ще получат автоматично възможността да кандидатстват за финансиране от ЕС по проекти, финансирани от бюджета на ЕС.</w:t>
      </w:r>
    </w:p>
    <w:p>
      <w:pPr>
        <w:pStyle w:val="ManualHeading3"/>
        <w:rPr>
          <w:bCs/>
          <w:noProof/>
          <w:szCs w:val="24"/>
        </w:rPr>
      </w:pPr>
      <w:r>
        <w:t>1.4.4.</w:t>
      </w:r>
      <w:r>
        <w:tab/>
      </w:r>
      <w:r>
        <w:rPr>
          <w:noProof/>
        </w:rPr>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Целта на настоящата инициатива е да се даде възможност на Ливан да участва в PRIMA. Поради това показателите за резултатите и за отражението на настоящата инициатива са тясно свързани с тези за инициативата PRIMA като цяло, както е посочено в съответното предложение на Комисията</w:t>
      </w:r>
      <w:r>
        <w:rPr>
          <w:rStyle w:val="FootnoteReference"/>
          <w:noProof/>
        </w:rPr>
        <w:footnoteReference w:id="9"/>
      </w:r>
      <w:r>
        <w:rPr>
          <w:noProof/>
        </w:rPr>
        <w:t>.</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по-горе предложение на Комисията за инициативата PRIMA по член 185 от ДФЕС и доклада за оценка на въздействието на PRIMA, придружаващ настоящото предложение на Комисията</w:t>
      </w:r>
      <w:r>
        <w:rPr>
          <w:rStyle w:val="FootnoteReference"/>
          <w:noProof/>
        </w:rPr>
        <w:footnoteReference w:id="10"/>
      </w:r>
      <w:r>
        <w:rPr>
          <w:noProof/>
        </w:rPr>
        <w:t>.</w:t>
      </w: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по-горе предложение на Комисията за инициативата PRIMA по член 185 от ДФЕС.</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Не съществуват прецеденти по отношение на посочената инициатива, тъй като PRIMA е първата по рода си инициатива, при която има участие на трети държави, които не са асоциирани към рамковата програма на ЕС за научни изследвания, на равна основа с държавите членки и поради това за тяхното участие е необходимо сключването на международни споразумения със Съюза.</w:t>
      </w:r>
    </w:p>
    <w:p>
      <w:pPr>
        <w:pStyle w:val="ManualHeading3"/>
        <w:rPr>
          <w:bCs/>
          <w:noProof/>
          <w:szCs w:val="24"/>
        </w:rPr>
      </w:pPr>
      <w:r>
        <w:t>1.5.4.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по-горе предложение на Комисията за инициативата PRIMA по член 185 от ДФЕС.</w:t>
      </w:r>
    </w:p>
    <w:p>
      <w:pPr>
        <w:pStyle w:val="ManualHeading2"/>
        <w:rPr>
          <w:bCs/>
          <w:noProof/>
          <w:szCs w:val="24"/>
        </w:rPr>
      </w:pPr>
      <w:r>
        <w:rPr>
          <w:noProof/>
        </w:rPr>
        <w:br w:type="page"/>
      </w:r>
      <w:r>
        <w:t>1.6.</w:t>
      </w:r>
      <w:r>
        <w:tab/>
      </w:r>
      <w:r>
        <w:rPr>
          <w:noProof/>
        </w:rPr>
        <w:t xml:space="preserve">Срок на действие и финансово отражение </w:t>
      </w:r>
    </w:p>
    <w:p>
      <w:pPr>
        <w:pStyle w:val="Text1"/>
        <w:rPr>
          <w:noProof/>
        </w:rPr>
      </w:pPr>
      <w:r>
        <w:rPr>
          <w:noProof/>
        </w:rPr>
        <w:sym w:font="Wingdings" w:char="F0FE"/>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FE"/>
      </w:r>
      <w:r>
        <w:rPr>
          <w:noProof/>
        </w:rPr>
        <w:tab/>
        <w:t>Предложение/инициатива в сила от датата на временно прилагане на споразумението и докато е в сила Решение (ЕС) 2017/1324 (31.12.2028 г.).</w:t>
      </w:r>
    </w:p>
    <w:p>
      <w:pPr>
        <w:pStyle w:val="ListDash2"/>
        <w:rPr>
          <w:noProof/>
        </w:rPr>
      </w:pPr>
      <w:r>
        <w:rPr>
          <w:noProof/>
        </w:rPr>
        <w:sym w:font="Wingdings" w:char="F0FE"/>
      </w:r>
      <w:r>
        <w:rPr>
          <w:noProof/>
        </w:rPr>
        <w:tab/>
        <w:t>Финансово отражение от датата на временно прилагане на споразумението до 31.12.2020 г. (през този период трябва да бъде изготвена договореност за прилагане на споразумението. След този период не са предвидени други дейности по споразумението).</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Планирани методи на управление</w:t>
      </w:r>
      <w:r>
        <w:rPr>
          <w:rStyle w:val="FootnoteReference"/>
          <w:noProof/>
        </w:rPr>
        <w:footnoteReference w:id="11"/>
      </w:r>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FE"/>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FE"/>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sz w:val="23"/>
        </w:rPr>
        <w:t>Ще бъде създаден нов правен субект, предназначен изключително за изпълнението на PRIMA. Финансовото участие на ЕС в PRIMA ще се предоставя чрез тази структура.</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в предишните части предложение на Комисията за инициативата PRIMA по член 185 от ДФЕС.</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в предишните части предложение на Комисията за инициативата PRIMA по член 185 от ДФЕС.</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в предишните части предложение на Комисията за инициативата PRIMA по член 185 от ДФЕС.</w:t>
      </w:r>
    </w:p>
    <w:p>
      <w:pPr>
        <w:pStyle w:val="ManualHeading3"/>
        <w:rPr>
          <w:noProof/>
        </w:rPr>
      </w:pPr>
      <w:r>
        <w:t>2.2.3.</w:t>
      </w:r>
      <w:r>
        <w:tab/>
      </w:r>
      <w:r>
        <w:rPr>
          <w:noProof/>
        </w:rPr>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в предишните части предложение на Комисията за инициативата PRIMA по член 185 от ДФЕС.</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С цел да се гарантира защитата на финансовите интереси на Съюза, по-специално на правомощията на Комисията, Европейската служба за борба с измамите, Сметната палата и изпълнителната структура на PRIMA (PRIMA-IS) за извършване на одити и разследвания в съответствие с приложимото законодателство на Съюза, в споразумението, което ще бъде сключено между ЕС и Ливан, се прави конкретно позоваване на съответните разпоредби на Решение (ЕС) 2017/1324 и страните се задължават да предоставят цялата необходима помощ, за да се гарантира тяхното прилагане. Освен това в бъдещото споразумение се постановява, че страните трябва да постигнат подробни договорености за оказване на помощ, тъй като те са от основно значение за сътрудничеството им съгласно настоящото споразумение.</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pStyle w:val="Default"/>
              <w:jc w:val="both"/>
              <w:rPr>
                <w:noProof/>
                <w:sz w:val="20"/>
                <w:szCs w:val="20"/>
              </w:rPr>
            </w:pPr>
            <w:r>
              <w:rPr>
                <w:noProof/>
                <w:sz w:val="20"/>
              </w:rPr>
              <w:t xml:space="preserve">Функция 1а — „Конкурентоспособност за растеж и заетост“ </w:t>
            </w:r>
          </w:p>
          <w:p>
            <w:pPr>
              <w:rPr>
                <w:noProof/>
                <w:sz w:val="22"/>
              </w:rPr>
            </w:pPr>
          </w:p>
        </w:tc>
        <w:tc>
          <w:tcPr>
            <w:tcW w:w="1080" w:type="dxa"/>
            <w:vAlign w:val="center"/>
          </w:tcPr>
          <w:p>
            <w:pPr>
              <w:jc w:val="center"/>
              <w:rPr>
                <w:noProof/>
                <w:sz w:val="22"/>
              </w:rPr>
            </w:pPr>
            <w:r>
              <w:rPr>
                <w:noProof/>
                <w:sz w:val="18"/>
              </w:rPr>
              <w:t>Многогод./едногод.</w:t>
            </w:r>
            <w:r>
              <w:rPr>
                <w:rStyle w:val="FootnoteReference"/>
                <w:noProof/>
                <w:sz w:val="18"/>
              </w:rPr>
              <w:footnoteReference w:id="12"/>
            </w:r>
          </w:p>
        </w:tc>
        <w:tc>
          <w:tcPr>
            <w:tcW w:w="956" w:type="dxa"/>
            <w:vAlign w:val="center"/>
          </w:tcPr>
          <w:p>
            <w:pPr>
              <w:jc w:val="center"/>
              <w:rPr>
                <w:noProof/>
                <w:sz w:val="22"/>
              </w:rPr>
            </w:pPr>
            <w:r>
              <w:rPr>
                <w:noProof/>
                <w:sz w:val="18"/>
              </w:rPr>
              <w:t>от държави от ЕАСТ</w:t>
            </w:r>
            <w:r>
              <w:rPr>
                <w:rStyle w:val="FootnoteReference"/>
                <w:noProof/>
                <w:sz w:val="18"/>
              </w:rPr>
              <w:footnoteReference w:id="13"/>
            </w:r>
          </w:p>
          <w:p>
            <w:pPr>
              <w:spacing w:before="0" w:after="0"/>
              <w:jc w:val="center"/>
              <w:rPr>
                <w:b/>
                <w:noProof/>
                <w:sz w:val="18"/>
              </w:rPr>
            </w:pPr>
          </w:p>
        </w:tc>
        <w:tc>
          <w:tcPr>
            <w:tcW w:w="1080" w:type="dxa"/>
            <w:vAlign w:val="center"/>
          </w:tcPr>
          <w:p>
            <w:pPr>
              <w:jc w:val="center"/>
              <w:rPr>
                <w:noProof/>
                <w:sz w:val="22"/>
              </w:rPr>
            </w:pPr>
            <w:r>
              <w:rPr>
                <w:noProof/>
                <w:sz w:val="18"/>
              </w:rPr>
              <w:t>от държави кандидатки</w:t>
            </w:r>
            <w:r>
              <w:rPr>
                <w:rStyle w:val="FootnoteReference"/>
                <w:noProof/>
                <w:sz w:val="18"/>
              </w:rPr>
              <w:footnoteReference w:id="14"/>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r>
              <w:rPr>
                <w:noProof/>
                <w:sz w:val="22"/>
              </w:rPr>
              <w:t>1a</w:t>
            </w:r>
          </w:p>
        </w:tc>
        <w:tc>
          <w:tcPr>
            <w:tcW w:w="3960" w:type="dxa"/>
            <w:vAlign w:val="center"/>
          </w:tcPr>
          <w:p>
            <w:pPr>
              <w:spacing w:before="60"/>
              <w:jc w:val="center"/>
              <w:rPr>
                <w:rFonts w:eastAsia="Calibri"/>
                <w:noProof/>
                <w:sz w:val="22"/>
              </w:rPr>
            </w:pPr>
            <w:r>
              <w:rPr>
                <w:noProof/>
              </w:rPr>
              <w:t>08.01.05</w:t>
            </w:r>
          </w:p>
          <w:p>
            <w:pPr>
              <w:spacing w:after="60"/>
              <w:rPr>
                <w:noProof/>
                <w:sz w:val="22"/>
              </w:rPr>
            </w:pPr>
          </w:p>
        </w:tc>
        <w:tc>
          <w:tcPr>
            <w:tcW w:w="1080" w:type="dxa"/>
            <w:vAlign w:val="center"/>
          </w:tcPr>
          <w:p>
            <w:pPr>
              <w:jc w:val="center"/>
              <w:rPr>
                <w:noProof/>
                <w:color w:val="0000FF"/>
                <w:sz w:val="22"/>
              </w:rPr>
            </w:pPr>
            <w:r>
              <w:rPr>
                <w:noProof/>
                <w:sz w:val="22"/>
              </w:rPr>
              <w:t>Едногод.</w:t>
            </w:r>
          </w:p>
        </w:tc>
        <w:tc>
          <w:tcPr>
            <w:tcW w:w="956" w:type="dxa"/>
            <w:vAlign w:val="center"/>
          </w:tcPr>
          <w:p>
            <w:pPr>
              <w:jc w:val="center"/>
              <w:rPr>
                <w:noProof/>
                <w:sz w:val="22"/>
              </w:rPr>
            </w:pPr>
            <w:r>
              <w:rPr>
                <w:noProof/>
                <w:sz w:val="22"/>
              </w:rPr>
              <w:t>ДА</w:t>
            </w:r>
          </w:p>
        </w:tc>
        <w:tc>
          <w:tcPr>
            <w:tcW w:w="1080" w:type="dxa"/>
            <w:vAlign w:val="center"/>
          </w:tcPr>
          <w:p>
            <w:pPr>
              <w:jc w:val="center"/>
              <w:rPr>
                <w:noProof/>
                <w:sz w:val="22"/>
              </w:rPr>
            </w:pPr>
            <w:r>
              <w:rPr>
                <w:noProof/>
                <w:sz w:val="22"/>
              </w:rPr>
              <w:t>ДА</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noProof/>
        </w:rPr>
        <w:t xml:space="preserve"> </w:t>
      </w:r>
      <w:r>
        <w:rPr>
          <w:i/>
          <w:noProof/>
        </w:rPr>
        <w:t>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Номер</w:t>
            </w:r>
            <w:r>
              <w:rPr>
                <w:noProof/>
                <w:sz w:val="22"/>
              </w:rPr>
              <w:br/>
            </w:r>
            <w:r>
              <w:rPr>
                <w:noProof/>
                <w:sz w:val="20"/>
              </w:rPr>
              <w:t>[Наименование………………………………………]</w:t>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Text1"/>
        <w:rPr>
          <w:noProof/>
        </w:rPr>
      </w:pPr>
      <w:r>
        <w:rPr>
          <w:noProof/>
          <w:highlight w:val="lightGray"/>
        </w:rPr>
        <w:t xml:space="preserve">[Тази част следва да бъде попълнена, като се използва </w:t>
      </w:r>
      <w:hyperlink r:id="rId13">
        <w:r>
          <w:rPr>
            <w:rStyle w:val="Hyperlink"/>
            <w:b/>
            <w:noProof/>
            <w:highlight w:val="lightGray"/>
          </w:rPr>
          <w:t>таблицата за бюджетни данни от административно естество</w:t>
        </w:r>
      </w:hyperlink>
      <w:r>
        <w:rPr>
          <w:noProof/>
          <w:highlight w:val="lightGray"/>
        </w:rPr>
        <w:t xml:space="preserve"> (вторият документ в приложението към настоящата финансова обосновка), която е качена в CISNET за провеждането на вътрешни консултации между службите.]</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 xml:space="preserve">евро </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„Конкурентоспособност за растеж и заетост“</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302"/>
        <w:gridCol w:w="1343"/>
      </w:tblGrid>
      <w:tr>
        <w:tc>
          <w:tcPr>
            <w:tcW w:w="3960" w:type="dxa"/>
            <w:vAlign w:val="center"/>
          </w:tcPr>
          <w:p>
            <w:pPr>
              <w:jc w:val="center"/>
              <w:rPr>
                <w:noProof/>
                <w:sz w:val="22"/>
              </w:rPr>
            </w:pPr>
            <w:r>
              <w:rPr>
                <w:noProof/>
                <w:sz w:val="22"/>
              </w:rPr>
              <w:t>ГД: „Научни изследвания и иновации“</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2018</w:t>
            </w:r>
            <w:r>
              <w:rPr>
                <w:rStyle w:val="FootnoteReference"/>
                <w:b/>
                <w:noProof/>
                <w:sz w:val="20"/>
              </w:rPr>
              <w:footnoteReference w:id="15"/>
            </w: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1302" w:type="dxa"/>
            <w:vAlign w:val="center"/>
          </w:tcPr>
          <w:p>
            <w:pPr>
              <w:jc w:val="center"/>
              <w:rPr>
                <w:noProof/>
                <w:sz w:val="20"/>
              </w:rPr>
            </w:pPr>
            <w:r>
              <w:rPr>
                <w:noProof/>
                <w:sz w:val="20"/>
              </w:rPr>
              <w:t>Година</w:t>
            </w:r>
            <w:r>
              <w:rPr>
                <w:noProof/>
                <w:sz w:val="22"/>
              </w:rPr>
              <w:br/>
            </w:r>
            <w:r>
              <w:rPr>
                <w:b/>
                <w:noProof/>
                <w:sz w:val="20"/>
              </w:rPr>
              <w:t>2021—2029</w:t>
            </w:r>
          </w:p>
        </w:tc>
        <w:tc>
          <w:tcPr>
            <w:tcW w:w="1343"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Бюджетни кредити за оперативни разходи</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302" w:type="dxa"/>
            <w:vAlign w:val="center"/>
          </w:tcPr>
          <w:p>
            <w:pPr>
              <w:rPr>
                <w:noProof/>
                <w:sz w:val="20"/>
              </w:rPr>
            </w:pPr>
          </w:p>
        </w:tc>
        <w:tc>
          <w:tcPr>
            <w:tcW w:w="1343"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343"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343"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343"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343"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6"/>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302" w:type="dxa"/>
            <w:vAlign w:val="center"/>
          </w:tcPr>
          <w:p>
            <w:pPr>
              <w:rPr>
                <w:b/>
                <w:noProof/>
                <w:sz w:val="20"/>
              </w:rPr>
            </w:pPr>
          </w:p>
        </w:tc>
        <w:tc>
          <w:tcPr>
            <w:tcW w:w="1343"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 xml:space="preserve">Номер на бюджетния ред: 08.010501 </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23 000</w:t>
            </w:r>
          </w:p>
        </w:tc>
        <w:tc>
          <w:tcPr>
            <w:tcW w:w="868" w:type="dxa"/>
            <w:vAlign w:val="center"/>
          </w:tcPr>
          <w:p>
            <w:pPr>
              <w:spacing w:before="40" w:after="40"/>
              <w:jc w:val="right"/>
              <w:rPr>
                <w:noProof/>
                <w:sz w:val="20"/>
              </w:rPr>
            </w:pPr>
            <w:r>
              <w:rPr>
                <w:noProof/>
                <w:sz w:val="20"/>
              </w:rPr>
              <w:t>23 000</w:t>
            </w:r>
          </w:p>
        </w:tc>
        <w:tc>
          <w:tcPr>
            <w:tcW w:w="868" w:type="dxa"/>
            <w:vAlign w:val="center"/>
          </w:tcPr>
          <w:p>
            <w:pPr>
              <w:spacing w:before="40" w:after="40"/>
              <w:jc w:val="right"/>
              <w:rPr>
                <w:noProof/>
                <w:sz w:val="20"/>
              </w:rPr>
            </w:pPr>
            <w:r>
              <w:rPr>
                <w:noProof/>
                <w:sz w:val="20"/>
              </w:rPr>
              <w:t>23 000</w:t>
            </w:r>
          </w:p>
        </w:tc>
        <w:tc>
          <w:tcPr>
            <w:tcW w:w="1302" w:type="dxa"/>
            <w:vAlign w:val="center"/>
          </w:tcPr>
          <w:p>
            <w:pPr>
              <w:spacing w:before="40" w:after="40"/>
              <w:jc w:val="right"/>
              <w:rPr>
                <w:noProof/>
                <w:sz w:val="20"/>
              </w:rPr>
            </w:pPr>
          </w:p>
        </w:tc>
        <w:tc>
          <w:tcPr>
            <w:tcW w:w="1343" w:type="dxa"/>
            <w:vAlign w:val="center"/>
          </w:tcPr>
          <w:p>
            <w:pPr>
              <w:spacing w:before="40" w:after="40"/>
              <w:jc w:val="right"/>
              <w:rPr>
                <w:noProof/>
                <w:sz w:val="20"/>
              </w:rPr>
            </w:pPr>
            <w:r>
              <w:rPr>
                <w:noProof/>
                <w:sz w:val="20"/>
              </w:rPr>
              <w:t>69 000</w:t>
            </w:r>
          </w:p>
        </w:tc>
      </w:tr>
      <w:tr>
        <w:tc>
          <w:tcPr>
            <w:tcW w:w="3960" w:type="dxa"/>
            <w:vMerge w:val="restart"/>
            <w:vAlign w:val="center"/>
          </w:tcPr>
          <w:p>
            <w:pPr>
              <w:jc w:val="center"/>
              <w:rPr>
                <w:b/>
                <w:noProof/>
                <w:sz w:val="22"/>
              </w:rPr>
            </w:pPr>
            <w:r>
              <w:rPr>
                <w:b/>
                <w:noProof/>
                <w:sz w:val="22"/>
              </w:rPr>
              <w:t>ОБЩО бюджетни кредити</w:t>
            </w:r>
            <w:r>
              <w:rPr>
                <w:noProof/>
                <w:sz w:val="22"/>
              </w:rPr>
              <w:br/>
            </w:r>
            <w:r>
              <w:rPr>
                <w:b/>
                <w:noProof/>
                <w:sz w:val="22"/>
              </w:rPr>
              <w:t>за ГД „Научни изследвания и иновации“</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=1+1a+3</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r>
              <w:rPr>
                <w:b/>
                <w:noProof/>
                <w:sz w:val="20"/>
              </w:rPr>
              <w:t>23 000</w:t>
            </w:r>
          </w:p>
        </w:tc>
        <w:tc>
          <w:tcPr>
            <w:tcW w:w="1302" w:type="dxa"/>
            <w:vAlign w:val="center"/>
          </w:tcPr>
          <w:p>
            <w:pPr>
              <w:spacing w:before="20" w:after="20"/>
              <w:jc w:val="right"/>
              <w:rPr>
                <w:noProof/>
                <w:sz w:val="20"/>
              </w:rPr>
            </w:pPr>
          </w:p>
        </w:tc>
        <w:tc>
          <w:tcPr>
            <w:tcW w:w="1343" w:type="dxa"/>
            <w:vAlign w:val="center"/>
          </w:tcPr>
          <w:p>
            <w:pPr>
              <w:spacing w:before="20" w:after="20"/>
              <w:jc w:val="right"/>
              <w:rPr>
                <w:b/>
                <w:noProof/>
                <w:sz w:val="20"/>
              </w:rPr>
            </w:pPr>
            <w:r>
              <w:rPr>
                <w:b/>
                <w:noProof/>
                <w:sz w:val="20"/>
              </w:rPr>
              <w:t>69 000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r>
              <w:rPr>
                <w:b/>
                <w:noProof/>
                <w:sz w:val="20"/>
              </w:rPr>
              <w:t>23 000</w:t>
            </w:r>
          </w:p>
        </w:tc>
        <w:tc>
          <w:tcPr>
            <w:tcW w:w="1302" w:type="dxa"/>
            <w:vAlign w:val="center"/>
          </w:tcPr>
          <w:p>
            <w:pPr>
              <w:spacing w:before="20" w:after="20"/>
              <w:jc w:val="right"/>
              <w:rPr>
                <w:noProof/>
                <w:sz w:val="20"/>
              </w:rPr>
            </w:pPr>
          </w:p>
        </w:tc>
        <w:tc>
          <w:tcPr>
            <w:tcW w:w="1343" w:type="dxa"/>
            <w:vAlign w:val="center"/>
          </w:tcPr>
          <w:p>
            <w:pPr>
              <w:spacing w:before="20" w:after="20"/>
              <w:jc w:val="right"/>
              <w:rPr>
                <w:b/>
                <w:noProof/>
                <w:sz w:val="20"/>
              </w:rPr>
            </w:pPr>
            <w:r>
              <w:rPr>
                <w:b/>
                <w:noProof/>
                <w:sz w:val="20"/>
              </w:rPr>
              <w:t>69 000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r>
              <w:rPr>
                <w:b/>
                <w:noProof/>
                <w:sz w:val="20"/>
              </w:rPr>
              <w:t>23 000</w:t>
            </w:r>
          </w:p>
        </w:tc>
        <w:tc>
          <w:tcPr>
            <w:tcW w:w="868" w:type="dxa"/>
            <w:vAlign w:val="center"/>
          </w:tcPr>
          <w:p>
            <w:pPr>
              <w:spacing w:before="20" w:after="20"/>
              <w:jc w:val="right"/>
              <w:rPr>
                <w:b/>
                <w:noProof/>
                <w:sz w:val="20"/>
              </w:rPr>
            </w:pPr>
            <w:r>
              <w:rPr>
                <w:b/>
                <w:noProof/>
                <w:sz w:val="20"/>
              </w:rPr>
              <w:t>23 000</w:t>
            </w:r>
          </w:p>
        </w:tc>
        <w:tc>
          <w:tcPr>
            <w:tcW w:w="868" w:type="dxa"/>
            <w:vAlign w:val="center"/>
          </w:tcPr>
          <w:p>
            <w:pPr>
              <w:spacing w:before="20" w:after="20"/>
              <w:jc w:val="right"/>
              <w:rPr>
                <w:b/>
                <w:noProof/>
                <w:sz w:val="20"/>
              </w:rPr>
            </w:pPr>
            <w:r>
              <w:rPr>
                <w:b/>
                <w:noProof/>
                <w:sz w:val="20"/>
              </w:rPr>
              <w:t>23 000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69 000</w:t>
            </w:r>
          </w:p>
        </w:tc>
      </w:tr>
      <w:tr>
        <w:tc>
          <w:tcPr>
            <w:tcW w:w="3960" w:type="dxa"/>
            <w:vMerge w:val="restart"/>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&lt;1а&gt;</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69 000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=5+6</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r>
              <w:rPr>
                <w:b/>
                <w:noProof/>
                <w:sz w:val="20"/>
              </w:rPr>
              <w:t>23 000</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69 000</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ОБЩО бюджетни кредити за оперативни разходи</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 xml:space="preserve">евро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182"/>
        <w:gridCol w:w="1463"/>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2018</w:t>
            </w:r>
            <w:r>
              <w:rPr>
                <w:rStyle w:val="FootnoteReference"/>
                <w:noProof/>
              </w:rPr>
              <w:footnoteReference w:id="17"/>
            </w: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1182" w:type="dxa"/>
            <w:vAlign w:val="center"/>
          </w:tcPr>
          <w:p>
            <w:pPr>
              <w:jc w:val="center"/>
              <w:rPr>
                <w:noProof/>
                <w:sz w:val="20"/>
              </w:rPr>
            </w:pPr>
            <w:r>
              <w:rPr>
                <w:noProof/>
                <w:sz w:val="20"/>
              </w:rPr>
              <w:t>Година</w:t>
            </w:r>
            <w:r>
              <w:rPr>
                <w:noProof/>
                <w:sz w:val="22"/>
              </w:rPr>
              <w:br/>
            </w:r>
            <w:r>
              <w:rPr>
                <w:b/>
                <w:noProof/>
                <w:sz w:val="20"/>
              </w:rPr>
              <w:t>2021—2029</w:t>
            </w:r>
          </w:p>
        </w:tc>
        <w:tc>
          <w:tcPr>
            <w:tcW w:w="1463" w:type="dxa"/>
            <w:vAlign w:val="center"/>
          </w:tcPr>
          <w:p>
            <w:pPr>
              <w:jc w:val="center"/>
              <w:rPr>
                <w:b/>
                <w:noProof/>
                <w:sz w:val="20"/>
              </w:rPr>
            </w:pPr>
            <w:r>
              <w:rPr>
                <w:b/>
                <w:noProof/>
                <w:sz w:val="20"/>
              </w:rPr>
              <w:t>ОБЩО</w:t>
            </w:r>
          </w:p>
        </w:tc>
      </w:tr>
      <w:tr>
        <w:trPr>
          <w:gridAfter w:val="7"/>
          <w:wAfter w:w="7343" w:type="dxa"/>
        </w:trPr>
        <w:tc>
          <w:tcPr>
            <w:tcW w:w="3960" w:type="dxa"/>
            <w:vAlign w:val="center"/>
          </w:tcPr>
          <w:p>
            <w:pPr>
              <w:spacing w:before="60" w:after="60"/>
              <w:jc w:val="center"/>
              <w:rPr>
                <w:noProof/>
                <w:sz w:val="22"/>
              </w:rPr>
            </w:pPr>
            <w:r>
              <w:rPr>
                <w:noProof/>
                <w:sz w:val="22"/>
              </w:rPr>
              <w:t>ГД: „Научни изследвания и иновации“</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82" w:type="dxa"/>
            <w:vAlign w:val="center"/>
          </w:tcPr>
          <w:p>
            <w:pPr>
              <w:spacing w:before="20" w:after="20"/>
              <w:jc w:val="right"/>
              <w:rPr>
                <w:noProof/>
                <w:sz w:val="20"/>
              </w:rPr>
            </w:pPr>
          </w:p>
        </w:tc>
        <w:tc>
          <w:tcPr>
            <w:tcW w:w="1463"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Други административни разходи</w:t>
            </w:r>
          </w:p>
        </w:tc>
        <w:tc>
          <w:tcPr>
            <w:tcW w:w="868" w:type="dxa"/>
            <w:vAlign w:val="center"/>
          </w:tcPr>
          <w:p>
            <w:pPr>
              <w:spacing w:before="20" w:after="20"/>
              <w:jc w:val="right"/>
              <w:rPr>
                <w:noProof/>
                <w:sz w:val="20"/>
              </w:rPr>
            </w:pPr>
            <w:r>
              <w:rPr>
                <w:noProof/>
                <w:sz w:val="20"/>
              </w:rPr>
              <w:t>4600</w:t>
            </w:r>
          </w:p>
        </w:tc>
        <w:tc>
          <w:tcPr>
            <w:tcW w:w="868" w:type="dxa"/>
            <w:vAlign w:val="center"/>
          </w:tcPr>
          <w:p>
            <w:pPr>
              <w:spacing w:before="20" w:after="20"/>
              <w:jc w:val="right"/>
              <w:rPr>
                <w:noProof/>
                <w:sz w:val="20"/>
              </w:rPr>
            </w:pPr>
            <w:r>
              <w:rPr>
                <w:noProof/>
                <w:sz w:val="20"/>
              </w:rPr>
              <w:t>4600</w:t>
            </w:r>
          </w:p>
        </w:tc>
        <w:tc>
          <w:tcPr>
            <w:tcW w:w="868" w:type="dxa"/>
            <w:vAlign w:val="center"/>
          </w:tcPr>
          <w:p>
            <w:pPr>
              <w:spacing w:before="20" w:after="20"/>
              <w:jc w:val="right"/>
              <w:rPr>
                <w:noProof/>
                <w:sz w:val="20"/>
              </w:rPr>
            </w:pPr>
            <w:r>
              <w:rPr>
                <w:noProof/>
                <w:sz w:val="20"/>
              </w:rPr>
              <w:t>4600</w:t>
            </w:r>
          </w:p>
        </w:tc>
        <w:tc>
          <w:tcPr>
            <w:tcW w:w="1182" w:type="dxa"/>
            <w:vAlign w:val="center"/>
          </w:tcPr>
          <w:p>
            <w:pPr>
              <w:spacing w:before="20" w:after="20"/>
              <w:jc w:val="right"/>
              <w:rPr>
                <w:noProof/>
                <w:sz w:val="20"/>
              </w:rPr>
            </w:pPr>
          </w:p>
        </w:tc>
        <w:tc>
          <w:tcPr>
            <w:tcW w:w="1463" w:type="dxa"/>
            <w:vAlign w:val="center"/>
          </w:tcPr>
          <w:p>
            <w:pPr>
              <w:spacing w:before="20" w:after="20"/>
              <w:jc w:val="right"/>
              <w:rPr>
                <w:noProof/>
                <w:sz w:val="20"/>
              </w:rPr>
            </w:pPr>
            <w:r>
              <w:rPr>
                <w:noProof/>
                <w:sz w:val="20"/>
              </w:rPr>
              <w:t>13 800</w:t>
            </w:r>
          </w:p>
        </w:tc>
      </w:tr>
      <w:tr>
        <w:tc>
          <w:tcPr>
            <w:tcW w:w="3960" w:type="dxa"/>
            <w:vAlign w:val="center"/>
          </w:tcPr>
          <w:p>
            <w:pPr>
              <w:jc w:val="center"/>
              <w:rPr>
                <w:b/>
                <w:noProof/>
                <w:sz w:val="22"/>
              </w:rPr>
            </w:pPr>
            <w:r>
              <w:rPr>
                <w:b/>
                <w:noProof/>
                <w:sz w:val="22"/>
              </w:rPr>
              <w:t xml:space="preserve">ОБЩО ГД </w:t>
            </w:r>
            <w:r>
              <w:rPr>
                <w:noProof/>
                <w:sz w:val="22"/>
              </w:rPr>
              <w:t>„Научни изследвания и иновации“</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b/>
                <w:noProof/>
                <w:sz w:val="20"/>
              </w:rPr>
            </w:pPr>
            <w:r>
              <w:rPr>
                <w:b/>
                <w:noProof/>
                <w:sz w:val="20"/>
              </w:rPr>
              <w:t>4600</w:t>
            </w:r>
          </w:p>
        </w:tc>
        <w:tc>
          <w:tcPr>
            <w:tcW w:w="868" w:type="dxa"/>
            <w:vAlign w:val="center"/>
          </w:tcPr>
          <w:p>
            <w:pPr>
              <w:spacing w:before="20" w:after="20"/>
              <w:jc w:val="right"/>
              <w:rPr>
                <w:b/>
                <w:noProof/>
                <w:sz w:val="20"/>
              </w:rPr>
            </w:pPr>
            <w:r>
              <w:rPr>
                <w:b/>
                <w:noProof/>
                <w:sz w:val="20"/>
              </w:rPr>
              <w:t>4600</w:t>
            </w:r>
          </w:p>
        </w:tc>
        <w:tc>
          <w:tcPr>
            <w:tcW w:w="868" w:type="dxa"/>
            <w:vAlign w:val="center"/>
          </w:tcPr>
          <w:p>
            <w:pPr>
              <w:spacing w:before="20" w:after="20"/>
              <w:jc w:val="right"/>
              <w:rPr>
                <w:b/>
                <w:noProof/>
                <w:sz w:val="20"/>
              </w:rPr>
            </w:pPr>
            <w:r>
              <w:rPr>
                <w:b/>
                <w:noProof/>
                <w:sz w:val="20"/>
              </w:rPr>
              <w:t>4600</w:t>
            </w:r>
          </w:p>
        </w:tc>
        <w:tc>
          <w:tcPr>
            <w:tcW w:w="1182" w:type="dxa"/>
            <w:vAlign w:val="center"/>
          </w:tcPr>
          <w:p>
            <w:pPr>
              <w:spacing w:before="20" w:after="20"/>
              <w:jc w:val="right"/>
              <w:rPr>
                <w:noProof/>
                <w:sz w:val="20"/>
              </w:rPr>
            </w:pPr>
          </w:p>
        </w:tc>
        <w:tc>
          <w:tcPr>
            <w:tcW w:w="1463" w:type="dxa"/>
            <w:vAlign w:val="center"/>
          </w:tcPr>
          <w:p>
            <w:pPr>
              <w:spacing w:before="20" w:after="20"/>
              <w:jc w:val="right"/>
              <w:rPr>
                <w:b/>
                <w:noProof/>
                <w:sz w:val="20"/>
              </w:rPr>
            </w:pPr>
            <w:r>
              <w:rPr>
                <w:b/>
                <w:noProof/>
                <w:sz w:val="20"/>
              </w:rPr>
              <w:t>13 800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182"/>
        <w:gridCol w:w="1463"/>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jc w:val="right"/>
              <w:rPr>
                <w:b/>
                <w:noProof/>
                <w:sz w:val="20"/>
              </w:rPr>
            </w:pPr>
            <w:r>
              <w:rPr>
                <w:b/>
                <w:noProof/>
                <w:sz w:val="20"/>
              </w:rPr>
              <w:t>4600</w:t>
            </w:r>
          </w:p>
        </w:tc>
        <w:tc>
          <w:tcPr>
            <w:tcW w:w="868" w:type="dxa"/>
            <w:vAlign w:val="center"/>
          </w:tcPr>
          <w:p>
            <w:pPr>
              <w:spacing w:before="20" w:after="20"/>
              <w:jc w:val="right"/>
              <w:rPr>
                <w:b/>
                <w:noProof/>
                <w:sz w:val="20"/>
              </w:rPr>
            </w:pPr>
            <w:r>
              <w:rPr>
                <w:b/>
                <w:noProof/>
                <w:sz w:val="20"/>
              </w:rPr>
              <w:t>4600</w:t>
            </w:r>
          </w:p>
        </w:tc>
        <w:tc>
          <w:tcPr>
            <w:tcW w:w="868" w:type="dxa"/>
            <w:vAlign w:val="center"/>
          </w:tcPr>
          <w:p>
            <w:pPr>
              <w:spacing w:before="20" w:after="20"/>
              <w:jc w:val="right"/>
              <w:rPr>
                <w:b/>
                <w:noProof/>
                <w:sz w:val="20"/>
              </w:rPr>
            </w:pPr>
            <w:r>
              <w:rPr>
                <w:b/>
                <w:noProof/>
                <w:sz w:val="20"/>
              </w:rPr>
              <w:t>4600</w:t>
            </w:r>
          </w:p>
        </w:tc>
        <w:tc>
          <w:tcPr>
            <w:tcW w:w="1182" w:type="dxa"/>
            <w:vAlign w:val="center"/>
          </w:tcPr>
          <w:p>
            <w:pPr>
              <w:spacing w:before="20" w:after="20"/>
              <w:jc w:val="right"/>
              <w:rPr>
                <w:noProof/>
                <w:sz w:val="20"/>
              </w:rPr>
            </w:pPr>
          </w:p>
        </w:tc>
        <w:tc>
          <w:tcPr>
            <w:tcW w:w="1463" w:type="dxa"/>
            <w:vAlign w:val="center"/>
          </w:tcPr>
          <w:p>
            <w:pPr>
              <w:spacing w:before="20" w:after="20"/>
              <w:jc w:val="right"/>
              <w:rPr>
                <w:b/>
                <w:noProof/>
                <w:sz w:val="20"/>
              </w:rPr>
            </w:pPr>
            <w:r>
              <w:rPr>
                <w:b/>
                <w:noProof/>
                <w:sz w:val="20"/>
              </w:rPr>
              <w:t>13 800</w:t>
            </w:r>
          </w:p>
        </w:tc>
      </w:tr>
    </w:tbl>
    <w:p>
      <w:pPr>
        <w:jc w:val="right"/>
        <w:rPr>
          <w:noProof/>
          <w:sz w:val="20"/>
        </w:rPr>
      </w:pPr>
      <w:r>
        <w:rPr>
          <w:noProof/>
          <w:sz w:val="20"/>
        </w:rPr>
        <w:t xml:space="preserve">евро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182"/>
        <w:gridCol w:w="1463"/>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2018</w:t>
            </w:r>
            <w:r>
              <w:rPr>
                <w:rStyle w:val="FootnoteReference"/>
                <w:b/>
                <w:noProof/>
                <w:sz w:val="20"/>
              </w:rPr>
              <w:footnoteReference w:id="18"/>
            </w: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1182" w:type="dxa"/>
            <w:vAlign w:val="center"/>
          </w:tcPr>
          <w:p>
            <w:pPr>
              <w:jc w:val="center"/>
              <w:rPr>
                <w:noProof/>
                <w:sz w:val="20"/>
              </w:rPr>
            </w:pPr>
            <w:r>
              <w:rPr>
                <w:noProof/>
                <w:sz w:val="20"/>
              </w:rPr>
              <w:t>Година</w:t>
            </w:r>
            <w:r>
              <w:rPr>
                <w:noProof/>
                <w:sz w:val="22"/>
              </w:rPr>
              <w:br/>
            </w:r>
            <w:r>
              <w:rPr>
                <w:b/>
                <w:noProof/>
                <w:sz w:val="20"/>
              </w:rPr>
              <w:t>2021—2029</w:t>
            </w:r>
          </w:p>
        </w:tc>
        <w:tc>
          <w:tcPr>
            <w:tcW w:w="1463"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b/>
                <w:noProof/>
                <w:sz w:val="20"/>
              </w:rPr>
            </w:pPr>
            <w:r>
              <w:rPr>
                <w:b/>
                <w:noProof/>
                <w:sz w:val="20"/>
              </w:rPr>
              <w:t>27 600</w:t>
            </w:r>
          </w:p>
        </w:tc>
        <w:tc>
          <w:tcPr>
            <w:tcW w:w="868" w:type="dxa"/>
            <w:vAlign w:val="center"/>
          </w:tcPr>
          <w:p>
            <w:pPr>
              <w:spacing w:before="60" w:after="60"/>
              <w:jc w:val="right"/>
              <w:rPr>
                <w:b/>
                <w:noProof/>
                <w:sz w:val="20"/>
              </w:rPr>
            </w:pPr>
            <w:r>
              <w:rPr>
                <w:b/>
                <w:noProof/>
                <w:sz w:val="20"/>
              </w:rPr>
              <w:t>27 600</w:t>
            </w:r>
          </w:p>
        </w:tc>
        <w:tc>
          <w:tcPr>
            <w:tcW w:w="868" w:type="dxa"/>
            <w:vAlign w:val="center"/>
          </w:tcPr>
          <w:p>
            <w:pPr>
              <w:spacing w:before="60" w:after="60"/>
              <w:jc w:val="right"/>
              <w:rPr>
                <w:b/>
                <w:noProof/>
                <w:sz w:val="20"/>
              </w:rPr>
            </w:pPr>
            <w:r>
              <w:rPr>
                <w:b/>
                <w:noProof/>
                <w:sz w:val="20"/>
              </w:rPr>
              <w:t>27 600</w:t>
            </w:r>
          </w:p>
        </w:tc>
        <w:tc>
          <w:tcPr>
            <w:tcW w:w="1182" w:type="dxa"/>
            <w:vAlign w:val="center"/>
          </w:tcPr>
          <w:p>
            <w:pPr>
              <w:spacing w:before="60" w:after="60"/>
              <w:jc w:val="right"/>
              <w:rPr>
                <w:noProof/>
                <w:sz w:val="20"/>
              </w:rPr>
            </w:pPr>
          </w:p>
        </w:tc>
        <w:tc>
          <w:tcPr>
            <w:tcW w:w="1463" w:type="dxa"/>
            <w:vAlign w:val="center"/>
          </w:tcPr>
          <w:p>
            <w:pPr>
              <w:spacing w:before="60" w:after="60"/>
              <w:jc w:val="right"/>
              <w:rPr>
                <w:b/>
                <w:noProof/>
                <w:sz w:val="20"/>
              </w:rPr>
            </w:pPr>
            <w:r>
              <w:rPr>
                <w:b/>
                <w:noProof/>
                <w:sz w:val="20"/>
              </w:rPr>
              <w:t>82 800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b/>
                <w:noProof/>
                <w:sz w:val="20"/>
              </w:rPr>
            </w:pPr>
            <w:r>
              <w:rPr>
                <w:b/>
                <w:noProof/>
                <w:sz w:val="20"/>
              </w:rPr>
              <w:t>27 600</w:t>
            </w:r>
          </w:p>
        </w:tc>
        <w:tc>
          <w:tcPr>
            <w:tcW w:w="868" w:type="dxa"/>
            <w:vAlign w:val="center"/>
          </w:tcPr>
          <w:p>
            <w:pPr>
              <w:spacing w:before="60" w:after="60"/>
              <w:jc w:val="right"/>
              <w:rPr>
                <w:b/>
                <w:noProof/>
                <w:sz w:val="20"/>
              </w:rPr>
            </w:pPr>
            <w:r>
              <w:rPr>
                <w:b/>
                <w:noProof/>
                <w:sz w:val="20"/>
              </w:rPr>
              <w:t>27 600</w:t>
            </w:r>
          </w:p>
        </w:tc>
        <w:tc>
          <w:tcPr>
            <w:tcW w:w="868" w:type="dxa"/>
            <w:vAlign w:val="center"/>
          </w:tcPr>
          <w:p>
            <w:pPr>
              <w:spacing w:before="60" w:after="60"/>
              <w:jc w:val="right"/>
              <w:rPr>
                <w:b/>
                <w:noProof/>
                <w:sz w:val="20"/>
              </w:rPr>
            </w:pPr>
            <w:r>
              <w:rPr>
                <w:b/>
                <w:noProof/>
                <w:sz w:val="20"/>
              </w:rPr>
              <w:t>27 600</w:t>
            </w:r>
          </w:p>
        </w:tc>
        <w:tc>
          <w:tcPr>
            <w:tcW w:w="1182" w:type="dxa"/>
            <w:vAlign w:val="center"/>
          </w:tcPr>
          <w:p>
            <w:pPr>
              <w:spacing w:before="60" w:after="60"/>
              <w:jc w:val="right"/>
              <w:rPr>
                <w:noProof/>
                <w:sz w:val="20"/>
              </w:rPr>
            </w:pPr>
          </w:p>
        </w:tc>
        <w:tc>
          <w:tcPr>
            <w:tcW w:w="1463" w:type="dxa"/>
            <w:vAlign w:val="center"/>
          </w:tcPr>
          <w:p>
            <w:pPr>
              <w:spacing w:before="60" w:after="60"/>
              <w:jc w:val="right"/>
              <w:rPr>
                <w:b/>
                <w:noProof/>
                <w:sz w:val="20"/>
              </w:rPr>
            </w:pPr>
            <w:r>
              <w:rPr>
                <w:b/>
                <w:noProof/>
                <w:sz w:val="20"/>
              </w:rPr>
              <w:t>82 800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FE"/>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 xml:space="preserve">Бюджетни кредити за поети задължения в евро </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Година</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Година</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Година</w:t>
            </w:r>
            <w:r>
              <w:rPr>
                <w:noProof/>
                <w:sz w:val="22"/>
              </w:rPr>
              <w:br/>
            </w:r>
            <w:r>
              <w:rPr>
                <w:b/>
                <w:noProof/>
                <w:sz w:val="18"/>
              </w:rPr>
              <w:t>N+3</w:t>
            </w: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19"/>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20"/>
            </w:r>
            <w:r>
              <w:rPr>
                <w:noProof/>
                <w:sz w:val="18"/>
              </w:rPr>
              <w:t xml:space="preserve">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 xml:space="preserve">евро </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2018</w:t>
            </w:r>
            <w:r>
              <w:rPr>
                <w:rStyle w:val="FootnoteReference"/>
                <w:b/>
                <w:noProof/>
                <w:sz w:val="16"/>
              </w:rPr>
              <w:footnoteReference w:id="21"/>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2019</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2021—2029</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20"/>
              </w:rPr>
              <w:t>4600</w:t>
            </w:r>
          </w:p>
        </w:tc>
        <w:tc>
          <w:tcPr>
            <w:tcW w:w="1080" w:type="dxa"/>
            <w:vAlign w:val="center"/>
          </w:tcPr>
          <w:p>
            <w:pPr>
              <w:spacing w:before="60" w:after="60" w:line="200" w:lineRule="exact"/>
              <w:jc w:val="right"/>
              <w:rPr>
                <w:noProof/>
                <w:sz w:val="16"/>
                <w:szCs w:val="16"/>
              </w:rPr>
            </w:pPr>
            <w:r>
              <w:rPr>
                <w:noProof/>
                <w:sz w:val="20"/>
              </w:rPr>
              <w:t>4600</w:t>
            </w:r>
          </w:p>
        </w:tc>
        <w:tc>
          <w:tcPr>
            <w:tcW w:w="1080" w:type="dxa"/>
            <w:vAlign w:val="center"/>
          </w:tcPr>
          <w:p>
            <w:pPr>
              <w:spacing w:before="60" w:after="60" w:line="200" w:lineRule="exact"/>
              <w:jc w:val="right"/>
              <w:rPr>
                <w:noProof/>
                <w:sz w:val="16"/>
                <w:szCs w:val="16"/>
              </w:rPr>
            </w:pPr>
            <w:r>
              <w:rPr>
                <w:noProof/>
                <w:sz w:val="20"/>
              </w:rPr>
              <w:t>4600</w:t>
            </w:r>
          </w:p>
        </w:tc>
        <w:tc>
          <w:tcPr>
            <w:tcW w:w="1080" w:type="dxa"/>
            <w:vAlign w:val="center"/>
          </w:tcPr>
          <w:p>
            <w:pPr>
              <w:spacing w:before="60" w:after="60" w:line="200" w:lineRule="exact"/>
              <w:jc w:val="right"/>
              <w:rPr>
                <w:noProof/>
                <w:sz w:val="16"/>
                <w:szCs w:val="16"/>
              </w:rPr>
            </w:pPr>
            <w:r>
              <w:rPr>
                <w:noProof/>
                <w:sz w:val="20"/>
              </w:rPr>
              <w:t>4600</w:t>
            </w:r>
          </w:p>
        </w:tc>
        <w:tc>
          <w:tcPr>
            <w:tcW w:w="1080" w:type="dxa"/>
            <w:vAlign w:val="center"/>
          </w:tcPr>
          <w:p>
            <w:pPr>
              <w:spacing w:before="60" w:after="60" w:line="200" w:lineRule="exact"/>
              <w:jc w:val="right"/>
              <w:rPr>
                <w:noProof/>
                <w:sz w:val="16"/>
                <w:szCs w:val="16"/>
              </w:rPr>
            </w:pPr>
            <w:r>
              <w:rPr>
                <w:noProof/>
                <w:sz w:val="20"/>
              </w:rPr>
              <w:t>13 800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b/>
                <w:noProof/>
                <w:sz w:val="20"/>
              </w:rPr>
              <w:t>4600</w:t>
            </w:r>
          </w:p>
        </w:tc>
        <w:tc>
          <w:tcPr>
            <w:tcW w:w="1080" w:type="dxa"/>
            <w:vAlign w:val="center"/>
          </w:tcPr>
          <w:p>
            <w:pPr>
              <w:spacing w:before="60" w:after="60" w:line="200" w:lineRule="exact"/>
              <w:jc w:val="right"/>
              <w:rPr>
                <w:noProof/>
                <w:sz w:val="16"/>
                <w:szCs w:val="16"/>
              </w:rPr>
            </w:pPr>
            <w:r>
              <w:rPr>
                <w:b/>
                <w:noProof/>
                <w:sz w:val="20"/>
              </w:rPr>
              <w:t>4600</w:t>
            </w:r>
          </w:p>
        </w:tc>
        <w:tc>
          <w:tcPr>
            <w:tcW w:w="1080" w:type="dxa"/>
            <w:vAlign w:val="center"/>
          </w:tcPr>
          <w:p>
            <w:pPr>
              <w:spacing w:before="60" w:after="60" w:line="200" w:lineRule="exact"/>
              <w:jc w:val="right"/>
              <w:rPr>
                <w:noProof/>
                <w:sz w:val="16"/>
                <w:szCs w:val="16"/>
              </w:rPr>
            </w:pPr>
            <w:r>
              <w:rPr>
                <w:b/>
                <w:noProof/>
                <w:sz w:val="20"/>
              </w:rPr>
              <w:t>4600</w:t>
            </w:r>
          </w:p>
        </w:tc>
        <w:tc>
          <w:tcPr>
            <w:tcW w:w="1080" w:type="dxa"/>
            <w:vAlign w:val="center"/>
          </w:tcPr>
          <w:p>
            <w:pPr>
              <w:spacing w:before="60" w:after="60" w:line="200" w:lineRule="exact"/>
              <w:jc w:val="right"/>
              <w:rPr>
                <w:noProof/>
                <w:sz w:val="16"/>
                <w:szCs w:val="16"/>
              </w:rPr>
            </w:pPr>
            <w:r>
              <w:rPr>
                <w:b/>
                <w:noProof/>
                <w:sz w:val="20"/>
              </w:rPr>
              <w:t>4600</w:t>
            </w:r>
          </w:p>
        </w:tc>
        <w:tc>
          <w:tcPr>
            <w:tcW w:w="1080" w:type="dxa"/>
            <w:vAlign w:val="center"/>
          </w:tcPr>
          <w:p>
            <w:pPr>
              <w:spacing w:before="60" w:after="60" w:line="200" w:lineRule="exact"/>
              <w:jc w:val="right"/>
              <w:rPr>
                <w:noProof/>
                <w:sz w:val="16"/>
                <w:szCs w:val="16"/>
              </w:rPr>
            </w:pPr>
            <w:r>
              <w:rPr>
                <w:b/>
                <w:noProof/>
                <w:sz w:val="20"/>
              </w:rPr>
              <w:t>13 800</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22"/>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20"/>
              </w:rPr>
              <w:t>23 000</w:t>
            </w:r>
          </w:p>
        </w:tc>
        <w:tc>
          <w:tcPr>
            <w:tcW w:w="1080" w:type="dxa"/>
            <w:vAlign w:val="center"/>
          </w:tcPr>
          <w:p>
            <w:pPr>
              <w:spacing w:before="60" w:after="60" w:line="200" w:lineRule="exact"/>
              <w:jc w:val="right"/>
              <w:rPr>
                <w:noProof/>
                <w:sz w:val="16"/>
                <w:szCs w:val="16"/>
              </w:rPr>
            </w:pPr>
            <w:r>
              <w:rPr>
                <w:noProof/>
                <w:sz w:val="20"/>
              </w:rPr>
              <w:t>23 000</w:t>
            </w:r>
          </w:p>
        </w:tc>
        <w:tc>
          <w:tcPr>
            <w:tcW w:w="1080" w:type="dxa"/>
            <w:vAlign w:val="center"/>
          </w:tcPr>
          <w:p>
            <w:pPr>
              <w:spacing w:before="60" w:after="60" w:line="200" w:lineRule="exact"/>
              <w:jc w:val="right"/>
              <w:rPr>
                <w:noProof/>
                <w:sz w:val="16"/>
                <w:szCs w:val="16"/>
              </w:rPr>
            </w:pPr>
            <w:r>
              <w:rPr>
                <w:noProof/>
                <w:sz w:val="20"/>
              </w:rPr>
              <w:t>23 000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69 000</w:t>
            </w: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b/>
                <w:noProof/>
                <w:sz w:val="20"/>
              </w:rPr>
              <w:t>23 000</w:t>
            </w:r>
          </w:p>
        </w:tc>
        <w:tc>
          <w:tcPr>
            <w:tcW w:w="1080" w:type="dxa"/>
            <w:vAlign w:val="center"/>
          </w:tcPr>
          <w:p>
            <w:pPr>
              <w:spacing w:before="60" w:after="60" w:line="200" w:lineRule="exact"/>
              <w:jc w:val="right"/>
              <w:rPr>
                <w:noProof/>
                <w:sz w:val="16"/>
                <w:szCs w:val="16"/>
              </w:rPr>
            </w:pPr>
            <w:r>
              <w:rPr>
                <w:b/>
                <w:noProof/>
                <w:sz w:val="20"/>
              </w:rPr>
              <w:t>23 000</w:t>
            </w:r>
          </w:p>
        </w:tc>
        <w:tc>
          <w:tcPr>
            <w:tcW w:w="1080" w:type="dxa"/>
            <w:vAlign w:val="center"/>
          </w:tcPr>
          <w:p>
            <w:pPr>
              <w:spacing w:before="60" w:after="60" w:line="200" w:lineRule="exact"/>
              <w:jc w:val="right"/>
              <w:rPr>
                <w:noProof/>
                <w:sz w:val="16"/>
                <w:szCs w:val="16"/>
              </w:rPr>
            </w:pPr>
            <w:r>
              <w:rPr>
                <w:b/>
                <w:noProof/>
                <w:sz w:val="20"/>
              </w:rPr>
              <w:t>23 000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69 000</w:t>
            </w:r>
          </w:p>
        </w:tc>
      </w:tr>
    </w:tbl>
    <w:p>
      <w:pPr>
        <w:spacing w:line="200" w:lineRule="exact"/>
        <w:rPr>
          <w:noProof/>
          <w:sz w:val="16"/>
          <w:szCs w:val="16"/>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20"/>
                <w:szCs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sz w:val="20"/>
              </w:rPr>
              <w:t>82 800</w:t>
            </w:r>
          </w:p>
        </w:tc>
      </w:tr>
    </w:tbl>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4062"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
        <w:gridCol w:w="1953"/>
        <w:gridCol w:w="1956"/>
        <w:gridCol w:w="656"/>
        <w:gridCol w:w="656"/>
        <w:gridCol w:w="672"/>
        <w:gridCol w:w="1642"/>
      </w:tblGrid>
      <w:tr>
        <w:trPr>
          <w:gridBefore w:val="1"/>
          <w:wBefore w:w="7" w:type="pct"/>
          <w:trHeight w:val="289"/>
          <w:jc w:val="center"/>
        </w:trPr>
        <w:tc>
          <w:tcPr>
            <w:tcW w:w="2589" w:type="pct"/>
            <w:gridSpan w:val="2"/>
            <w:shd w:val="clear" w:color="auto" w:fill="auto"/>
          </w:tcPr>
          <w:p>
            <w:pPr>
              <w:pStyle w:val="Text1"/>
              <w:spacing w:before="40" w:after="40"/>
              <w:ind w:left="0"/>
              <w:jc w:val="center"/>
              <w:rPr>
                <w:i/>
                <w:noProof/>
                <w:sz w:val="16"/>
                <w:szCs w:val="16"/>
              </w:rPr>
            </w:pPr>
          </w:p>
        </w:tc>
        <w:tc>
          <w:tcPr>
            <w:tcW w:w="435"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2018</w:t>
            </w:r>
          </w:p>
        </w:tc>
        <w:tc>
          <w:tcPr>
            <w:tcW w:w="435"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2019</w:t>
            </w:r>
          </w:p>
        </w:tc>
        <w:tc>
          <w:tcPr>
            <w:tcW w:w="445" w:type="pct"/>
            <w:shd w:val="clear" w:color="auto" w:fill="auto"/>
            <w:vAlign w:val="center"/>
          </w:tcPr>
          <w:p>
            <w:pPr>
              <w:spacing w:before="20" w:after="20"/>
              <w:jc w:val="center"/>
              <w:rPr>
                <w:noProof/>
                <w:sz w:val="16"/>
                <w:szCs w:val="16"/>
              </w:rPr>
            </w:pPr>
            <w:r>
              <w:rPr>
                <w:noProof/>
                <w:sz w:val="16"/>
              </w:rPr>
              <w:t xml:space="preserve">Година </w:t>
            </w:r>
            <w:r>
              <w:rPr>
                <w:b/>
                <w:noProof/>
                <w:sz w:val="16"/>
              </w:rPr>
              <w:t>2020</w:t>
            </w:r>
          </w:p>
        </w:tc>
        <w:tc>
          <w:tcPr>
            <w:tcW w:w="1090" w:type="pct"/>
            <w:shd w:val="clear" w:color="auto" w:fill="auto"/>
            <w:vAlign w:val="center"/>
          </w:tcPr>
          <w:p>
            <w:pPr>
              <w:spacing w:before="20" w:after="20"/>
              <w:jc w:val="center"/>
              <w:rPr>
                <w:noProof/>
                <w:sz w:val="16"/>
                <w:szCs w:val="16"/>
              </w:rPr>
            </w:pPr>
            <w:r>
              <w:rPr>
                <w:noProof/>
                <w:sz w:val="16"/>
              </w:rPr>
              <w:t xml:space="preserve">Година </w:t>
            </w:r>
          </w:p>
          <w:p>
            <w:pPr>
              <w:spacing w:before="20" w:after="20"/>
              <w:jc w:val="center"/>
              <w:rPr>
                <w:noProof/>
                <w:sz w:val="16"/>
                <w:szCs w:val="16"/>
              </w:rPr>
            </w:pPr>
            <w:r>
              <w:rPr>
                <w:b/>
                <w:noProof/>
                <w:sz w:val="16"/>
              </w:rPr>
              <w:t>2021—2029</w:t>
            </w:r>
          </w:p>
        </w:tc>
      </w:tr>
      <w:tr>
        <w:trPr>
          <w:gridBefore w:val="1"/>
          <w:wBefore w:w="7" w:type="pct"/>
          <w:trHeight w:val="289"/>
          <w:jc w:val="center"/>
        </w:trPr>
        <w:tc>
          <w:tcPr>
            <w:tcW w:w="3903" w:type="pct"/>
            <w:gridSpan w:val="5"/>
            <w:shd w:val="clear" w:color="auto" w:fill="auto"/>
          </w:tcPr>
          <w:p>
            <w:pPr>
              <w:spacing w:before="20" w:after="20"/>
              <w:rPr>
                <w:noProof/>
                <w:sz w:val="16"/>
                <w:szCs w:val="16"/>
              </w:rPr>
            </w:pPr>
            <w:r>
              <w:rPr>
                <w:b/>
                <w:noProof/>
                <w:sz w:val="16"/>
              </w:rPr>
              <w:sym w:font="Wingdings" w:char="F09F"/>
            </w:r>
            <w:r>
              <w:rPr>
                <w:b/>
                <w:noProof/>
                <w:sz w:val="16"/>
              </w:rPr>
              <w:t>Длъжности в щатното разписание (длъжностни лица и срочно наети служители)</w:t>
            </w:r>
          </w:p>
        </w:tc>
        <w:tc>
          <w:tcPr>
            <w:tcW w:w="1090" w:type="pct"/>
            <w:shd w:val="clear" w:color="auto" w:fill="auto"/>
            <w:vAlign w:val="center"/>
          </w:tcPr>
          <w:p>
            <w:pPr>
              <w:spacing w:before="20" w:after="20"/>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4"/>
              <w:jc w:val="left"/>
              <w:rPr>
                <w:b/>
                <w:noProof/>
                <w:sz w:val="16"/>
                <w:szCs w:val="16"/>
              </w:rPr>
            </w:pPr>
            <w:r>
              <w:rPr>
                <w:b/>
                <w:noProof/>
                <w:sz w:val="16"/>
              </w:rPr>
              <w:t>08 01 05 01 (Непреки научни изследвания)</w:t>
            </w:r>
          </w:p>
        </w:tc>
        <w:tc>
          <w:tcPr>
            <w:tcW w:w="435" w:type="pct"/>
            <w:shd w:val="clear" w:color="auto" w:fill="auto"/>
            <w:vAlign w:val="center"/>
          </w:tcPr>
          <w:p>
            <w:pPr>
              <w:spacing w:beforeLines="20" w:before="48" w:afterLines="20" w:after="48"/>
              <w:jc w:val="center"/>
              <w:rPr>
                <w:noProof/>
                <w:sz w:val="16"/>
                <w:szCs w:val="16"/>
              </w:rPr>
            </w:pPr>
            <w:r>
              <w:rPr>
                <w:b/>
                <w:noProof/>
                <w:sz w:val="16"/>
              </w:rPr>
              <w:t>0,2</w:t>
            </w:r>
          </w:p>
        </w:tc>
        <w:tc>
          <w:tcPr>
            <w:tcW w:w="435" w:type="pct"/>
            <w:shd w:val="clear" w:color="auto" w:fill="auto"/>
            <w:vAlign w:val="center"/>
          </w:tcPr>
          <w:p>
            <w:pPr>
              <w:spacing w:beforeLines="20" w:before="48" w:afterLines="20" w:after="48"/>
              <w:jc w:val="center"/>
              <w:rPr>
                <w:noProof/>
                <w:sz w:val="16"/>
                <w:szCs w:val="16"/>
              </w:rPr>
            </w:pPr>
            <w:r>
              <w:rPr>
                <w:b/>
                <w:noProof/>
                <w:sz w:val="16"/>
              </w:rPr>
              <w:t>0,2</w:t>
            </w:r>
          </w:p>
        </w:tc>
        <w:tc>
          <w:tcPr>
            <w:tcW w:w="445" w:type="pct"/>
            <w:shd w:val="clear" w:color="auto" w:fill="auto"/>
            <w:vAlign w:val="center"/>
          </w:tcPr>
          <w:p>
            <w:pPr>
              <w:spacing w:beforeLines="20" w:before="48" w:afterLines="20" w:after="48"/>
              <w:jc w:val="center"/>
              <w:rPr>
                <w:noProof/>
                <w:sz w:val="16"/>
                <w:szCs w:val="16"/>
              </w:rPr>
            </w:pPr>
            <w:r>
              <w:rPr>
                <w:b/>
                <w:noProof/>
                <w:sz w:val="16"/>
              </w:rPr>
              <w:t>0,2</w:t>
            </w: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After w:val="1"/>
          <w:wAfter w:w="1090" w:type="pct"/>
          <w:trHeight w:val="248"/>
          <w:jc w:val="center"/>
        </w:trPr>
        <w:tc>
          <w:tcPr>
            <w:tcW w:w="391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Външен персонал (в еквивалент на пълно работно време — ЕПРВ)</w:t>
            </w:r>
            <w:r>
              <w:rPr>
                <w:rStyle w:val="FootnoteReference"/>
                <w:b/>
                <w:noProof/>
                <w:sz w:val="16"/>
              </w:rPr>
              <w:footnoteReference w:id="23"/>
            </w:r>
          </w:p>
          <w:p>
            <w:pPr>
              <w:pStyle w:val="Text1"/>
              <w:spacing w:before="0" w:after="0"/>
              <w:ind w:left="0"/>
              <w:jc w:val="left"/>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1294"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4"/>
            </w:r>
          </w:p>
          <w:p>
            <w:pPr>
              <w:pStyle w:val="Text1"/>
              <w:spacing w:beforeLines="20" w:before="48" w:afterLines="20" w:after="48"/>
              <w:ind w:left="136"/>
              <w:jc w:val="left"/>
              <w:rPr>
                <w:b/>
                <w:noProof/>
                <w:sz w:val="16"/>
                <w:szCs w:val="16"/>
              </w:rPr>
            </w:pPr>
          </w:p>
        </w:tc>
        <w:tc>
          <w:tcPr>
            <w:tcW w:w="1296"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435" w:type="pct"/>
            <w:shd w:val="clear" w:color="auto" w:fill="auto"/>
            <w:vAlign w:val="center"/>
          </w:tcPr>
          <w:p>
            <w:pPr>
              <w:pStyle w:val="Text1"/>
              <w:spacing w:beforeLines="20" w:before="48" w:afterLines="20" w:after="48"/>
              <w:ind w:left="0"/>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1294" w:type="pct"/>
            <w:vMerge/>
            <w:shd w:val="clear" w:color="auto" w:fill="auto"/>
            <w:vAlign w:val="center"/>
          </w:tcPr>
          <w:p>
            <w:pPr>
              <w:pStyle w:val="Text1"/>
              <w:spacing w:beforeLines="20" w:before="48" w:afterLines="20" w:after="48"/>
              <w:ind w:left="136"/>
              <w:jc w:val="left"/>
              <w:rPr>
                <w:b/>
                <w:noProof/>
                <w:sz w:val="16"/>
                <w:szCs w:val="16"/>
              </w:rPr>
            </w:pPr>
          </w:p>
        </w:tc>
        <w:tc>
          <w:tcPr>
            <w:tcW w:w="1296"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35" w:type="pct"/>
            <w:shd w:val="clear" w:color="auto" w:fill="auto"/>
            <w:vAlign w:val="center"/>
          </w:tcPr>
          <w:p>
            <w:pPr>
              <w:pStyle w:val="Text1"/>
              <w:spacing w:beforeLines="20" w:before="48" w:afterLines="20" w:after="48"/>
              <w:ind w:left="0"/>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3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3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090"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43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0,2</w:t>
            </w:r>
          </w:p>
        </w:tc>
        <w:tc>
          <w:tcPr>
            <w:tcW w:w="43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0,2</w:t>
            </w:r>
          </w:p>
        </w:tc>
        <w:tc>
          <w:tcPr>
            <w:tcW w:w="44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0,2</w:t>
            </w:r>
          </w:p>
        </w:tc>
        <w:tc>
          <w:tcPr>
            <w:tcW w:w="1090"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r>
              <w:rPr>
                <w:noProof/>
                <w:sz w:val="20"/>
              </w:rPr>
              <w:t>Подготвяне и сключване на административна договореност с ливанските органи за оказване на помощ във връзка със защитата на финансовите интереси на ЕС, както е предвидено в член 2 от споразумението.</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r>
        <w:rPr>
          <w:noProof/>
        </w:rPr>
        <w:sym w:font="Wingdings" w:char="F0FE"/>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ManualHeading3"/>
        <w:rPr>
          <w:bCs/>
          <w:noProof/>
          <w:szCs w:val="24"/>
        </w:rPr>
      </w:pPr>
      <w:r>
        <w:t>3.2.5.</w:t>
      </w:r>
      <w:r>
        <w:tab/>
      </w:r>
      <w:r>
        <w:rPr>
          <w:noProof/>
        </w:rPr>
        <w:t xml:space="preserve">Участие на трети страни във финансирането </w:t>
      </w:r>
    </w:p>
    <w:p>
      <w:pPr>
        <w:pStyle w:val="ListDash1"/>
        <w:rPr>
          <w:noProof/>
        </w:rPr>
      </w:pPr>
      <w:r>
        <w:rPr>
          <w:noProof/>
        </w:rPr>
        <w:sym w:font="Wingdings" w:char="F0FE"/>
      </w:r>
      <w:r>
        <w:rPr>
          <w:noProof/>
        </w:rPr>
        <w:t xml:space="preserve"> 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 xml:space="preserve">Бюджетни кредити в евро </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Очаквано отражение върху приходите </w:t>
      </w:r>
    </w:p>
    <w:p>
      <w:pPr>
        <w:pStyle w:val="ListDash1"/>
        <w:rPr>
          <w:noProof/>
        </w:rPr>
      </w:pPr>
      <w:r>
        <w:rPr>
          <w:noProof/>
        </w:rPr>
        <w:sym w:font="Wingdings" w:char="F0FE"/>
      </w:r>
      <w:r>
        <w:rPr>
          <w:noProof/>
        </w:rPr>
        <w:t xml:space="preserve"> 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 xml:space="preserve">евро </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5"/>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662 final, 18.10.2016 г.</w:t>
      </w:r>
    </w:p>
  </w:footnote>
  <w:footnote w:id="2">
    <w:p>
      <w:pPr>
        <w:pStyle w:val="FootnoteText"/>
      </w:pPr>
      <w:r>
        <w:rPr>
          <w:rStyle w:val="FootnoteReference"/>
        </w:rPr>
        <w:footnoteRef/>
      </w:r>
      <w:r>
        <w:tab/>
        <w:t>Решение (ЕС) 2017/1324 на Европейския парламент и на Съвета от 4 юли 2017 г.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(ОВ L 185, 18.7.2017 г., стр. 1).</w:t>
      </w:r>
    </w:p>
  </w:footnote>
  <w:footnote w:id="3">
    <w:p>
      <w:pPr>
        <w:pStyle w:val="FootnoteText"/>
        <w:rPr>
          <w:lang w:val="pt-PT"/>
        </w:rPr>
      </w:pPr>
      <w:r>
        <w:rPr>
          <w:rStyle w:val="FootnoteReference"/>
        </w:rPr>
        <w:footnoteRef/>
      </w:r>
      <w:r>
        <w:tab/>
        <w:t>SWD(2016) 332 final, 18.10.2016 г.</w:t>
      </w:r>
    </w:p>
  </w:footnote>
  <w:footnote w:id="4">
    <w:p>
      <w:pPr>
        <w:pStyle w:val="FootnoteText"/>
        <w:rPr>
          <w:lang w:val="pt-PT"/>
        </w:rPr>
      </w:pPr>
      <w:r>
        <w:rPr>
          <w:rStyle w:val="FootnoteReference"/>
        </w:rPr>
        <w:footnoteRef/>
      </w:r>
      <w:r>
        <w:tab/>
        <w:t>COM(2012) 497 final.</w:t>
      </w:r>
    </w:p>
  </w:footnote>
  <w:footnote w:id="5">
    <w:p>
      <w:pPr>
        <w:pStyle w:val="FootnoteText"/>
        <w:rPr>
          <w:lang w:val="pt-PT"/>
        </w:rPr>
      </w:pPr>
      <w:r>
        <w:rPr>
          <w:rStyle w:val="FootnoteReference"/>
        </w:rPr>
        <w:footnoteRef/>
      </w:r>
      <w:r>
        <w:tab/>
        <w:t>ОВ L 143, 30.5.2006 г., стp. 2.</w:t>
      </w:r>
    </w:p>
  </w:footnote>
  <w:footnote w:id="6">
    <w:p>
      <w:pPr>
        <w:pStyle w:val="FootnoteText"/>
      </w:pPr>
      <w:r>
        <w:rPr>
          <w:rStyle w:val="FootnoteReference"/>
        </w:rPr>
        <w:footnoteRef/>
      </w:r>
      <w:r>
        <w:tab/>
        <w:t>Решение (ЕС) 2017/1324 на Европейския парламент и на Съвета от 4 юли 2017 г.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(ОВ L 185, 18.7.2017 г., стр. 1).</w:t>
      </w:r>
    </w:p>
    <w:p>
      <w:pPr>
        <w:pStyle w:val="FootnoteText"/>
      </w:pPr>
    </w:p>
  </w:footnote>
  <w:footnote w:id="7">
    <w:p>
      <w:pPr>
        <w:pStyle w:val="FootnoteText"/>
        <w:rPr>
          <w:szCs w:val="24"/>
        </w:rPr>
      </w:pPr>
      <w:r>
        <w:rPr>
          <w:rStyle w:val="FootnoteReference"/>
        </w:rPr>
        <w:footnoteRef/>
      </w:r>
      <w:r>
        <w:tab/>
        <w:t>УД: управление по дейности; БД: бюджетиране по дейности.</w:t>
      </w:r>
    </w:p>
  </w:footnote>
  <w:footnote w:id="8">
    <w:p>
      <w:pPr>
        <w:pStyle w:val="FootnoteText"/>
        <w:rPr>
          <w:szCs w:val="24"/>
        </w:rPr>
      </w:pPr>
      <w:r>
        <w:rPr>
          <w:rStyle w:val="FootnoteReference"/>
        </w:rPr>
        <w:footnoteRef/>
      </w:r>
      <w:r>
        <w:tab/>
        <w:t>Съгласно член 54, параграф 2, буква а) или б) от Финансовия регламент.</w:t>
      </w:r>
    </w:p>
  </w:footnote>
  <w:footnote w:id="9">
    <w:p>
      <w:pPr>
        <w:pStyle w:val="FootnoteText"/>
      </w:pPr>
      <w:r>
        <w:rPr>
          <w:rStyle w:val="FootnoteReference"/>
        </w:rPr>
        <w:footnoteRef/>
      </w:r>
      <w:r>
        <w:tab/>
        <w:t>COM(2016) 662 final, 18.10.2016 г.</w:t>
      </w:r>
    </w:p>
  </w:footnote>
  <w:footnote w:id="10">
    <w:p>
      <w:pPr>
        <w:pStyle w:val="FootnoteText"/>
      </w:pPr>
      <w:r>
        <w:rPr>
          <w:rStyle w:val="FootnoteReference"/>
        </w:rPr>
        <w:footnoteRef/>
      </w:r>
      <w:r>
        <w:tab/>
        <w:t>SWD(2016) 332 final, 18.10.2016 г.</w:t>
      </w:r>
    </w:p>
  </w:footnote>
  <w:footnote w:id="11">
    <w:p>
      <w:pPr>
        <w:pStyle w:val="FootnoteText"/>
      </w:pPr>
      <w:r>
        <w:rPr>
          <w:rStyle w:val="FootnoteReference"/>
        </w:rPr>
        <w:footnoteRef/>
      </w:r>
      <w:r>
        <w:tab/>
        <w:t xml:space="preserve">Подробна информация във връзка с методите на управление и позоваванията на Финансовия регламент могат да бъдат намерени на уебсайта BudgWeb: </w:t>
      </w:r>
      <w:hyperlink r:id="rId1">
        <w:r>
          <w:rPr>
            <w:rStyle w:val="Hyperlink"/>
          </w:rPr>
          <w:t>http://www.cc.cec/budg/man/budgmanag/budgmanag_en.html</w:t>
        </w:r>
      </w:hyperlink>
      <w:r>
        <w:t>.</w:t>
      </w:r>
    </w:p>
  </w:footnote>
  <w:footnote w:id="12">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3">
    <w:p>
      <w:pPr>
        <w:pStyle w:val="FootnoteText"/>
        <w:rPr>
          <w:szCs w:val="24"/>
        </w:rPr>
      </w:pPr>
      <w:r>
        <w:rPr>
          <w:rStyle w:val="FootnoteReference"/>
        </w:rPr>
        <w:footnoteRef/>
      </w:r>
      <w:r>
        <w:tab/>
        <w:t xml:space="preserve">ЕАСТ: Европейска асоциация за свободна търговия. </w:t>
      </w:r>
    </w:p>
  </w:footnote>
  <w:footnote w:id="14">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5">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16">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7">
    <w:p>
      <w:pPr>
        <w:pStyle w:val="FootnoteText"/>
      </w:pPr>
      <w:r>
        <w:rPr>
          <w:rStyle w:val="FootnoteReference"/>
        </w:rPr>
        <w:footnoteRef/>
      </w:r>
      <w:r>
        <w:tab/>
        <w:t>2018 година е годината, през която започва да се осъществява предложението/инициативата.</w:t>
      </w:r>
    </w:p>
  </w:footnote>
  <w:footnote w:id="18">
    <w:p>
      <w:pPr>
        <w:pStyle w:val="FootnoteText"/>
        <w:rPr>
          <w:szCs w:val="24"/>
        </w:rPr>
      </w:pPr>
      <w:r>
        <w:rPr>
          <w:rStyle w:val="FootnoteReference"/>
        </w:rPr>
        <w:footnoteRef/>
      </w:r>
      <w:r>
        <w:tab/>
        <w:t>2018 година е годината, през която започва да се осъществява предложението/инициативата.</w:t>
      </w:r>
    </w:p>
  </w:footnote>
  <w:footnote w:id="19">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0">
    <w:p>
      <w:pPr>
        <w:pStyle w:val="FootnoteText"/>
        <w:rPr>
          <w:szCs w:val="24"/>
        </w:rPr>
      </w:pPr>
      <w:r>
        <w:rPr>
          <w:rStyle w:val="FootnoteReference"/>
        </w:rPr>
        <w:footnoteRef/>
      </w:r>
      <w:r>
        <w:tab/>
        <w:t xml:space="preserve">Съгласно описанието в точка 1.4.2. „Конкретни цели…“. </w:t>
      </w:r>
    </w:p>
  </w:footnote>
  <w:footnote w:id="21">
    <w:p>
      <w:pPr>
        <w:pStyle w:val="FootnoteText"/>
        <w:rPr>
          <w:szCs w:val="24"/>
        </w:rPr>
      </w:pPr>
      <w:r>
        <w:rPr>
          <w:rStyle w:val="FootnoteReference"/>
        </w:rPr>
        <w:footnoteRef/>
      </w:r>
      <w:r>
        <w:tab/>
        <w:t>2018 година е годината, през която започва да се осъществява предложението/инициативата.</w:t>
      </w:r>
    </w:p>
  </w:footnote>
  <w:footnote w:id="22">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3">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4">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5">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10D6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D34A7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D615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AA4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11602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 w:numId="28">
    <w:abstractNumId w:val="18"/>
  </w:num>
  <w:num w:numId="29">
    <w:abstractNumId w:val="10"/>
  </w:num>
  <w:num w:numId="30">
    <w:abstractNumId w:val="21"/>
  </w:num>
  <w:num w:numId="31">
    <w:abstractNumId w:val="9"/>
  </w:num>
  <w:num w:numId="32">
    <w:abstractNumId w:val="11"/>
  </w:num>
  <w:num w:numId="33">
    <w:abstractNumId w:val="7"/>
  </w:num>
  <w:num w:numId="34">
    <w:abstractNumId w:val="20"/>
  </w:num>
  <w:num w:numId="35">
    <w:abstractNumId w:val="6"/>
  </w:num>
  <w:num w:numId="36">
    <w:abstractNumId w:val="12"/>
  </w:num>
  <w:num w:numId="37">
    <w:abstractNumId w:val="16"/>
  </w:num>
  <w:num w:numId="38">
    <w:abstractNumId w:val="17"/>
  </w:num>
  <w:num w:numId="39">
    <w:abstractNumId w:val="8"/>
  </w:num>
  <w:num w:numId="40">
    <w:abstractNumId w:val="15"/>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07:46: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E2E82DEE29CD4D9DA1E87ADC16937B4E"/>
    <w:docVar w:name="LW_CROSSREFERENCE" w:val="&lt;UNUSED&gt;"/>
    <w:docVar w:name="LW_DocType" w:val="COM"/>
    <w:docVar w:name="LW_EMISSION" w:val="11.8.2017"/>
    <w:docVar w:name="LW_EMISSION_ISODATE" w:val="2017-08-1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1"/>
    <w:docVar w:name="LW_REF.II.NEW.CP_YEAR" w:val="2017"/>
    <w:docVar w:name="LW_REF.INST.NEW" w:val="COM"/>
    <w:docVar w:name="LW_REF.INST.NEW_ADOPTED" w:val="final"/>
    <w:docVar w:name="LW_REF.INST.NEW_TEXT" w:val="(2017) 435"/>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57?\u1098?\u1102?\u1079?\u1072? \u1080? \u1079?\u1072? \u1074?\u1088?\u1077?\u1084?\u1077?\u1085?\u1085?\u1086? \u1087?\u1088?\u1080?\u1083?\u1072?\u1075?\u1072?\u1085?\u1077? \u1085?\u1072? \u1057?\u1087?\u1086?\u1088?\u1072?\u1079?\u1091?\u1084?\u1077?\u1085?\u1080?\u1077?\u1090?\u1086? \u1079?\u1072? \u1085?\u1072?\u1091?\u1095?\u1085?\u1086? \u1080? \u1090?\u1077?\u1093?\u1085?\u1086?\u1083?\u1086?\u1075?\u1080?\u1095?\u1085?\u1086? \u1089?\u1098?\u1090?\u1088?\u1091?\u1076?\u1085?\u1080?\u1095?\u1077?\u1089?\u1090?\u1074?\u1086? \u1084?\u1077?\u1078?\u1076?\u1091? \u1045?\u1074?\u1088?\u1086?\u1087?\u1077?\u1081?\u1089?\u1082?\u1080?\u1103? \u1089?\u1098?\u1102?\u1079? \u1080? \u1056?\u1077?\u1087?\u1091?\u1073?\u1083?\u1080?\u1082?\u1072? \u1051?\u1080?\u1074?\u1072?\u1085?, \u1074? \u1082?\u1086?\u1077?\u1090?\u1086? \u1089?\u1077? \u1086?\u1087?\u1088?\u1077?\u1076?\u1077?\u1083?\u1103?\u1090? \u1088?\u1077?\u1076?\u1098?\u1090? \u1080? \u1091?\u1089?\u1083?\u1086?\u1074?\u1080?\u1103?\u1090?\u1072? \u1079?\u1072? \u1091?\u1095?\u1072?\u1089?\u1090?\u1080?\u1077?\u1090?\u1086? \u1085?\u1072? \u1056?\u1077?\u1087?\u1091?\u1073?\u1083?\u1080?\u1082?\u1072? \u1051?\u1080?\u1074?\u1072?\u1085? \u1074? \u1055?\u1072?\u1088?\u1090?\u1085?\u1100?\u1086?\u1088?\u1089?\u1090?\u1074?\u1086?\u1090?\u1086? \u1079?\u1072? \u1085?\u1072?\u1091?\u1095?\u1085?\u1080? \u1080?\u1079?\u1089?\u1083?\u1077?\u1076?\u1074?\u1072?\u1085?\u1080?\u1103? \u1080? \u1080?\u1085?\u1086?\u1074?\u1072?\u1094?\u1080?\u1080? \u1074? \u1057?\u1088?\u1077?\u1076?\u1080?\u1079?\u1077?\u1084?\u1085?\u1086?\u1084?\u1086?\u1088?\u1089?\u1082?\u1080?\u1103? \u1088?\u1077?\u1075?\u1080?\u1086?\u1085? (PRIMA)"/>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3879">
      <w:bodyDiv w:val="1"/>
      <w:marLeft w:val="0"/>
      <w:marRight w:val="0"/>
      <w:marTop w:val="0"/>
      <w:marBottom w:val="0"/>
      <w:divBdr>
        <w:top w:val="none" w:sz="0" w:space="0" w:color="auto"/>
        <w:left w:val="none" w:sz="0" w:space="0" w:color="auto"/>
        <w:bottom w:val="none" w:sz="0" w:space="0" w:color="auto"/>
        <w:right w:val="none" w:sz="0" w:space="0" w:color="auto"/>
      </w:divBdr>
    </w:div>
    <w:div w:id="1676180161">
      <w:bodyDiv w:val="1"/>
      <w:marLeft w:val="0"/>
      <w:marRight w:val="0"/>
      <w:marTop w:val="0"/>
      <w:marBottom w:val="0"/>
      <w:divBdr>
        <w:top w:val="none" w:sz="0" w:space="0" w:color="auto"/>
        <w:left w:val="none" w:sz="0" w:space="0" w:color="auto"/>
        <w:bottom w:val="none" w:sz="0" w:space="0" w:color="auto"/>
        <w:right w:val="none" w:sz="0" w:space="0" w:color="auto"/>
      </w:divBdr>
    </w:div>
    <w:div w:id="18447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E4D21-126F-42B0-8935-2BCC149B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24</Pages>
  <Words>4047</Words>
  <Characters>23716</Characters>
  <Application>Microsoft Office Word</Application>
  <DocSecurity>0</DocSecurity>
  <Lines>1317</Lines>
  <Paragraphs>544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2017-07-11T12:04:00Z</cp:lastPrinted>
  <dcterms:created xsi:type="dcterms:W3CDTF">2017-08-25T14:01:00Z</dcterms:created>
  <dcterms:modified xsi:type="dcterms:W3CDTF">2017-08-29T05:46:00Z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