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86FDE93DBF4464CB810045970F13007"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noProof/>
        </w:rPr>
      </w:pPr>
      <w:r>
        <w:rPr>
          <w:noProof/>
        </w:rPr>
        <w:t>Настоящото предложение се отнася до решение за установяване на позицията, която да се заеме от името на Съюза в рамките на Международната организация по лозата и виното (OIV) във връзка с предвижданото приемане на решение за предоставяне на специален статут на Съюза в рамките на OIV.</w:t>
      </w:r>
    </w:p>
    <w:p>
      <w:pPr>
        <w:pStyle w:val="ManualHeading1"/>
        <w:rPr>
          <w:noProof/>
        </w:rPr>
      </w:pPr>
      <w:r>
        <w:rPr>
          <w:noProof/>
        </w:rPr>
        <w:t xml:space="preserve">2. </w:t>
      </w:r>
      <w:r>
        <w:rPr>
          <w:noProof/>
        </w:rPr>
        <w:tab/>
        <w:t>КОНТЕКСТ НА ПРЕДЛОЖЕНИЕТО</w:t>
      </w:r>
    </w:p>
    <w:p>
      <w:pPr>
        <w:pStyle w:val="Point0"/>
        <w:rPr>
          <w:b/>
          <w:noProof/>
        </w:rPr>
      </w:pPr>
      <w:r>
        <w:rPr>
          <w:b/>
          <w:noProof/>
        </w:rPr>
        <w:t>2.1</w:t>
      </w:r>
      <w:r>
        <w:rPr>
          <w:noProof/>
        </w:rPr>
        <w:tab/>
      </w:r>
      <w:r>
        <w:rPr>
          <w:b/>
          <w:noProof/>
        </w:rPr>
        <w:t>Споразумение за създаване на Международна организация по лозата и виното</w:t>
      </w:r>
    </w:p>
    <w:p>
      <w:pPr>
        <w:rPr>
          <w:rFonts w:eastAsia="Arial Unicode MS"/>
          <w:noProof/>
        </w:rPr>
      </w:pPr>
      <w:r>
        <w:rPr>
          <w:noProof/>
        </w:rPr>
        <w:t>Със Споразумението за създаване на Международна организация по лозата и виното, подписано в Париж на 3 април 2001 г. (наричано по-долу „споразумението“), се цели създаването на OIV, която да замени Международната служба по лозата и виното. Споразумението влезе в сила на 1 януари 2004 г.</w:t>
      </w:r>
    </w:p>
    <w:p>
      <w:pPr>
        <w:rPr>
          <w:rFonts w:eastAsia="Arial Unicode MS"/>
          <w:noProof/>
        </w:rPr>
      </w:pPr>
      <w:r>
        <w:rPr>
          <w:noProof/>
        </w:rPr>
        <w:t>Страни по споразумението са 20 държави членки</w:t>
      </w:r>
      <w:r>
        <w:rPr>
          <w:rStyle w:val="FootnoteReference"/>
          <w:noProof/>
        </w:rPr>
        <w:footnoteReference w:id="1"/>
      </w:r>
      <w:r>
        <w:rPr>
          <w:noProof/>
        </w:rPr>
        <w:t>.</w:t>
      </w:r>
    </w:p>
    <w:p>
      <w:pPr>
        <w:pStyle w:val="Point0"/>
        <w:rPr>
          <w:rFonts w:eastAsia="Times New Roman"/>
          <w:b/>
          <w:bCs/>
          <w:noProof/>
          <w:szCs w:val="26"/>
        </w:rPr>
      </w:pPr>
      <w:r>
        <w:rPr>
          <w:b/>
          <w:noProof/>
        </w:rPr>
        <w:t>2.2</w:t>
      </w:r>
      <w:r>
        <w:rPr>
          <w:noProof/>
        </w:rPr>
        <w:tab/>
      </w:r>
      <w:r>
        <w:rPr>
          <w:b/>
          <w:noProof/>
        </w:rPr>
        <w:t>OIV</w:t>
      </w:r>
    </w:p>
    <w:p>
      <w:pPr>
        <w:rPr>
          <w:rFonts w:eastAsia="Arial Unicode MS"/>
          <w:noProof/>
        </w:rPr>
      </w:pPr>
      <w:r>
        <w:rPr>
          <w:noProof/>
        </w:rPr>
        <w:t xml:space="preserve">OIV е междуправителствена организация с научно-техническа насоченост, развиваща дейност в областта на лозарството, винарството и другите лозаро-винарски продукти. </w:t>
      </w:r>
    </w:p>
    <w:p>
      <w:pPr>
        <w:rPr>
          <w:rFonts w:eastAsia="Arial Unicode MS"/>
          <w:noProof/>
        </w:rPr>
      </w:pPr>
      <w:r>
        <w:rPr>
          <w:noProof/>
        </w:rPr>
        <w:t>OIV допринася за хармонизацията в международен план на съществуващите практики и стандарти, свързани с виното, като изготвя резолюции в следните области:</w:t>
      </w:r>
    </w:p>
    <w:p>
      <w:pPr>
        <w:rPr>
          <w:rFonts w:eastAsia="Arial Unicode MS"/>
          <w:noProof/>
        </w:rPr>
      </w:pPr>
      <w:r>
        <w:rPr>
          <w:noProof/>
        </w:rPr>
        <w:t>–</w:t>
      </w:r>
      <w:r>
        <w:rPr>
          <w:noProof/>
        </w:rPr>
        <w:tab/>
        <w:t>условия за производство на лозаро-винарските продукти;</w:t>
      </w:r>
    </w:p>
    <w:p>
      <w:pPr>
        <w:rPr>
          <w:rFonts w:eastAsia="Arial Unicode MS"/>
          <w:noProof/>
        </w:rPr>
      </w:pPr>
      <w:r>
        <w:rPr>
          <w:noProof/>
        </w:rPr>
        <w:t>–</w:t>
      </w:r>
      <w:r>
        <w:rPr>
          <w:noProof/>
        </w:rPr>
        <w:tab/>
        <w:t>енологични практики;</w:t>
      </w:r>
    </w:p>
    <w:p>
      <w:pPr>
        <w:rPr>
          <w:rFonts w:eastAsia="Arial Unicode MS"/>
          <w:noProof/>
        </w:rPr>
      </w:pPr>
      <w:r>
        <w:rPr>
          <w:noProof/>
        </w:rPr>
        <w:t>–</w:t>
      </w:r>
      <w:r>
        <w:rPr>
          <w:noProof/>
        </w:rPr>
        <w:tab/>
        <w:t>определения и/или описания на продуктите, етикетиране и условия за предлагане на пазара;</w:t>
      </w:r>
    </w:p>
    <w:p>
      <w:pPr>
        <w:rPr>
          <w:rFonts w:eastAsia="Arial Unicode MS"/>
          <w:noProof/>
        </w:rPr>
      </w:pPr>
      <w:r>
        <w:rPr>
          <w:noProof/>
        </w:rPr>
        <w:t>–</w:t>
      </w:r>
      <w:r>
        <w:rPr>
          <w:noProof/>
        </w:rPr>
        <w:tab/>
        <w:t>методи за анализ и оценка на лозаро-винарските продукти.</w:t>
      </w:r>
    </w:p>
    <w:p>
      <w:pPr>
        <w:pStyle w:val="Point0"/>
        <w:rPr>
          <w:rFonts w:eastAsia="Times New Roman"/>
          <w:b/>
          <w:bCs/>
          <w:noProof/>
          <w:szCs w:val="26"/>
        </w:rPr>
      </w:pPr>
      <w:r>
        <w:rPr>
          <w:b/>
          <w:noProof/>
        </w:rPr>
        <w:t>2.3</w:t>
      </w:r>
      <w:r>
        <w:rPr>
          <w:noProof/>
        </w:rPr>
        <w:tab/>
      </w:r>
      <w:r>
        <w:rPr>
          <w:b/>
          <w:noProof/>
        </w:rPr>
        <w:t>Предвидено решение на OIV</w:t>
      </w:r>
    </w:p>
    <w:p>
      <w:pPr>
        <w:rPr>
          <w:rFonts w:eastAsia="Arial Unicode MS"/>
          <w:noProof/>
        </w:rPr>
      </w:pPr>
      <w:r>
        <w:rPr>
          <w:noProof/>
        </w:rPr>
        <w:t>То не е инициатива по линия на Програмата за пригодност и резултатност на регулаторната рамка (REFIT).</w:t>
      </w:r>
    </w:p>
    <w:p>
      <w:pPr>
        <w:rPr>
          <w:rFonts w:eastAsia="Arial Unicode MS"/>
          <w:noProof/>
        </w:rPr>
      </w:pPr>
      <w:r>
        <w:rPr>
          <w:noProof/>
        </w:rPr>
        <w:t>По време на 16-ото Общо събрание на OIV, което ще се проведе на 20 октомври 2017 г., се предвижда OIV да приеме решение във връзка с предоставянето на специален статут на Съюза в рамките на организацията (наричано по-долу „предвиденият акт“).</w:t>
      </w:r>
    </w:p>
    <w:p>
      <w:pPr>
        <w:rPr>
          <w:rFonts w:eastAsia="Arial Unicode MS"/>
          <w:noProof/>
        </w:rPr>
      </w:pPr>
      <w:r>
        <w:rPr>
          <w:noProof/>
        </w:rPr>
        <w:t xml:space="preserve">Към настоящия момент Съюзът няма официален статут в рамките на OIV. Целта на предвидения акт е да се укрепи и да бъде формално призната ролята на Съюза в рамките на OIV. </w:t>
      </w:r>
    </w:p>
    <w:p>
      <w:pPr>
        <w:pStyle w:val="ManualHeading2"/>
        <w:rPr>
          <w:rFonts w:eastAsia="Arial Unicode MS"/>
          <w:noProof/>
          <w:color w:val="000000"/>
          <w:u w:color="000000"/>
          <w:bdr w:val="nil"/>
        </w:rPr>
      </w:pPr>
      <w:r>
        <w:rPr>
          <w:noProof/>
          <w:color w:val="000000"/>
          <w:u w:color="000000"/>
          <w:bdr w:val="nil"/>
        </w:rPr>
        <w:t>3.</w:t>
      </w:r>
      <w:r>
        <w:rPr>
          <w:noProof/>
        </w:rPr>
        <w:tab/>
      </w:r>
      <w:r>
        <w:rPr>
          <w:noProof/>
          <w:color w:val="000000"/>
          <w:u w:color="000000"/>
          <w:bdr w:val="nil"/>
        </w:rPr>
        <w:t>ПОЗИЦИЯ, КОЯТО ДА СЕ ЗАЕМЕ ОТ ИМЕТО НА СЪЮЗА</w:t>
      </w:r>
    </w:p>
    <w:p>
      <w:pPr>
        <w:pStyle w:val="ManualHeading2"/>
        <w:rPr>
          <w:rFonts w:eastAsia="Arial Unicode MS"/>
          <w:noProof/>
          <w:color w:val="000000"/>
          <w:u w:color="000000"/>
          <w:bdr w:val="nil"/>
        </w:rPr>
      </w:pPr>
      <w:r>
        <w:rPr>
          <w:noProof/>
          <w:color w:val="000000"/>
          <w:u w:color="000000"/>
          <w:bdr w:val="nil"/>
        </w:rPr>
        <w:t>3.1</w:t>
      </w:r>
      <w:r>
        <w:rPr>
          <w:noProof/>
        </w:rPr>
        <w:tab/>
      </w:r>
      <w:r>
        <w:rPr>
          <w:noProof/>
          <w:color w:val="000000"/>
          <w:u w:color="000000"/>
          <w:bdr w:val="nil"/>
        </w:rPr>
        <w:t>Основания и цели на предложението</w:t>
      </w:r>
    </w:p>
    <w:p>
      <w:pPr>
        <w:rPr>
          <w:rFonts w:eastAsia="Arial Unicode MS"/>
          <w:noProof/>
        </w:rPr>
      </w:pPr>
      <w:r>
        <w:rPr>
          <w:noProof/>
        </w:rPr>
        <w:t>На 1 октомври 2015 г. Съветът упълномощи Комисията да започне проучвателни разговори с OIV с оглед получаването от Съюза на специален статут в съответствие с член 4 от Процедурния правилник на OIV.</w:t>
      </w:r>
    </w:p>
    <w:p>
      <w:pPr>
        <w:rPr>
          <w:rFonts w:eastAsia="Arial Unicode MS"/>
          <w:noProof/>
        </w:rPr>
      </w:pPr>
      <w:r>
        <w:rPr>
          <w:noProof/>
        </w:rPr>
        <w:t>Тъй като понастоящем Съюзът няма официален статут в рамките на OIV, представителите на Комисията биват канени само на неформална основа да присъстват на заседанията на различните експертни групи, подкомисии и комисии, но нямат право да присъстват на заседанията на Изпълнителния комитет. Те също така биват канени понякога да присъстват на Общото събрание, без да имат възможност да участват в него, когато членовете на OIV приемат нейните резолюции. Съюзът не плаща вноски в бюджета на OIV.</w:t>
      </w:r>
    </w:p>
    <w:p>
      <w:pPr>
        <w:rPr>
          <w:rFonts w:eastAsia="Arial Unicode MS"/>
          <w:noProof/>
        </w:rPr>
      </w:pPr>
      <w:r>
        <w:rPr>
          <w:noProof/>
        </w:rPr>
        <w:t>Това ограничено участие не позволява на Комисията да бъде напълно информирана за подготвяните нови резолюции.</w:t>
      </w:r>
    </w:p>
    <w:p>
      <w:pPr>
        <w:rPr>
          <w:rFonts w:eastAsia="Arial Unicode MS"/>
          <w:noProof/>
        </w:rPr>
      </w:pPr>
      <w:r>
        <w:rPr>
          <w:noProof/>
        </w:rPr>
        <w:t xml:space="preserve">Предвид правните последици, които е възможно да имат някои резолюции на OIV, и факта, че по-голямата част от областите, в които развива дейност OIV, попадат в сферата на компетентност на Съюза, целта на предвидения акт е да се укрепи и да бъде официално призната ролята на Съюза в рамките на OIV. </w:t>
      </w:r>
    </w:p>
    <w:p>
      <w:pPr>
        <w:rPr>
          <w:rFonts w:eastAsia="Arial Unicode MS"/>
          <w:noProof/>
        </w:rPr>
      </w:pPr>
      <w:r>
        <w:rPr>
          <w:noProof/>
        </w:rPr>
        <w:t>Този статут ще позволи на Комисията, като представител на Съюза съгласно член 17 от ДЕС, да бъде напълно информирана за подготвяните нови резолюции, да е в състояние да координира общата позиция на Съюза по тях, както и да се намесва от името на Съюза, и то официално, в работата на комисиите, подкомисиите и експертните групи и да присъства на заседанията на Общото събрание и Изпълнителния комитет. По този начин ще се осигури единно представителство на Съюза в рамките на OIV, без да се поставя под въпрос ролята на научните експерти от държавите — членки на Съюза, в рамките на OIV.</w:t>
      </w:r>
    </w:p>
    <w:p>
      <w:pPr>
        <w:rPr>
          <w:rFonts w:eastAsia="Arial Unicode MS"/>
          <w:noProof/>
        </w:rPr>
      </w:pPr>
      <w:r>
        <w:rPr>
          <w:noProof/>
        </w:rPr>
        <w:t>Освен това с предоставянето на този статут ще се даде възможност на представителите на Съюза да имат достъп — при същите условия като за членовете на OIV— до всички документи на OIV. Това ще улесни подготовката на бъдещите решения, които Съветът ще трябва да взема по силата на член 218, параграф 9 от ДФЕС, преди гласуването на резолюции в Общото събрание на OIV.</w:t>
      </w:r>
    </w:p>
    <w:p>
      <w:pPr>
        <w:rPr>
          <w:rFonts w:eastAsia="Arial Unicode MS"/>
          <w:noProof/>
        </w:rPr>
      </w:pPr>
      <w:r>
        <w:rPr>
          <w:noProof/>
        </w:rPr>
        <w:t>С оглед на гореизложеното следва да се предложи на OIV да предостави на Съюза специалния статут, предвиден в член 4 от Процедурния правилник на OIV. Членът на Комисията, отговарящ за селското стопанство и развитието на селските райони, ще бъде оправомощен да подпише размяната на писма от името на Комисията и на нейна отговорност.</w:t>
      </w:r>
    </w:p>
    <w:p>
      <w:pPr>
        <w:pStyle w:val="ManualHeading2"/>
        <w:rPr>
          <w:rFonts w:eastAsia="Arial Unicode MS"/>
          <w:noProof/>
        </w:rPr>
      </w:pPr>
      <w:r>
        <w:rPr>
          <w:noProof/>
        </w:rPr>
        <w:t>3.2</w:t>
      </w:r>
      <w:r>
        <w:rPr>
          <w:noProof/>
        </w:rPr>
        <w:tab/>
        <w:t>Съгласуваност със съществуващите разпоредби в тази област на политиката</w:t>
      </w:r>
    </w:p>
    <w:p>
      <w:pPr>
        <w:rPr>
          <w:rFonts w:eastAsia="Times New Roman"/>
          <w:noProof/>
        </w:rPr>
      </w:pPr>
      <w:r>
        <w:rPr>
          <w:noProof/>
        </w:rPr>
        <w:t>Въпреки че сами по себе си резолюциите на OIV нямат задължителен характер на равнището на ЕС, някои от резолюциите, приети и публикувани от OIV, могат да имат правни последици по силата на Регламент (ЕС) № 1308/2013. По отношение на лозаро</w:t>
      </w:r>
      <w:r>
        <w:rPr>
          <w:noProof/>
        </w:rPr>
        <w:noBreakHyphen/>
        <w:t>винарските продукти позоваване на OIV се съдържа в следните разпоредби от законодателството на ЕС:</w:t>
      </w:r>
    </w:p>
    <w:p>
      <w:pPr>
        <w:pStyle w:val="Tiret0"/>
        <w:numPr>
          <w:ilvl w:val="0"/>
          <w:numId w:val="1"/>
        </w:numPr>
        <w:rPr>
          <w:noProof/>
          <w:color w:val="000000"/>
          <w:szCs w:val="24"/>
        </w:rPr>
      </w:pPr>
      <w:r>
        <w:rPr>
          <w:noProof/>
        </w:rPr>
        <w:t>член 80, параграф 5 от Регламента за ООП, чиято разпоредба предвижда, че методите за анализ на виното се основават на методите, препоръчани и публикувани от OIV, освен ако те биха били неефективни или неподходящи с оглед на преследваната от Съюза цел;</w:t>
      </w:r>
    </w:p>
    <w:p>
      <w:pPr>
        <w:pStyle w:val="Tiret0"/>
        <w:numPr>
          <w:ilvl w:val="0"/>
          <w:numId w:val="1"/>
        </w:numPr>
        <w:rPr>
          <w:noProof/>
          <w:color w:val="000000"/>
          <w:szCs w:val="24"/>
        </w:rPr>
      </w:pPr>
      <w:r>
        <w:rPr>
          <w:noProof/>
        </w:rPr>
        <w:t>член 9 от Регламент (ЕО) № 606/2009 на Комисията, отнасящ се за енологичните практики, според който спецификациите за чистота и идентичност на веществата, използвани в енологичните практики, следва да са същите като определените и публикуваните в Международния енологичен кодекс на OIV;</w:t>
      </w:r>
    </w:p>
    <w:p>
      <w:pPr>
        <w:pStyle w:val="Tiret0"/>
        <w:numPr>
          <w:ilvl w:val="0"/>
          <w:numId w:val="10"/>
        </w:numPr>
        <w:rPr>
          <w:noProof/>
          <w:szCs w:val="24"/>
        </w:rPr>
      </w:pPr>
      <w:r>
        <w:rPr>
          <w:noProof/>
        </w:rPr>
        <w:t>член 80, параграф 3, буква а) от Регламента за ООП, чиято разпоредба предвижда, че Комисията трябва да взема под внимание енологичните практики, възприети и публикувани от OIV, когато дава разрешение за използването на такива практики;</w:t>
      </w:r>
    </w:p>
    <w:p>
      <w:pPr>
        <w:pStyle w:val="Tiret0"/>
        <w:numPr>
          <w:ilvl w:val="0"/>
          <w:numId w:val="10"/>
        </w:numPr>
        <w:rPr>
          <w:noProof/>
          <w:szCs w:val="24"/>
        </w:rPr>
      </w:pPr>
      <w:r>
        <w:rPr>
          <w:noProof/>
        </w:rPr>
        <w:t>член 90, параграф 2 от Регламента за ООП, според който внесените винарски продукти трябва да бъдат произведени в съответствие с енологичните практики, разрешени от Съюза, или в съответствие с препоръчаните от OIV енологични практики, а също и в</w:t>
      </w:r>
    </w:p>
    <w:p>
      <w:pPr>
        <w:pStyle w:val="Tiret0"/>
        <w:numPr>
          <w:ilvl w:val="0"/>
          <w:numId w:val="10"/>
        </w:numPr>
        <w:rPr>
          <w:noProof/>
          <w:szCs w:val="24"/>
        </w:rPr>
      </w:pPr>
      <w:r>
        <w:rPr>
          <w:noProof/>
        </w:rPr>
        <w:t>член 3 от Регламент (ЕО) № 2870/2000, чиято разпоредба предвижда, че в отсъствието на установени от Съюза методи за анализ за откриване и количествено определяне на вещества, съдържащи се в някои спиртни напитки, могат да се използват методите за анализ, признати от OIV.</w:t>
      </w:r>
    </w:p>
    <w:p>
      <w:pPr>
        <w:rPr>
          <w:noProof/>
        </w:rPr>
      </w:pPr>
      <w:r>
        <w:rPr>
          <w:noProof/>
        </w:rPr>
        <w:t>Като се има предвид, че резолюциите на OIV могат да имат правни последици и че Съюзът притежава изключителна компетентност в тези области, Съветът трябва да приеме обща позиция от името на ЕС на основание член 218, параграф 9 от ДФЕС преди тези резолюции да бъдат подложени на гласуване в рамките на OIV. Специалният статут на ЕС в рамките на OIV ще улесни подготовката на такава позиция.</w:t>
      </w:r>
    </w:p>
    <w:p>
      <w:pPr>
        <w:pStyle w:val="ManualHeading2"/>
        <w:rPr>
          <w:rFonts w:eastAsia="Arial Unicode MS"/>
          <w:noProof/>
        </w:rPr>
      </w:pPr>
      <w:r>
        <w:rPr>
          <w:noProof/>
          <w:color w:val="000000"/>
          <w:u w:color="000000"/>
          <w:bdr w:val="nil"/>
        </w:rPr>
        <w:t>3.3</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Резолюциите на OIV могат да се отнасят и до теми, обхванати от хоризонталните разпоредби на ЕС, като например предоставянето на потребителите на информация за храните и използването на добавки в храните.</w:t>
      </w:r>
    </w:p>
    <w:p>
      <w:pPr>
        <w:rPr>
          <w:noProof/>
        </w:rPr>
      </w:pPr>
      <w:r>
        <w:rPr>
          <w:noProof/>
        </w:rPr>
        <w:t>Предоставянето на специален статут на ЕС е от значение, за да могат представителите на ЕС да получат достъп до всички документи на OIV и да извършват проверки за установяване на евентуално несъответствие на съответните резолюции на OIV със законодателството на ЕС и на възможните правни последици.</w:t>
      </w:r>
    </w:p>
    <w:p>
      <w:pPr>
        <w:pStyle w:val="ManualHeading1"/>
        <w:rPr>
          <w:noProof/>
        </w:rPr>
      </w:pPr>
      <w:r>
        <w:rPr>
          <w:noProof/>
        </w:rPr>
        <w:t>4.</w:t>
      </w:r>
      <w:r>
        <w:rPr>
          <w:noProof/>
        </w:rPr>
        <w:tab/>
        <w:t>ПРАВНО ОСНОВАНИЕ</w:t>
      </w:r>
    </w:p>
    <w:p>
      <w:pPr>
        <w:rPr>
          <w:b/>
          <w:noProof/>
        </w:rPr>
      </w:pPr>
      <w:r>
        <w:rPr>
          <w:b/>
          <w:noProof/>
        </w:rPr>
        <w:t>4.1.</w:t>
      </w:r>
      <w:r>
        <w:rPr>
          <w:noProof/>
        </w:rPr>
        <w:tab/>
      </w:r>
      <w:r>
        <w:rPr>
          <w:b/>
          <w:noProof/>
        </w:rPr>
        <w:t>Процесуалноправно основание</w:t>
      </w:r>
    </w:p>
    <w:p>
      <w:pPr>
        <w:rPr>
          <w:noProof/>
        </w:rPr>
      </w:pPr>
      <w:r>
        <w:rPr>
          <w:b/>
          <w:noProof/>
        </w:rPr>
        <w:t>4.1.1.</w:t>
      </w:r>
      <w:r>
        <w:rPr>
          <w:noProof/>
        </w:rPr>
        <w:tab/>
      </w:r>
      <w:r>
        <w:rPr>
          <w:b/>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 xml:space="preserve">Член 218, параграф 9 от ДФЕС се прилага независимо от това дали Съюзът е член на въпросния орган или страна по въпросното споразумение. </w:t>
      </w:r>
    </w:p>
    <w:p>
      <w:pPr>
        <w:rPr>
          <w:noProof/>
        </w:rPr>
      </w:pPr>
      <w:r>
        <w:rPr>
          <w:noProof/>
        </w:rPr>
        <w:t xml:space="preserve">Понятието „актове с правно действие“ включва актовете, които имат правни последици по силата на международноправните норми, на които се подчинява въпросният орган. То също така включва инструментите, които нямат задължителен характер по силата на международното право, но са „годни да окажат съществено въздействие върху съдържанието на приеманата от законодателя на Съюза нормативна уредба“. </w:t>
      </w:r>
    </w:p>
    <w:p>
      <w:pPr>
        <w:rPr>
          <w:b/>
          <w:noProof/>
        </w:rPr>
      </w:pPr>
      <w:r>
        <w:rPr>
          <w:b/>
          <w:noProof/>
        </w:rPr>
        <w:t>4.1.2.</w:t>
      </w:r>
      <w:r>
        <w:rPr>
          <w:noProof/>
        </w:rPr>
        <w:tab/>
      </w:r>
      <w:r>
        <w:rPr>
          <w:b/>
          <w:noProof/>
        </w:rPr>
        <w:t>Приложение в конкретния случай</w:t>
      </w:r>
    </w:p>
    <w:p>
      <w:pPr>
        <w:rPr>
          <w:noProof/>
        </w:rPr>
      </w:pPr>
      <w:r>
        <w:rPr>
          <w:noProof/>
        </w:rPr>
        <w:t>OIV е орган, създаден по силата на споразумение, а именно Споразумението за създаване на Международна организация по лозата и виното.</w:t>
      </w:r>
    </w:p>
    <w:p>
      <w:pPr>
        <w:rPr>
          <w:noProof/>
        </w:rPr>
      </w:pPr>
      <w:r>
        <w:rPr>
          <w:noProof/>
        </w:rPr>
        <w:t>Като се има предвид, че резолюциите на OIV могат да имат правни последици и че Съюзът има изключителна компетентност в тези области, актът, който OIV се очаква да приеме, засяга пряко интересите на Съюза.</w:t>
      </w:r>
    </w:p>
    <w:p>
      <w:pPr>
        <w:rPr>
          <w:noProof/>
        </w:rPr>
      </w:pPr>
      <w:r>
        <w:rPr>
          <w:noProof/>
        </w:rPr>
        <w:t>С предвидения акт не се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rPr>
          <w:b/>
          <w:noProof/>
        </w:rPr>
      </w:pPr>
      <w:r>
        <w:rPr>
          <w:b/>
          <w:noProof/>
        </w:rPr>
        <w:t>4.2.</w:t>
      </w:r>
      <w:r>
        <w:rPr>
          <w:noProof/>
        </w:rPr>
        <w:tab/>
      </w:r>
      <w:r>
        <w:rPr>
          <w:b/>
          <w:noProof/>
        </w:rPr>
        <w:t>Материалноправно основание</w:t>
      </w:r>
    </w:p>
    <w:p>
      <w:pPr>
        <w:rPr>
          <w:b/>
          <w:noProof/>
        </w:rPr>
      </w:pPr>
      <w:r>
        <w:rPr>
          <w:b/>
          <w:noProof/>
        </w:rPr>
        <w:t>4.2.1.</w:t>
      </w:r>
      <w:r>
        <w:rPr>
          <w:noProof/>
        </w:rPr>
        <w:tab/>
      </w:r>
      <w:r>
        <w:rPr>
          <w:b/>
          <w:noProof/>
        </w:rPr>
        <w:t>Принципи</w:t>
      </w:r>
    </w:p>
    <w:p>
      <w:pPr>
        <w:rPr>
          <w:noProof/>
        </w:rPr>
      </w:pPr>
      <w:r>
        <w:rPr>
          <w:noProof/>
        </w:rPr>
        <w:t>Материалноправното основание за приемането на решение в съответствие с член 218, параграф 9 от ДФЕС зависи преди всичко от целта и съдържанието на предвидения акт, във връзка с който се заема позиция от името на Съюза. В случай че с предвидения акт се преследват две цели или същият включва два компонента, и че едната от тези цели или единият от тези компоненти може да се окачестви като основен/основна, докато другият(ата) има по-скоро второстепенна роля, решението на основание член 218, параграф 9 от ДФЕС трябва да има единна материалноправна основа, а именно продиктуваната от основния/основната или доминиращия(ата) цел или компонент.</w:t>
      </w:r>
    </w:p>
    <w:p>
      <w:pPr>
        <w:rPr>
          <w:b/>
          <w:noProof/>
        </w:rPr>
      </w:pPr>
      <w:r>
        <w:rPr>
          <w:b/>
          <w:noProof/>
        </w:rPr>
        <w:t>4.2.2.</w:t>
      </w:r>
      <w:r>
        <w:rPr>
          <w:noProof/>
        </w:rPr>
        <w:tab/>
      </w:r>
      <w:r>
        <w:rPr>
          <w:b/>
          <w:noProof/>
        </w:rPr>
        <w:t>Приложение в конкретния случай</w:t>
      </w:r>
    </w:p>
    <w:p>
      <w:pPr>
        <w:rPr>
          <w:noProof/>
        </w:rPr>
      </w:pPr>
      <w:r>
        <w:rPr>
          <w:noProof/>
        </w:rPr>
        <w:t>Основната цел и съдържание на предвидения акт са свързани с общата селскостопанска политика.</w:t>
      </w:r>
    </w:p>
    <w:p>
      <w:pPr>
        <w:rPr>
          <w:noProof/>
        </w:rPr>
      </w:pPr>
      <w:r>
        <w:rPr>
          <w:noProof/>
        </w:rPr>
        <w:t>Поради това материалноправното основание за предложеното решение е член 43 от ДФЕС.</w:t>
      </w:r>
    </w:p>
    <w:p>
      <w:pPr>
        <w:rPr>
          <w:b/>
          <w:noProof/>
        </w:rPr>
      </w:pPr>
      <w:r>
        <w:rPr>
          <w:b/>
          <w:noProof/>
        </w:rPr>
        <w:t>4.3.</w:t>
      </w:r>
      <w:r>
        <w:rPr>
          <w:noProof/>
        </w:rPr>
        <w:tab/>
      </w:r>
      <w:r>
        <w:rPr>
          <w:b/>
          <w:noProof/>
        </w:rPr>
        <w:t>Заключение</w:t>
      </w:r>
    </w:p>
    <w:p>
      <w:pPr>
        <w:rPr>
          <w:noProof/>
        </w:rPr>
      </w:pPr>
      <w:r>
        <w:rPr>
          <w:noProof/>
        </w:rPr>
        <w:t>Правното основание за предложеното решение следва да бъде член 43 от ДФЕС във връзка с член 218, параграф 9 от ДФЕС.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2017/0211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се заеме от името на Европейския съюз в рамките на Международната организация по лозата и виното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създаване на Международна организация по лозата и виното (наричано по-долу „споразумението“) влезе в сила на 1 януари 2004 г.</w:t>
      </w:r>
    </w:p>
    <w:p>
      <w:pPr>
        <w:pStyle w:val="ManualConsidrant"/>
        <w:rPr>
          <w:noProof/>
        </w:rPr>
      </w:pPr>
      <w:r>
        <w:t>(2)</w:t>
      </w:r>
      <w:r>
        <w:tab/>
      </w:r>
      <w:r>
        <w:rPr>
          <w:noProof/>
        </w:rPr>
        <w:t>В съответствие с член 2 от споразумението Международната организация по лозата и виното („OIV“) може да приема препоръки във връзка с условията за производство на лозаро-винарски продукти, енологичните практики, определенията и/или описанията на продукти, етикетирането и условията за предлагане на пазара, както и с методите за анализ и оценка на лозаро</w:t>
      </w:r>
      <w:r>
        <w:rPr>
          <w:noProof/>
        </w:rPr>
        <w:noBreakHyphen/>
        <w:t>винарските продукти.</w:t>
      </w:r>
    </w:p>
    <w:p>
      <w:pPr>
        <w:pStyle w:val="ManualConsidrant"/>
        <w:rPr>
          <w:noProof/>
        </w:rPr>
      </w:pPr>
      <w:r>
        <w:t>(3)</w:t>
      </w:r>
      <w:r>
        <w:tab/>
      </w:r>
      <w:r>
        <w:rPr>
          <w:noProof/>
        </w:rPr>
        <w:t>В законодателството на Съюза в областта на енологичните практики препоръките на OIV се вземат под внимание. Методите за анализ на Съюза се основават на препоръките на OIV. Използваните от OIV спецификации на веществата се инкорпорират непосредствено в законодателството на Съюза. Други въпроси, по които работи OIV, също попадат в сферата на компетентност на Съюза.</w:t>
      </w:r>
    </w:p>
    <w:p>
      <w:pPr>
        <w:pStyle w:val="ManualConsidrant"/>
        <w:rPr>
          <w:noProof/>
        </w:rPr>
      </w:pPr>
      <w:r>
        <w:t>(4)</w:t>
      </w:r>
      <w:r>
        <w:tab/>
      </w:r>
      <w:r>
        <w:rPr>
          <w:noProof/>
        </w:rPr>
        <w:t>Въпрос от взаимен интерес както за OIV, така и за Съюза, е Съюзът да бъде напълно информиран за текущите обсъждания при подготовката на нови резолюции на OIV. По-активното участие на Съюза в работата на OIV следва да улесни установяването на позициите на Съюза във връзка с проектопрепоръките на OIV и бъдещото разработване на правилата на Съюза в съответствие със стандартите на OIV. Следва ясно да се дефинират редът и условията за участието на Съюза в OIV и неговият обхват.</w:t>
      </w:r>
    </w:p>
    <w:p>
      <w:pPr>
        <w:pStyle w:val="ManualConsidrant"/>
        <w:rPr>
          <w:noProof/>
        </w:rPr>
      </w:pPr>
      <w:r>
        <w:t>(5)</w:t>
      </w:r>
      <w:r>
        <w:tab/>
      </w:r>
      <w:r>
        <w:rPr>
          <w:noProof/>
        </w:rPr>
        <w:t>Понастоящем Съюзът няма официален статут в Международната организация по лозата и виното (OIV).</w:t>
      </w:r>
    </w:p>
    <w:p>
      <w:pPr>
        <w:pStyle w:val="ManualConsidrant"/>
        <w:rPr>
          <w:noProof/>
        </w:rPr>
      </w:pPr>
      <w:r>
        <w:t>(6)</w:t>
      </w:r>
      <w:r>
        <w:tab/>
      </w:r>
      <w:r>
        <w:rPr>
          <w:noProof/>
        </w:rPr>
        <w:t>На основание член 4 от Процедурния правилник на OIV международна междуправителствена организация може да поиска да ѝ бъде предоставен специален статут, който да ѝ позволи да участва в работата на комисиите, подкомисиите и експертните групи и да присъства на заседанията на Общото събрание и на Изпълнителния комитет. В посочения по-горе член се предвижда възможността — по предложение на Изпълнителния комитет и с одобрението на Общото събрание — OIV и въпросната организация да встъпят в специална договореност, чрез която да се дефинират за всеки случай поотделно конкретните условия за сътрудничество, в т.ч. размерът на годишната ѝ финансова вноска. В точка А.5 от приложение 3 към посочения Процедурен правилник освен това се предвижда решенията за предоставяне на такъв статут да се вземат от Общото събрание на OIV, като съответното решение се предава от генералния директор на OIV на въпросната организация под формата на размяна на писма.</w:t>
      </w:r>
    </w:p>
    <w:p>
      <w:pPr>
        <w:pStyle w:val="ManualConsidrant"/>
        <w:rPr>
          <w:noProof/>
        </w:rPr>
      </w:pPr>
      <w:r>
        <w:t>(7)</w:t>
      </w:r>
      <w:r>
        <w:tab/>
      </w:r>
      <w:r>
        <w:rPr>
          <w:noProof/>
        </w:rPr>
        <w:t>На 1 октомври 2015 г. Съветът упълномощи Комисията да започне проучвателни разговори с OIV с оглед получаването от Съюза на специален статут в съответствие с член 4 от Процедурния правилник на OIV</w:t>
      </w:r>
      <w:r>
        <w:rPr>
          <w:rStyle w:val="FootnoteReference"/>
          <w:noProof/>
        </w:rPr>
        <w:footnoteReference w:id="2"/>
      </w:r>
      <w:r>
        <w:rPr>
          <w:noProof/>
        </w:rPr>
        <w:t>. Специалната договореност, чийто текст е поместен в приложението към настоящото решение, е резултат от проведените проучвателни разговори. Правните последици от специалния статут на Съюза в рамките на OIV ще бъдат сведени до дефинираните в нея специфични условия.</w:t>
      </w:r>
    </w:p>
    <w:p>
      <w:pPr>
        <w:pStyle w:val="ManualConsidrant"/>
        <w:rPr>
          <w:noProof/>
        </w:rPr>
      </w:pPr>
      <w:r>
        <w:t>(8)</w:t>
      </w:r>
      <w:r>
        <w:tab/>
      </w:r>
      <w:r>
        <w:rPr>
          <w:noProof/>
        </w:rPr>
        <w:t>Независимо от факта, че специалният статут няма да е обвързан с право на глас, той ще позволи на Съюза по-тясно да се включи в работата на OIV, без с това да се променя ролята на държавите членки, които членуват в OIV и следва да запазят своя статут.</w:t>
      </w:r>
    </w:p>
    <w:p>
      <w:pPr>
        <w:pStyle w:val="ManualConsidrant"/>
        <w:rPr>
          <w:noProof/>
        </w:rPr>
      </w:pPr>
      <w:r>
        <w:t>(9)</w:t>
      </w:r>
      <w:r>
        <w:tab/>
      </w:r>
      <w:r>
        <w:rPr>
          <w:noProof/>
        </w:rPr>
        <w:t>След проведените проучвателни разговори за тази цел Съветът упълномощи Комисията да представи, от името на ЕС, на OIV писмо с искане за предоставяне на Съюза на специален статут при условията на специалната договореност, чийто текст е поместен в приложението към настоящото решение.</w:t>
      </w:r>
    </w:p>
    <w:p>
      <w:pPr>
        <w:pStyle w:val="ManualConsidrant"/>
        <w:rPr>
          <w:noProof/>
        </w:rPr>
      </w:pPr>
      <w:r>
        <w:t>(10)</w:t>
      </w:r>
      <w:r>
        <w:tab/>
      </w:r>
      <w:r>
        <w:rPr>
          <w:noProof/>
        </w:rPr>
        <w:t>След получаване на въпросното писмо, по време на насроченото за 20 октомври 2017 г. 16-о Общо събрание на OIV се предвижда OIV да приеме решение във връзка с предоставянето на специален статут на Съюза в рамките на организацията (наричано по-долу „предвиденият акт“).</w:t>
      </w:r>
    </w:p>
    <w:p>
      <w:pPr>
        <w:pStyle w:val="ManualConsidrant"/>
        <w:rPr>
          <w:noProof/>
        </w:rPr>
      </w:pPr>
      <w:r>
        <w:t>(11)</w:t>
      </w:r>
      <w:r>
        <w:tab/>
      </w:r>
      <w:r>
        <w:rPr>
          <w:noProof/>
        </w:rPr>
        <w:t>20 държави членки са членове на OIV. Целесъобразно е да се установи позицията, която да се заеме от тези държави членки от името на Съюза в Общото събрание на OIV, тъй като предвиденият акт се отнася до ролята на Съюза в рамките на OIV и поради това непосредствено засяга интересите на Съюза.</w:t>
      </w:r>
    </w:p>
    <w:p>
      <w:pPr>
        <w:pStyle w:val="ManualConsidrant"/>
        <w:rPr>
          <w:noProof/>
        </w:rPr>
      </w:pPr>
      <w:r>
        <w:t>(12)</w:t>
      </w:r>
      <w:r>
        <w:tab/>
      </w:r>
      <w:r>
        <w:rPr>
          <w:noProof/>
        </w:rPr>
        <w:t>Предвид правните последици, които могат да имат някои резолюции на OIV, и с оглед на компетентността на Съюза в повечето от областите на дейност на OIV държавите членки, които са членове на OIV, следва да подкрепят решението на Общото събрание за предоставяне на Съюза на специален статут и за встъпване във фигуриращата в приложението към настоящото решение специална договореност със Съюза.</w:t>
      </w:r>
    </w:p>
    <w:p>
      <w:pPr>
        <w:pStyle w:val="ManualConsidrant"/>
        <w:rPr>
          <w:noProof/>
        </w:rPr>
      </w:pPr>
      <w:r>
        <w:t>(13)</w:t>
      </w:r>
      <w:r>
        <w:tab/>
      </w:r>
      <w:r>
        <w:rPr>
          <w:noProof/>
        </w:rPr>
        <w:t>По подразбиране решението на Общото събрание на OIV за предоставяне на въпросния статут ще бъде предадено от генералния директор на OIV на ЕС, при което ще бъде потвърдена датата, от която ще бъде приложим специалният статут на ЕС в рамките на OIV,</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следва да се заеме от името на Съюза по време на 16-ото Общо събрание на OIV относно решението за предоставяне на Съюза на специален статут при условията на специална договореност между OIV и Съюза, е изложена в приложението към настоящото решение. </w:t>
      </w:r>
    </w:p>
    <w:p>
      <w:pPr>
        <w:pStyle w:val="Titrearticle"/>
        <w:rPr>
          <w:noProof/>
        </w:rPr>
      </w:pPr>
      <w:r>
        <w:rPr>
          <w:noProof/>
        </w:rPr>
        <w:t>Член 2</w:t>
      </w:r>
    </w:p>
    <w:p>
      <w:pPr>
        <w:rPr>
          <w:noProof/>
        </w:rPr>
      </w:pPr>
      <w:r>
        <w:rPr>
          <w:noProof/>
        </w:rPr>
        <w:t>Позицията по член 1 се изразява съвместно от държавите — членки на Съюза, които са членове на OIV.</w:t>
      </w:r>
    </w:p>
    <w:p>
      <w:pPr>
        <w:pStyle w:val="Titrearticle"/>
        <w:rPr>
          <w:noProof/>
        </w:rPr>
      </w:pPr>
      <w:r>
        <w:rPr>
          <w:noProof/>
        </w:rPr>
        <w:t>Член 3</w:t>
      </w:r>
    </w:p>
    <w:p>
      <w:pPr>
        <w:keepNext/>
        <w:keepLines/>
        <w:rPr>
          <w:noProof/>
        </w:rPr>
      </w:pPr>
      <w:r>
        <w:rPr>
          <w:noProof/>
        </w:rPr>
        <w:t>Адресати на настоящото решение са държавите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pPr>
      <w:r>
        <w:rPr>
          <w:noProof/>
        </w:rPr>
        <w:tab/>
        <w:t>Председател</w:t>
      </w:r>
      <w:r>
        <w:rPr>
          <w:noProof/>
        </w:rPr>
        <w:br w:type="page"/>
      </w:r>
    </w:p>
    <w:tbl>
      <w:tblPr>
        <w:tblW w:w="9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275"/>
        <w:gridCol w:w="142"/>
        <w:gridCol w:w="1134"/>
        <w:gridCol w:w="142"/>
        <w:gridCol w:w="283"/>
        <w:gridCol w:w="567"/>
        <w:gridCol w:w="1134"/>
      </w:tblGrid>
      <w:tr>
        <w:trPr>
          <w:trHeight w:val="355"/>
        </w:trPr>
        <w:tc>
          <w:tcPr>
            <w:tcW w:w="7144" w:type="dxa"/>
            <w:gridSpan w:val="6"/>
            <w:vMerge w:val="restart"/>
          </w:tcPr>
          <w:p>
            <w:pPr>
              <w:pStyle w:val="Fichefinanciretitretable"/>
              <w:keepNext/>
              <w:rPr>
                <w:noProof/>
              </w:rPr>
            </w:pPr>
            <w:r>
              <w:rPr>
                <w:noProof/>
              </w:rPr>
              <w:t>ФИНАНСОВА ОБОСНОВКА</w:t>
            </w:r>
          </w:p>
        </w:tc>
        <w:tc>
          <w:tcPr>
            <w:tcW w:w="1984" w:type="dxa"/>
            <w:gridSpan w:val="3"/>
          </w:tcPr>
          <w:p>
            <w:pPr>
              <w:pStyle w:val="Fichefinanciretextetable"/>
              <w:keepNext/>
              <w:rPr>
                <w:noProof/>
              </w:rPr>
            </w:pPr>
            <w:r>
              <w:rPr>
                <w:noProof/>
              </w:rPr>
              <w:t>Fin Stat/17/MK/aj/</w:t>
            </w:r>
          </w:p>
          <w:p>
            <w:pPr>
              <w:pStyle w:val="Fichefinanciretextetable"/>
              <w:keepNext/>
              <w:rPr>
                <w:noProof/>
              </w:rPr>
            </w:pPr>
            <w:r>
              <w:rPr>
                <w:noProof/>
                <w:color w:val="000000" w:themeColor="text1"/>
              </w:rPr>
              <w:t>rev13364208</w:t>
            </w:r>
          </w:p>
          <w:p>
            <w:pPr>
              <w:pStyle w:val="Fichefinanciretextetable"/>
              <w:keepNext/>
            </w:pPr>
            <w:r>
              <w:rPr>
                <w:noProof/>
                <w:color w:val="000000" w:themeColor="text1"/>
              </w:rPr>
              <w:t>agri.ddg3.g.2(2017)3305536</w:t>
            </w:r>
          </w:p>
        </w:tc>
      </w:tr>
      <w:tr>
        <w:trPr>
          <w:trHeight w:val="355"/>
        </w:trPr>
        <w:tc>
          <w:tcPr>
            <w:tcW w:w="7144" w:type="dxa"/>
            <w:gridSpan w:val="6"/>
            <w:vMerge/>
            <w:tcBorders>
              <w:bottom w:val="nil"/>
            </w:tcBorders>
          </w:tcPr>
          <w:p>
            <w:pPr>
              <w:pStyle w:val="Fichefinanciretitretable"/>
              <w:keepNext/>
              <w:rPr>
                <w:noProof/>
              </w:rPr>
            </w:pPr>
          </w:p>
        </w:tc>
        <w:tc>
          <w:tcPr>
            <w:tcW w:w="1984" w:type="dxa"/>
            <w:gridSpan w:val="3"/>
          </w:tcPr>
          <w:p>
            <w:pPr>
              <w:pStyle w:val="Fichefinanciretextetable"/>
              <w:keepNext/>
            </w:pPr>
            <w:r>
              <w:rPr>
                <w:rFonts w:ascii="Arial" w:hAnsi="Arial"/>
                <w:i/>
                <w:noProof/>
                <w:color w:val="000000" w:themeColor="text1"/>
                <w:spacing w:val="-3"/>
              </w:rPr>
              <w:t>6.221.2017.1</w:t>
            </w:r>
          </w:p>
        </w:tc>
      </w:tr>
      <w:tr>
        <w:tc>
          <w:tcPr>
            <w:tcW w:w="7144" w:type="dxa"/>
            <w:gridSpan w:val="6"/>
            <w:tcBorders>
              <w:top w:val="nil"/>
            </w:tcBorders>
          </w:tcPr>
          <w:p>
            <w:pPr>
              <w:pStyle w:val="Fichefinanciretextetable"/>
              <w:keepNext/>
              <w:rPr>
                <w:noProof/>
              </w:rPr>
            </w:pPr>
          </w:p>
        </w:tc>
        <w:tc>
          <w:tcPr>
            <w:tcW w:w="1984" w:type="dxa"/>
            <w:gridSpan w:val="3"/>
          </w:tcPr>
          <w:p>
            <w:pPr>
              <w:pStyle w:val="Fichefinanciretextetable"/>
              <w:keepNext/>
              <w:rPr>
                <w:noProof/>
              </w:rPr>
            </w:pPr>
            <w:r>
              <w:rPr>
                <w:noProof/>
                <w:color w:val="000000" w:themeColor="text1"/>
              </w:rPr>
              <w:t>ДАТА: 12</w:t>
            </w:r>
            <w:r>
              <w:rPr>
                <w:noProof/>
              </w:rPr>
              <w:t>.6.2017 г.</w:t>
            </w:r>
          </w:p>
          <w:p>
            <w:pPr>
              <w:pStyle w:val="Fichefinanciretextetable"/>
              <w:keepNext/>
              <w:rPr>
                <w:noProof/>
                <w:color w:val="000000" w:themeColor="text1"/>
              </w:rPr>
            </w:pPr>
          </w:p>
        </w:tc>
      </w:tr>
      <w:tr>
        <w:tc>
          <w:tcPr>
            <w:tcW w:w="567" w:type="dxa"/>
            <w:tcBorders>
              <w:right w:val="nil"/>
            </w:tcBorders>
          </w:tcPr>
          <w:p>
            <w:pPr>
              <w:pStyle w:val="Fichefinanciretextetable"/>
              <w:keepNext/>
              <w:rPr>
                <w:noProof/>
              </w:rPr>
            </w:pPr>
            <w:r>
              <w:rPr>
                <w:noProof/>
              </w:rPr>
              <w:t>1.</w:t>
            </w:r>
          </w:p>
        </w:tc>
        <w:tc>
          <w:tcPr>
            <w:tcW w:w="6577" w:type="dxa"/>
            <w:gridSpan w:val="5"/>
            <w:tcBorders>
              <w:left w:val="nil"/>
              <w:right w:val="nil"/>
            </w:tcBorders>
          </w:tcPr>
          <w:p>
            <w:pPr>
              <w:pStyle w:val="Fichefinanciretextetable"/>
              <w:keepNext/>
              <w:rPr>
                <w:noProof/>
              </w:rPr>
            </w:pPr>
            <w:r>
              <w:rPr>
                <w:noProof/>
              </w:rPr>
              <w:t>БЮДЖЕТЕН РЕД:</w:t>
            </w:r>
          </w:p>
          <w:p>
            <w:pPr>
              <w:pStyle w:val="Fichefinanciretextetable"/>
              <w:keepNext/>
              <w:rPr>
                <w:noProof/>
              </w:rPr>
            </w:pPr>
            <w:r>
              <w:rPr>
                <w:noProof/>
              </w:rPr>
              <w:t>Глава 05 06 МЕЖДУНАРОДНИ АСПЕКТИ В ОБЛАСТ НА ПОЛИТИКАТА „ЗЕМЕДЕЛИЕ И РАЗВИТИЕ НА СЕЛСКИТЕ РАЙОНИ“</w:t>
            </w:r>
          </w:p>
          <w:p>
            <w:pPr>
              <w:pStyle w:val="Fichefinanciretextetable"/>
              <w:keepNext/>
              <w:rPr>
                <w:noProof/>
              </w:rPr>
            </w:pPr>
            <w:r>
              <w:rPr>
                <w:noProof/>
              </w:rPr>
              <w:t>05 06 02 Международни селскостопански организации</w:t>
            </w:r>
          </w:p>
        </w:tc>
        <w:tc>
          <w:tcPr>
            <w:tcW w:w="1984" w:type="dxa"/>
            <w:gridSpan w:val="3"/>
            <w:tcBorders>
              <w:left w:val="nil"/>
            </w:tcBorders>
          </w:tcPr>
          <w:p>
            <w:pPr>
              <w:pStyle w:val="Fichefinanciretextetable"/>
              <w:keepNext/>
              <w:rPr>
                <w:noProof/>
              </w:rPr>
            </w:pPr>
            <w:r>
              <w:rPr>
                <w:noProof/>
              </w:rPr>
              <w:t>БЮДЖЕТНИ КРЕДИТИ:</w:t>
            </w:r>
          </w:p>
          <w:p>
            <w:pPr>
              <w:pStyle w:val="Fichefinanciretextetable"/>
              <w:keepNext/>
              <w:rPr>
                <w:noProof/>
              </w:rPr>
            </w:pPr>
          </w:p>
          <w:p>
            <w:pPr>
              <w:pStyle w:val="Fichefinanciretextetable"/>
              <w:keepNext/>
              <w:rPr>
                <w:noProof/>
              </w:rPr>
            </w:pPr>
            <w:r>
              <w:rPr>
                <w:noProof/>
              </w:rPr>
              <w:t>B2017: 180 000 EUR</w:t>
            </w:r>
          </w:p>
        </w:tc>
      </w:tr>
      <w:tr>
        <w:tc>
          <w:tcPr>
            <w:tcW w:w="567" w:type="dxa"/>
            <w:tcBorders>
              <w:bottom w:val="nil"/>
              <w:right w:val="nil"/>
            </w:tcBorders>
          </w:tcPr>
          <w:p>
            <w:pPr>
              <w:pStyle w:val="Fichefinanciretextetable"/>
              <w:keepNext/>
              <w:rPr>
                <w:noProof/>
              </w:rPr>
            </w:pPr>
            <w:r>
              <w:rPr>
                <w:noProof/>
              </w:rPr>
              <w:t>2.</w:t>
            </w:r>
          </w:p>
        </w:tc>
        <w:tc>
          <w:tcPr>
            <w:tcW w:w="8561" w:type="dxa"/>
            <w:gridSpan w:val="8"/>
            <w:tcBorders>
              <w:left w:val="nil"/>
            </w:tcBorders>
          </w:tcPr>
          <w:p>
            <w:pPr>
              <w:pStyle w:val="Fichefinanciretextetable"/>
              <w:keepNext/>
              <w:rPr>
                <w:noProof/>
                <w:sz w:val="24"/>
                <w:szCs w:val="24"/>
              </w:rPr>
            </w:pPr>
            <w:r>
              <w:rPr>
                <w:noProof/>
              </w:rPr>
              <w:t>НАИМЕНОВАНИЕ:</w:t>
            </w:r>
            <w:r>
              <w:rPr>
                <w:noProof/>
              </w:rPr>
              <w:br/>
            </w:r>
            <w:r>
              <w:rPr>
                <w:noProof/>
                <w:sz w:val="24"/>
              </w:rPr>
              <w:t>Предложение за Решение на Съвета относно позицията, която да се заеме от името на Европейския съюз в рамките на Международната организация по лозата и виното</w:t>
            </w:r>
          </w:p>
          <w:p>
            <w:pPr>
              <w:pStyle w:val="Fichefinanciretextetable"/>
              <w:keepNext/>
              <w:rPr>
                <w:noProof/>
              </w:rPr>
            </w:pPr>
          </w:p>
        </w:tc>
      </w:tr>
      <w:tr>
        <w:tc>
          <w:tcPr>
            <w:tcW w:w="567" w:type="dxa"/>
            <w:tcBorders>
              <w:bottom w:val="nil"/>
              <w:right w:val="nil"/>
            </w:tcBorders>
          </w:tcPr>
          <w:p>
            <w:pPr>
              <w:pStyle w:val="Fichefinanciretextetable"/>
              <w:keepNext/>
              <w:rPr>
                <w:noProof/>
              </w:rPr>
            </w:pPr>
            <w:r>
              <w:rPr>
                <w:noProof/>
              </w:rPr>
              <w:t>3.</w:t>
            </w:r>
          </w:p>
        </w:tc>
        <w:tc>
          <w:tcPr>
            <w:tcW w:w="8561" w:type="dxa"/>
            <w:gridSpan w:val="8"/>
            <w:tcBorders>
              <w:left w:val="nil"/>
            </w:tcBorders>
          </w:tcPr>
          <w:p>
            <w:pPr>
              <w:keepNext/>
              <w:pBdr>
                <w:top w:val="nil"/>
                <w:left w:val="nil"/>
                <w:bottom w:val="nil"/>
                <w:right w:val="nil"/>
                <w:between w:val="nil"/>
                <w:bar w:val="nil"/>
              </w:pBdr>
              <w:spacing w:after="240"/>
              <w:rPr>
                <w:rFonts w:eastAsia="Arial Unicode MS"/>
                <w:noProof/>
              </w:rPr>
            </w:pPr>
            <w:r>
              <w:rPr>
                <w:noProof/>
              </w:rPr>
              <w:t>ПРАВНО ОСНОВАНИЕ: Правното основание за настоящото предложение е член 43 във връзка с член 218, параграф 9 от Договора за функционирането на Европейския съюз.</w:t>
            </w:r>
          </w:p>
        </w:tc>
      </w:tr>
      <w:tr>
        <w:tc>
          <w:tcPr>
            <w:tcW w:w="567" w:type="dxa"/>
            <w:tcBorders>
              <w:right w:val="nil"/>
            </w:tcBorders>
          </w:tcPr>
          <w:p>
            <w:pPr>
              <w:pStyle w:val="Fichefinanciretextetable"/>
              <w:keepNext/>
              <w:rPr>
                <w:noProof/>
              </w:rPr>
            </w:pPr>
            <w:r>
              <w:rPr>
                <w:noProof/>
              </w:rPr>
              <w:t>4.</w:t>
            </w:r>
          </w:p>
        </w:tc>
        <w:tc>
          <w:tcPr>
            <w:tcW w:w="8561" w:type="dxa"/>
            <w:gridSpan w:val="8"/>
            <w:tcBorders>
              <w:left w:val="nil"/>
            </w:tcBorders>
          </w:tcPr>
          <w:p>
            <w:pPr>
              <w:pStyle w:val="Fichefinanciretextetable"/>
              <w:keepNext/>
              <w:rPr>
                <w:noProof/>
              </w:rPr>
            </w:pPr>
            <w:r>
              <w:rPr>
                <w:noProof/>
              </w:rPr>
              <w:t>ЦЕЛИ:</w:t>
            </w:r>
          </w:p>
          <w:p>
            <w:pPr>
              <w:pStyle w:val="Fichefinanciretextetable"/>
              <w:keepNext/>
              <w:rPr>
                <w:noProof/>
              </w:rPr>
            </w:pPr>
            <w:r>
              <w:rPr>
                <w:noProof/>
              </w:rPr>
              <w:t xml:space="preserve">Официално определяне на ролята на ЕС в рамките на OIV. </w:t>
            </w:r>
          </w:p>
        </w:tc>
      </w:tr>
      <w:tr>
        <w:tc>
          <w:tcPr>
            <w:tcW w:w="567" w:type="dxa"/>
            <w:tcBorders>
              <w:bottom w:val="nil"/>
              <w:right w:val="nil"/>
            </w:tcBorders>
          </w:tcPr>
          <w:p>
            <w:pPr>
              <w:pStyle w:val="Fichefinanciretextetable"/>
              <w:keepNext/>
              <w:rPr>
                <w:noProof/>
              </w:rPr>
            </w:pPr>
            <w:r>
              <w:rPr>
                <w:noProof/>
              </w:rPr>
              <w:t>5.</w:t>
            </w:r>
          </w:p>
        </w:tc>
        <w:tc>
          <w:tcPr>
            <w:tcW w:w="3884" w:type="dxa"/>
            <w:tcBorders>
              <w:left w:val="nil"/>
            </w:tcBorders>
          </w:tcPr>
          <w:p>
            <w:pPr>
              <w:pStyle w:val="Fichefinanciretextetable"/>
              <w:keepNext/>
              <w:rPr>
                <w:noProof/>
              </w:rPr>
            </w:pPr>
            <w:r>
              <w:rPr>
                <w:noProof/>
              </w:rPr>
              <w:t>ФИНАНСОВИ ПОСЛЕДИЦИ</w:t>
            </w:r>
          </w:p>
        </w:tc>
        <w:tc>
          <w:tcPr>
            <w:tcW w:w="1417" w:type="dxa"/>
            <w:gridSpan w:val="2"/>
          </w:tcPr>
          <w:p>
            <w:pPr>
              <w:pStyle w:val="Fichefinanciretextetable"/>
              <w:keepNext/>
              <w:jc w:val="center"/>
              <w:rPr>
                <w:noProof/>
              </w:rPr>
            </w:pPr>
            <w:r>
              <w:rPr>
                <w:noProof/>
              </w:rPr>
              <w:t>12-МЕСЕЧЕН ПЕРИОД</w:t>
            </w:r>
            <w:r>
              <w:rPr>
                <w:noProof/>
              </w:rPr>
              <w:br/>
            </w:r>
            <w:r>
              <w:rPr>
                <w:noProof/>
              </w:rPr>
              <w:br/>
              <w:t>(в евро)</w:t>
            </w:r>
          </w:p>
        </w:tc>
        <w:tc>
          <w:tcPr>
            <w:tcW w:w="1559" w:type="dxa"/>
            <w:gridSpan w:val="3"/>
          </w:tcPr>
          <w:p>
            <w:pPr>
              <w:pStyle w:val="Fichefinanciretextetable"/>
              <w:keepNext/>
              <w:jc w:val="center"/>
              <w:rPr>
                <w:noProof/>
              </w:rPr>
            </w:pPr>
            <w:r>
              <w:rPr>
                <w:noProof/>
                <w:color w:val="000000" w:themeColor="text1"/>
              </w:rPr>
              <w:t xml:space="preserve">ТЕКУЩА ФИНАНСОВА ГОДИНА – </w:t>
            </w:r>
            <w:r>
              <w:rPr>
                <w:noProof/>
              </w:rPr>
              <w:t>2017</w:t>
            </w:r>
          </w:p>
          <w:p>
            <w:pPr>
              <w:pStyle w:val="Fichefinanciretextetable"/>
              <w:keepNext/>
              <w:jc w:val="center"/>
              <w:rPr>
                <w:noProof/>
                <w:color w:val="000000" w:themeColor="text1"/>
              </w:rPr>
            </w:pPr>
            <w:r>
              <w:rPr>
                <w:noProof/>
                <w:color w:val="000000" w:themeColor="text1"/>
              </w:rPr>
              <w:t>(в евро)</w:t>
            </w:r>
          </w:p>
        </w:tc>
        <w:tc>
          <w:tcPr>
            <w:tcW w:w="1701" w:type="dxa"/>
            <w:gridSpan w:val="2"/>
          </w:tcPr>
          <w:p>
            <w:pPr>
              <w:pStyle w:val="Fichefinanciretextetable"/>
              <w:keepNext/>
              <w:jc w:val="center"/>
              <w:rPr>
                <w:noProof/>
                <w:color w:val="000000" w:themeColor="text1"/>
              </w:rPr>
            </w:pPr>
            <w:r>
              <w:rPr>
                <w:noProof/>
                <w:color w:val="000000" w:themeColor="text1"/>
              </w:rPr>
              <w:t xml:space="preserve">СЛЕДВАЩА ФИНАНСОВА ГОДИНА – </w:t>
            </w:r>
            <w:r>
              <w:rPr>
                <w:noProof/>
              </w:rPr>
              <w:t>2018</w:t>
            </w:r>
            <w:r>
              <w:rPr>
                <w:noProof/>
                <w:color w:val="000000" w:themeColor="text1"/>
              </w:rPr>
              <w:t xml:space="preserve"> </w:t>
            </w:r>
          </w:p>
          <w:p>
            <w:pPr>
              <w:pStyle w:val="Fichefinanciretextetable"/>
              <w:keepNext/>
              <w:jc w:val="center"/>
              <w:rPr>
                <w:noProof/>
                <w:color w:val="000000" w:themeColor="text1"/>
              </w:rPr>
            </w:pPr>
            <w:r>
              <w:rPr>
                <w:noProof/>
                <w:color w:val="000000" w:themeColor="text1"/>
              </w:rPr>
              <w:t>(в евро)</w:t>
            </w:r>
          </w:p>
        </w:tc>
      </w:tr>
      <w:tr>
        <w:tc>
          <w:tcPr>
            <w:tcW w:w="567" w:type="dxa"/>
            <w:tcBorders>
              <w:bottom w:val="nil"/>
              <w:right w:val="nil"/>
            </w:tcBorders>
          </w:tcPr>
          <w:p>
            <w:pPr>
              <w:pStyle w:val="Fichefinanciretextetable"/>
              <w:keepNext/>
              <w:rPr>
                <w:noProof/>
              </w:rPr>
            </w:pPr>
            <w:r>
              <w:rPr>
                <w:noProof/>
              </w:rPr>
              <w:t>5.0</w:t>
            </w:r>
          </w:p>
        </w:tc>
        <w:tc>
          <w:tcPr>
            <w:tcW w:w="3884" w:type="dxa"/>
            <w:tcBorders>
              <w:left w:val="nil"/>
            </w:tcBorders>
          </w:tcPr>
          <w:p>
            <w:pPr>
              <w:pStyle w:val="Fichefinanciretextetable"/>
              <w:keepNext/>
              <w:rPr>
                <w:noProof/>
              </w:rPr>
            </w:pPr>
            <w:r>
              <w:rPr>
                <w:noProof/>
              </w:rPr>
              <w:t>РАЗХОДИ</w:t>
            </w:r>
          </w:p>
          <w:p>
            <w:pPr>
              <w:pStyle w:val="Fichefinanciretextetable"/>
              <w:keepNext/>
              <w:rPr>
                <w:noProof/>
              </w:rPr>
            </w:pPr>
            <w:r>
              <w:rPr>
                <w:noProof/>
              </w:rPr>
              <w:t>-</w:t>
            </w:r>
            <w:r>
              <w:rPr>
                <w:noProof/>
              </w:rPr>
              <w:tab/>
              <w:t>ЗА СМЕТКА НА БЮДЖЕТА НА ЕС</w:t>
            </w:r>
            <w:r>
              <w:rPr>
                <w:noProof/>
              </w:rPr>
              <w:br/>
              <w:t>(ВЪЗСТАНОВЯВАНИЯ/ИНТЕРВЕНЦИИ)</w:t>
            </w:r>
          </w:p>
          <w:p>
            <w:pPr>
              <w:pStyle w:val="Fichefinanciretextetable"/>
              <w:keepNext/>
              <w:rPr>
                <w:noProof/>
              </w:rPr>
            </w:pPr>
            <w:r>
              <w:rPr>
                <w:noProof/>
              </w:rPr>
              <w:t>-</w:t>
            </w:r>
            <w:r>
              <w:rPr>
                <w:noProof/>
              </w:rPr>
              <w:tab/>
              <w:t>НА НАЦИОНАЛНИТЕ ОРГАНИ</w:t>
            </w:r>
          </w:p>
          <w:p>
            <w:pPr>
              <w:pStyle w:val="Fichefinanciretextetable"/>
              <w:keepNext/>
              <w:rPr>
                <w:noProof/>
              </w:rPr>
            </w:pPr>
            <w:r>
              <w:rPr>
                <w:noProof/>
              </w:rPr>
              <w:t>-</w:t>
            </w:r>
            <w:r>
              <w:rPr>
                <w:noProof/>
              </w:rPr>
              <w:tab/>
              <w:t>ДРУГИ</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color w:val="000000" w:themeColor="text1"/>
              </w:rPr>
            </w:pPr>
            <w:r>
              <w:rPr>
                <w:noProof/>
              </w:rPr>
              <w:t>140 000</w:t>
            </w:r>
          </w:p>
        </w:tc>
        <w:tc>
          <w:tcPr>
            <w:tcW w:w="1701" w:type="dxa"/>
            <w:gridSpan w:val="2"/>
          </w:tcPr>
          <w:p>
            <w:pPr>
              <w:pStyle w:val="Fichefinanciretextetable"/>
              <w:keepNext/>
              <w:tabs>
                <w:tab w:val="left" w:pos="435"/>
                <w:tab w:val="center" w:pos="794"/>
              </w:tabs>
              <w:rPr>
                <w:noProof/>
                <w:color w:val="000000" w:themeColor="text1"/>
              </w:rPr>
            </w:pPr>
            <w:r>
              <w:rPr>
                <w:noProof/>
              </w:rPr>
              <w:tab/>
              <w:t>140 000</w:t>
            </w:r>
          </w:p>
        </w:tc>
      </w:tr>
      <w:tr>
        <w:tc>
          <w:tcPr>
            <w:tcW w:w="567" w:type="dxa"/>
            <w:tcBorders>
              <w:right w:val="nil"/>
            </w:tcBorders>
          </w:tcPr>
          <w:p>
            <w:pPr>
              <w:pStyle w:val="Fichefinanciretextetable"/>
              <w:keepNext/>
              <w:rPr>
                <w:noProof/>
              </w:rPr>
            </w:pPr>
            <w:r>
              <w:rPr>
                <w:noProof/>
              </w:rPr>
              <w:t>5.1</w:t>
            </w:r>
          </w:p>
        </w:tc>
        <w:tc>
          <w:tcPr>
            <w:tcW w:w="3884" w:type="dxa"/>
            <w:tcBorders>
              <w:left w:val="nil"/>
            </w:tcBorders>
          </w:tcPr>
          <w:p>
            <w:pPr>
              <w:pStyle w:val="Fichefinanciretextetable"/>
              <w:keepNext/>
              <w:rPr>
                <w:noProof/>
              </w:rPr>
            </w:pPr>
            <w:r>
              <w:rPr>
                <w:noProof/>
              </w:rPr>
              <w:t>ПРИХОДИ</w:t>
            </w:r>
          </w:p>
          <w:p>
            <w:pPr>
              <w:pStyle w:val="Fichefinanciretextetable"/>
              <w:keepNext/>
              <w:rPr>
                <w:noProof/>
              </w:rPr>
            </w:pPr>
            <w:r>
              <w:rPr>
                <w:noProof/>
              </w:rPr>
              <w:t>-</w:t>
            </w:r>
            <w:r>
              <w:rPr>
                <w:noProof/>
              </w:rPr>
              <w:tab/>
              <w:t xml:space="preserve">СОБСТВЕНИ РЕСУРСИ НА ЕС </w:t>
            </w:r>
            <w:r>
              <w:rPr>
                <w:noProof/>
              </w:rPr>
              <w:br/>
              <w:t>(НАЛОЗИ/МИТА)</w:t>
            </w:r>
          </w:p>
          <w:p>
            <w:pPr>
              <w:pStyle w:val="Fichefinanciretextetable"/>
              <w:keepNext/>
              <w:rPr>
                <w:noProof/>
              </w:rPr>
            </w:pPr>
            <w:r>
              <w:rPr>
                <w:noProof/>
              </w:rPr>
              <w:t>-</w:t>
            </w:r>
            <w:r>
              <w:rPr>
                <w:noProof/>
              </w:rPr>
              <w:tab/>
              <w:t>НАЦИОНАЛНИ</w:t>
            </w:r>
          </w:p>
        </w:tc>
        <w:tc>
          <w:tcPr>
            <w:tcW w:w="1417" w:type="dxa"/>
            <w:gridSpan w:val="2"/>
          </w:tcPr>
          <w:p>
            <w:pPr>
              <w:pStyle w:val="Fichefinanciretextetable"/>
              <w:keepNext/>
              <w:jc w:val="center"/>
              <w:rPr>
                <w:noProof/>
              </w:rPr>
            </w:pPr>
          </w:p>
        </w:tc>
        <w:tc>
          <w:tcPr>
            <w:tcW w:w="1559" w:type="dxa"/>
            <w:gridSpan w:val="3"/>
          </w:tcPr>
          <w:p>
            <w:pPr>
              <w:pStyle w:val="Fichefinanciretextetable"/>
              <w:keepNext/>
              <w:jc w:val="center"/>
              <w:rPr>
                <w:noProof/>
                <w:color w:val="000000" w:themeColor="text1"/>
              </w:rPr>
            </w:pPr>
          </w:p>
        </w:tc>
        <w:tc>
          <w:tcPr>
            <w:tcW w:w="1701" w:type="dxa"/>
            <w:gridSpan w:val="2"/>
          </w:tcPr>
          <w:p>
            <w:pPr>
              <w:pStyle w:val="Fichefinanciretextetable"/>
              <w:keepNext/>
              <w:jc w:val="center"/>
              <w:rPr>
                <w:noProof/>
                <w:color w:val="000000" w:themeColor="text1"/>
              </w:rPr>
            </w:pPr>
          </w:p>
        </w:tc>
      </w:tr>
      <w:tr>
        <w:tc>
          <w:tcPr>
            <w:tcW w:w="567" w:type="dxa"/>
            <w:tcBorders>
              <w:bottom w:val="nil"/>
              <w:right w:val="nil"/>
            </w:tcBorders>
          </w:tcPr>
          <w:p>
            <w:pPr>
              <w:pStyle w:val="Fichefinanciretextetable"/>
              <w:keepNext/>
              <w:rPr>
                <w:noProof/>
              </w:rPr>
            </w:pPr>
          </w:p>
        </w:tc>
        <w:tc>
          <w:tcPr>
            <w:tcW w:w="3884" w:type="dxa"/>
            <w:tcBorders>
              <w:left w:val="nil"/>
              <w:bottom w:val="nil"/>
            </w:tcBorders>
          </w:tcPr>
          <w:p>
            <w:pPr>
              <w:pStyle w:val="Fichefinanciretextetable"/>
              <w:keepNext/>
              <w:rPr>
                <w:noProof/>
              </w:rPr>
            </w:pPr>
          </w:p>
        </w:tc>
        <w:tc>
          <w:tcPr>
            <w:tcW w:w="1275" w:type="dxa"/>
            <w:tcBorders>
              <w:bottom w:val="nil"/>
            </w:tcBorders>
          </w:tcPr>
          <w:p>
            <w:pPr>
              <w:pStyle w:val="Fichefinanciretextetable"/>
              <w:keepNext/>
              <w:jc w:val="center"/>
              <w:rPr>
                <w:noProof/>
              </w:rPr>
            </w:pPr>
          </w:p>
        </w:tc>
        <w:tc>
          <w:tcPr>
            <w:tcW w:w="1276" w:type="dxa"/>
            <w:gridSpan w:val="2"/>
            <w:tcBorders>
              <w:bottom w:val="nil"/>
            </w:tcBorders>
          </w:tcPr>
          <w:p>
            <w:pPr>
              <w:pStyle w:val="Fichefinanciretextetable"/>
              <w:keepNext/>
              <w:jc w:val="center"/>
            </w:pPr>
          </w:p>
        </w:tc>
        <w:tc>
          <w:tcPr>
            <w:tcW w:w="992" w:type="dxa"/>
            <w:gridSpan w:val="3"/>
            <w:tcBorders>
              <w:bottom w:val="nil"/>
            </w:tcBorders>
          </w:tcPr>
          <w:p>
            <w:pPr>
              <w:pStyle w:val="Fichefinanciretextetable"/>
              <w:keepNext/>
              <w:jc w:val="center"/>
            </w:pPr>
          </w:p>
        </w:tc>
        <w:tc>
          <w:tcPr>
            <w:tcW w:w="1134" w:type="dxa"/>
            <w:tcBorders>
              <w:bottom w:val="nil"/>
            </w:tcBorders>
          </w:tcPr>
          <w:p>
            <w:pPr>
              <w:pStyle w:val="Fichefinanciretextetable"/>
              <w:keepNext/>
              <w:jc w:val="center"/>
            </w:pPr>
          </w:p>
        </w:tc>
      </w:tr>
      <w:tr>
        <w:tc>
          <w:tcPr>
            <w:tcW w:w="567" w:type="dxa"/>
            <w:tcBorders>
              <w:top w:val="nil"/>
              <w:bottom w:val="nil"/>
              <w:right w:val="nil"/>
            </w:tcBorders>
          </w:tcPr>
          <w:p>
            <w:pPr>
              <w:pStyle w:val="Fichefinanciretextetable"/>
              <w:keepNext/>
              <w:rPr>
                <w:noProof/>
              </w:rPr>
            </w:pPr>
            <w:r>
              <w:rPr>
                <w:noProof/>
              </w:rPr>
              <w:t>5.0.1</w:t>
            </w:r>
          </w:p>
        </w:tc>
        <w:tc>
          <w:tcPr>
            <w:tcW w:w="3884" w:type="dxa"/>
            <w:tcBorders>
              <w:top w:val="nil"/>
              <w:left w:val="nil"/>
              <w:bottom w:val="nil"/>
            </w:tcBorders>
          </w:tcPr>
          <w:p>
            <w:pPr>
              <w:pStyle w:val="Fichefinanciretextetable"/>
              <w:keepNext/>
              <w:rPr>
                <w:noProof/>
              </w:rPr>
            </w:pPr>
            <w:r>
              <w:rPr>
                <w:noProof/>
              </w:rPr>
              <w:t>ОЧАКВАНИ РАЗХОДИ</w:t>
            </w:r>
          </w:p>
        </w:tc>
        <w:tc>
          <w:tcPr>
            <w:tcW w:w="1275" w:type="dxa"/>
            <w:tcBorders>
              <w:bottom w:val="nil"/>
            </w:tcBorders>
          </w:tcPr>
          <w:p>
            <w:pPr>
              <w:pStyle w:val="Fichefinanciretextetable"/>
              <w:keepNext/>
              <w:rPr>
                <w:noProof/>
              </w:rPr>
            </w:pPr>
          </w:p>
        </w:tc>
        <w:tc>
          <w:tcPr>
            <w:tcW w:w="1276" w:type="dxa"/>
            <w:gridSpan w:val="2"/>
            <w:tcBorders>
              <w:bottom w:val="nil"/>
            </w:tcBorders>
          </w:tcPr>
          <w:p>
            <w:pPr>
              <w:pStyle w:val="Fichefinanciretextetable"/>
              <w:keepNext/>
              <w:jc w:val="center"/>
              <w:rPr>
                <w:noProof/>
                <w:color w:val="000000" w:themeColor="text1"/>
              </w:rPr>
            </w:pPr>
          </w:p>
        </w:tc>
        <w:tc>
          <w:tcPr>
            <w:tcW w:w="992" w:type="dxa"/>
            <w:gridSpan w:val="3"/>
            <w:tcBorders>
              <w:bottom w:val="nil"/>
            </w:tcBorders>
          </w:tcPr>
          <w:p>
            <w:pPr>
              <w:pStyle w:val="Fichefinanciretextetable"/>
              <w:keepNext/>
              <w:jc w:val="center"/>
              <w:rPr>
                <w:noProof/>
                <w:color w:val="000000" w:themeColor="text1"/>
              </w:rPr>
            </w:pPr>
          </w:p>
        </w:tc>
        <w:tc>
          <w:tcPr>
            <w:tcW w:w="1134" w:type="dxa"/>
            <w:tcBorders>
              <w:bottom w:val="nil"/>
            </w:tcBorders>
          </w:tcPr>
          <w:p>
            <w:pPr>
              <w:pStyle w:val="Fichefinanciretextetable"/>
              <w:keepNext/>
              <w:jc w:val="center"/>
              <w:rPr>
                <w:noProof/>
                <w:color w:val="000000" w:themeColor="text1"/>
              </w:rPr>
            </w:pPr>
          </w:p>
        </w:tc>
      </w:tr>
      <w:tr>
        <w:tc>
          <w:tcPr>
            <w:tcW w:w="567" w:type="dxa"/>
            <w:tcBorders>
              <w:top w:val="nil"/>
              <w:right w:val="nil"/>
            </w:tcBorders>
          </w:tcPr>
          <w:p>
            <w:pPr>
              <w:pStyle w:val="Fichefinanciretextetable"/>
              <w:keepNext/>
              <w:rPr>
                <w:noProof/>
              </w:rPr>
            </w:pPr>
            <w:r>
              <w:rPr>
                <w:noProof/>
              </w:rPr>
              <w:t>5.1.1</w:t>
            </w:r>
          </w:p>
        </w:tc>
        <w:tc>
          <w:tcPr>
            <w:tcW w:w="3884" w:type="dxa"/>
            <w:tcBorders>
              <w:top w:val="nil"/>
              <w:left w:val="nil"/>
            </w:tcBorders>
          </w:tcPr>
          <w:p>
            <w:pPr>
              <w:pStyle w:val="Fichefinanciretextetable"/>
              <w:keepNext/>
              <w:rPr>
                <w:noProof/>
              </w:rPr>
            </w:pPr>
            <w:r>
              <w:rPr>
                <w:noProof/>
              </w:rPr>
              <w:t>ОЧАКВАНИ ПРИХОДИ</w:t>
            </w:r>
          </w:p>
        </w:tc>
        <w:tc>
          <w:tcPr>
            <w:tcW w:w="1275" w:type="dxa"/>
            <w:tcBorders>
              <w:top w:val="nil"/>
            </w:tcBorders>
          </w:tcPr>
          <w:p>
            <w:pPr>
              <w:pStyle w:val="Fichefinanciretextetable"/>
              <w:keepNext/>
              <w:jc w:val="center"/>
              <w:rPr>
                <w:noProof/>
              </w:rPr>
            </w:pPr>
          </w:p>
        </w:tc>
        <w:tc>
          <w:tcPr>
            <w:tcW w:w="1276" w:type="dxa"/>
            <w:gridSpan w:val="2"/>
            <w:tcBorders>
              <w:top w:val="nil"/>
            </w:tcBorders>
          </w:tcPr>
          <w:p>
            <w:pPr>
              <w:pStyle w:val="Fichefinanciretextetable"/>
              <w:keepNext/>
              <w:jc w:val="center"/>
              <w:rPr>
                <w:noProof/>
                <w:color w:val="000000" w:themeColor="text1"/>
              </w:rPr>
            </w:pPr>
          </w:p>
        </w:tc>
        <w:tc>
          <w:tcPr>
            <w:tcW w:w="992" w:type="dxa"/>
            <w:gridSpan w:val="3"/>
            <w:tcBorders>
              <w:top w:val="nil"/>
            </w:tcBorders>
          </w:tcPr>
          <w:p>
            <w:pPr>
              <w:pStyle w:val="Fichefinanciretextetable"/>
              <w:keepNext/>
              <w:jc w:val="center"/>
              <w:rPr>
                <w:noProof/>
                <w:color w:val="000000" w:themeColor="text1"/>
              </w:rPr>
            </w:pPr>
          </w:p>
        </w:tc>
        <w:tc>
          <w:tcPr>
            <w:tcW w:w="1134" w:type="dxa"/>
            <w:tcBorders>
              <w:top w:val="nil"/>
            </w:tcBorders>
          </w:tcPr>
          <w:p>
            <w:pPr>
              <w:pStyle w:val="Fichefinanciretextetable"/>
              <w:keepNext/>
              <w:jc w:val="center"/>
              <w:rPr>
                <w:noProof/>
                <w:color w:val="000000" w:themeColor="text1"/>
              </w:rPr>
            </w:pPr>
          </w:p>
        </w:tc>
      </w:tr>
      <w:tr>
        <w:tc>
          <w:tcPr>
            <w:tcW w:w="567" w:type="dxa"/>
            <w:tcBorders>
              <w:right w:val="nil"/>
            </w:tcBorders>
          </w:tcPr>
          <w:p>
            <w:pPr>
              <w:pStyle w:val="Fichefinanciretextetable"/>
              <w:keepNext/>
              <w:rPr>
                <w:noProof/>
              </w:rPr>
            </w:pPr>
            <w:r>
              <w:rPr>
                <w:noProof/>
              </w:rPr>
              <w:t>5.2</w:t>
            </w:r>
          </w:p>
        </w:tc>
        <w:tc>
          <w:tcPr>
            <w:tcW w:w="8561" w:type="dxa"/>
            <w:gridSpan w:val="8"/>
            <w:tcBorders>
              <w:left w:val="nil"/>
            </w:tcBorders>
          </w:tcPr>
          <w:p>
            <w:pPr>
              <w:pStyle w:val="Fichefinanciretextetable"/>
              <w:keepNext/>
              <w:rPr>
                <w:noProof/>
                <w:color w:val="000000" w:themeColor="text1"/>
              </w:rPr>
            </w:pPr>
            <w:r>
              <w:rPr>
                <w:noProof/>
                <w:color w:val="000000" w:themeColor="text1"/>
              </w:rPr>
              <w:t xml:space="preserve">МЕТОД НА ИЗЧИСЛЕНИЕ: </w:t>
            </w:r>
            <w:r>
              <w:rPr>
                <w:noProof/>
                <w:color w:val="000000" w:themeColor="text1"/>
                <w:sz w:val="24"/>
              </w:rPr>
              <w:t>Предвижда се специална договореност във връзка със специалния статут на Европейския съюз в рамките на Международната организация по лозата и виното (OIV). OIV приема за сведение, че ЕС ще прави годишна финансова вноска в бюджета на OIV във връзка с горепосочения статут.</w:t>
            </w:r>
          </w:p>
        </w:tc>
      </w:tr>
      <w:tr>
        <w:tc>
          <w:tcPr>
            <w:tcW w:w="567" w:type="dxa"/>
            <w:tcBorders>
              <w:bottom w:val="nil"/>
              <w:right w:val="nil"/>
            </w:tcBorders>
          </w:tcPr>
          <w:p>
            <w:pPr>
              <w:pStyle w:val="Fichefinanciretextetable"/>
              <w:keepNext/>
              <w:rPr>
                <w:noProof/>
              </w:rPr>
            </w:pPr>
            <w:r>
              <w:rPr>
                <w:noProof/>
              </w:rPr>
              <w:t>6.0</w:t>
            </w:r>
          </w:p>
        </w:tc>
        <w:tc>
          <w:tcPr>
            <w:tcW w:w="7427" w:type="dxa"/>
            <w:gridSpan w:val="7"/>
            <w:tcBorders>
              <w:left w:val="nil"/>
              <w:right w:val="nil"/>
            </w:tcBorders>
          </w:tcPr>
          <w:p>
            <w:pPr>
              <w:pStyle w:val="Fichefinanciretextetable"/>
              <w:keepNext/>
              <w:rPr>
                <w:noProof/>
                <w:color w:val="000000" w:themeColor="text1"/>
              </w:rPr>
            </w:pPr>
            <w:r>
              <w:rPr>
                <w:noProof/>
                <w:color w:val="000000" w:themeColor="text1"/>
              </w:rPr>
              <w:t>МОЖЕ ЛИ ПРОЕКТЪТ ДА БЪДЕ ФИНАНСИРАН С БЮДЖЕТНИ КРЕДИТИ, ВПИСАНИ В СЪОТВЕТНАТА ГЛАВА НА ТЕКУЩИЯ БЮДЖЕТ?</w:t>
            </w:r>
          </w:p>
        </w:tc>
        <w:tc>
          <w:tcPr>
            <w:tcW w:w="1134" w:type="dxa"/>
            <w:tcBorders>
              <w:left w:val="nil"/>
              <w:bottom w:val="nil"/>
            </w:tcBorders>
          </w:tcPr>
          <w:p>
            <w:pPr>
              <w:pStyle w:val="Fichefinanciretextetable"/>
              <w:keepNext/>
              <w:jc w:val="center"/>
              <w:rPr>
                <w:noProof/>
                <w:color w:val="000000" w:themeColor="text1"/>
              </w:rPr>
            </w:pPr>
            <w:r>
              <w:rPr>
                <w:noProof/>
              </w:rPr>
              <w:t>ДА НЕ</w:t>
            </w:r>
          </w:p>
        </w:tc>
      </w:tr>
      <w:tr>
        <w:tc>
          <w:tcPr>
            <w:tcW w:w="567" w:type="dxa"/>
            <w:tcBorders>
              <w:bottom w:val="nil"/>
              <w:right w:val="nil"/>
            </w:tcBorders>
          </w:tcPr>
          <w:p>
            <w:pPr>
              <w:pStyle w:val="Fichefinanciretextetable"/>
              <w:keepNext/>
              <w:rPr>
                <w:noProof/>
              </w:rPr>
            </w:pPr>
            <w:r>
              <w:rPr>
                <w:noProof/>
              </w:rPr>
              <w:t>6.1</w:t>
            </w:r>
          </w:p>
        </w:tc>
        <w:tc>
          <w:tcPr>
            <w:tcW w:w="7427" w:type="dxa"/>
            <w:gridSpan w:val="7"/>
            <w:tcBorders>
              <w:left w:val="nil"/>
              <w:right w:val="nil"/>
            </w:tcBorders>
          </w:tcPr>
          <w:p>
            <w:pPr>
              <w:pStyle w:val="Fichefinanciretextetable"/>
              <w:keepNext/>
              <w:rPr>
                <w:noProof/>
              </w:rPr>
            </w:pPr>
            <w:r>
              <w:rPr>
                <w:noProof/>
              </w:rPr>
              <w:t>МОЖЕ ЛИ ПРОЕКТЪТ ДА БЪДЕ ФИНАНСИРАН ЧРЕЗ ПРЕХВЪРЛЯНЕ МЕЖДУ ГЛАВИ ОТ ТЕКУЩИЯ БЮДЖЕТ?</w:t>
            </w:r>
          </w:p>
        </w:tc>
        <w:tc>
          <w:tcPr>
            <w:tcW w:w="1134" w:type="dxa"/>
            <w:tcBorders>
              <w:left w:val="nil"/>
              <w:bottom w:val="nil"/>
            </w:tcBorders>
          </w:tcPr>
          <w:p>
            <w:pPr>
              <w:pStyle w:val="Fichefinanciretextetable"/>
              <w:keepNext/>
              <w:jc w:val="center"/>
              <w:rPr>
                <w:noProof/>
              </w:rPr>
            </w:pPr>
          </w:p>
        </w:tc>
      </w:tr>
      <w:tr>
        <w:tc>
          <w:tcPr>
            <w:tcW w:w="567" w:type="dxa"/>
            <w:tcBorders>
              <w:bottom w:val="nil"/>
              <w:right w:val="nil"/>
            </w:tcBorders>
          </w:tcPr>
          <w:p>
            <w:pPr>
              <w:pStyle w:val="Fichefinanciretextetable"/>
              <w:keepNext/>
              <w:rPr>
                <w:noProof/>
              </w:rPr>
            </w:pPr>
            <w:r>
              <w:rPr>
                <w:noProof/>
              </w:rPr>
              <w:t>6.2</w:t>
            </w:r>
          </w:p>
        </w:tc>
        <w:tc>
          <w:tcPr>
            <w:tcW w:w="7427" w:type="dxa"/>
            <w:gridSpan w:val="7"/>
            <w:tcBorders>
              <w:left w:val="nil"/>
              <w:right w:val="nil"/>
            </w:tcBorders>
          </w:tcPr>
          <w:p>
            <w:pPr>
              <w:pStyle w:val="Fichefinanciretextetable"/>
              <w:keepNext/>
              <w:rPr>
                <w:noProof/>
              </w:rPr>
            </w:pPr>
            <w:r>
              <w:rPr>
                <w:noProof/>
              </w:rPr>
              <w:t>ЩЕ БЪДЕ ЛИ НЕОБХОДИМ ДОПЪЛНИТЕЛЕН БЮДЖЕТ?</w:t>
            </w:r>
          </w:p>
        </w:tc>
        <w:tc>
          <w:tcPr>
            <w:tcW w:w="1134" w:type="dxa"/>
            <w:tcBorders>
              <w:left w:val="nil"/>
              <w:bottom w:val="nil"/>
            </w:tcBorders>
          </w:tcPr>
          <w:p>
            <w:pPr>
              <w:pStyle w:val="Fichefinanciretextetable"/>
              <w:keepNext/>
              <w:rPr>
                <w:noProof/>
              </w:rPr>
            </w:pPr>
          </w:p>
        </w:tc>
      </w:tr>
      <w:tr>
        <w:tc>
          <w:tcPr>
            <w:tcW w:w="567" w:type="dxa"/>
            <w:tcBorders>
              <w:right w:val="nil"/>
            </w:tcBorders>
          </w:tcPr>
          <w:p>
            <w:pPr>
              <w:pStyle w:val="Fichefinanciretextetable"/>
              <w:keepNext/>
              <w:rPr>
                <w:noProof/>
              </w:rPr>
            </w:pPr>
            <w:r>
              <w:rPr>
                <w:noProof/>
              </w:rPr>
              <w:t>6.3</w:t>
            </w:r>
          </w:p>
        </w:tc>
        <w:tc>
          <w:tcPr>
            <w:tcW w:w="7427" w:type="dxa"/>
            <w:gridSpan w:val="7"/>
            <w:tcBorders>
              <w:left w:val="nil"/>
              <w:right w:val="nil"/>
            </w:tcBorders>
          </w:tcPr>
          <w:p>
            <w:pPr>
              <w:pStyle w:val="Fichefinanciretextetable"/>
              <w:keepNext/>
              <w:rPr>
                <w:noProof/>
              </w:rPr>
            </w:pPr>
            <w:r>
              <w:rPr>
                <w:noProof/>
              </w:rPr>
              <w:t>ЩЕ БЪДЕ ЛИ НЕОБХОДИМО ВПИСВАНЕТО НА БЮДЖЕТНИ КРЕДИТИ В БЪДЕЩИ БЮДЖЕТИ?</w:t>
            </w:r>
          </w:p>
        </w:tc>
        <w:tc>
          <w:tcPr>
            <w:tcW w:w="1134" w:type="dxa"/>
            <w:tcBorders>
              <w:left w:val="nil"/>
            </w:tcBorders>
          </w:tcPr>
          <w:p>
            <w:pPr>
              <w:pStyle w:val="Fichefinanciretextetable"/>
              <w:keepNext/>
              <w:jc w:val="center"/>
            </w:pPr>
            <w:r>
              <w:rPr>
                <w:noProof/>
              </w:rPr>
              <w:t>ДА НЕ</w:t>
            </w:r>
          </w:p>
        </w:tc>
      </w:tr>
      <w:tr>
        <w:tc>
          <w:tcPr>
            <w:tcW w:w="9128" w:type="dxa"/>
            <w:gridSpan w:val="9"/>
          </w:tcPr>
          <w:p>
            <w:pPr>
              <w:keepNext/>
              <w:rPr>
                <w:noProof/>
              </w:rPr>
            </w:pPr>
            <w:r>
              <w:rPr>
                <w:noProof/>
              </w:rPr>
              <w:t>Размерът на годишната вноска в бюджета на OIV е определен в приложението към решението.</w:t>
            </w: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Белгия, България, Чешка република, Германия, Гърция, Испания, Франция, Хърватия, Италия, Кипър, Люксембург, Унгария, Малта, Нидерландия, Австрия, Португалия, Румъния, Словения, Словакия, Швеция. </w:t>
      </w:r>
    </w:p>
  </w:footnote>
  <w:footnote w:id="2">
    <w:p>
      <w:pPr>
        <w:pStyle w:val="FootnoteText"/>
        <w:rPr>
          <w:lang w:val="fr-BE"/>
        </w:rPr>
      </w:pPr>
      <w:r>
        <w:rPr>
          <w:rStyle w:val="FootnoteReference"/>
        </w:rPr>
        <w:footnoteRef/>
      </w:r>
      <w:r>
        <w:tab/>
        <w:t>12434/15 и 12270/15.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6AB1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B2E71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408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CE602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72BD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7A31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4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78A1C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
  </w:num>
  <w:num w:numId="3">
    <w:abstractNumId w:val="0"/>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21"/>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8 16:33:4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86FDE93DBF4464CB810045970F13007"/>
    <w:docVar w:name="LW_CROSSREFERENCE" w:val="&lt;UNUSED&gt;"/>
    <w:docVar w:name="LW_DocType" w:val="COM"/>
    <w:docVar w:name="LW_EMISSION" w:val="29.8.2017"/>
    <w:docVar w:name="LW_EMISSION_ISODATE" w:val="2017-08-29"/>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1"/>
    <w:docVar w:name="LW_REF.II.NEW.CP_YEAR" w:val="2017"/>
    <w:docVar w:name="LW_REF.INST.NEW" w:val="COM"/>
    <w:docVar w:name="LW_REF.INST.NEW_ADOPTED" w:val="final"/>
    <w:docVar w:name="LW_REF.INST.NEW_TEXT" w:val="(2017) 457"/>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88?\u1072?\u1084?\u1082?\u1080?\u1090?\u1077? \u1085?\u1072? \u1052?\u1077?\u1078?\u1076?\u1091?\u1085?\u1072?\u1088?\u1086?\u1076?\u1085?\u1072?\u1090?\u1072? \u1086?\u1088?\u1075?\u1072?\u1085?\u1080?\u1079?\u1072?\u1094?\u1080?\u1103? \u1087?\u1086? \u1083?\u1086?\u1079?\u1072?\u1090?\u1072? \u1080? \u1074?\u1080?\u1085?\u1086?\u1090?\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Number4">
    <w:name w:val="List Number 4"/>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table">
    <w:name w:val="Fiche financière titre (table)"/>
    <w:basedOn w:val="Normal"/>
    <w:pPr>
      <w:jc w:val="center"/>
    </w:pPr>
    <w:rPr>
      <w:rFonts w:eastAsia="Times New Roman"/>
      <w:b/>
      <w:sz w:val="4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0EA7-30AB-4A06-94B3-8A30D256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2646</Words>
  <Characters>14395</Characters>
  <Application>Microsoft Office Word</Application>
  <DocSecurity>0</DocSecurity>
  <Lines>359</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2017-08-01T15:15:00Z</cp:lastPrinted>
  <dcterms:created xsi:type="dcterms:W3CDTF">2017-08-18T08:15:00Z</dcterms:created>
  <dcterms:modified xsi:type="dcterms:W3CDTF">2017-08-18T14:33:00Z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