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25CD8C2A314548DAA773008AEF417248" style="width:450.75pt;height:379.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ПРИЛОЖЕНИЕ</w:t>
      </w:r>
    </w:p>
    <w:p>
      <w:pPr>
        <w:jc w:val="center"/>
        <w:rPr>
          <w:b/>
          <w:iCs/>
          <w:noProof/>
          <w:u w:val="single"/>
        </w:rPr>
      </w:pPr>
    </w:p>
    <w:p>
      <w:pPr>
        <w:rPr>
          <w:i/>
          <w:iCs/>
          <w:noProof/>
        </w:rPr>
      </w:pPr>
      <w:r>
        <w:rPr>
          <w:i/>
          <w:noProof/>
        </w:rPr>
        <w:t>Държавите — членки на ЕС, които са членове на OIV, подкрепят решението на Общото събрание на OIV, според което на Европейския съюз се предоставя специален статут в съответствие с условията на следната специална договореност между OIV и Европейския съюз:</w:t>
      </w:r>
    </w:p>
    <w:p>
      <w:pPr>
        <w:rPr>
          <w:i/>
          <w:iCs/>
          <w:noProof/>
        </w:rPr>
      </w:pPr>
    </w:p>
    <w:p>
      <w:pPr>
        <w:jc w:val="center"/>
        <w:rPr>
          <w:b/>
          <w:noProof/>
        </w:rPr>
      </w:pPr>
      <w:r>
        <w:rPr>
          <w:b/>
          <w:noProof/>
        </w:rPr>
        <w:t>Специална договореност във връзка със специалния статут на Европейския съюз в рамките на Международната организация по лозата и виното</w:t>
      </w:r>
    </w:p>
    <w:p>
      <w:pPr>
        <w:widowControl w:val="0"/>
        <w:outlineLvl w:val="0"/>
        <w:rPr>
          <w:noProof/>
        </w:rPr>
      </w:pPr>
    </w:p>
    <w:p>
      <w:pPr>
        <w:widowControl w:val="0"/>
        <w:outlineLvl w:val="0"/>
        <w:rPr>
          <w:noProof/>
        </w:rPr>
      </w:pPr>
      <w:r>
        <w:rPr>
          <w:noProof/>
        </w:rPr>
        <w:t>1. ОБЛАСТИ НА СЪТРУДНИЧЕСТВО</w:t>
      </w:r>
    </w:p>
    <w:p>
      <w:pPr>
        <w:rPr>
          <w:noProof/>
        </w:rPr>
      </w:pPr>
      <w:r>
        <w:rPr>
          <w:noProof/>
        </w:rPr>
        <w:t>Международната организация по лозата и виното (OIV) и Европейският съюз (ЕС) имат общи цели по отношение на лозаро-винарския сектор. И двете организации допринасят за хармонизирането на практиките и стандартите в международен план и на равнището на ЕС с цел улесняване на производството и предлагането на пазара на лозаро-винарски продукти. По-специално OIV приема и публикува резолюции, свързани с лозарството и винарството, и подпомага други международни организации в дейностите им за стандартизация. Дейностите на ЕС в областите, попадащи в обхвата на OIV, включват правилата относно определенията, производството и предлагането на пазара на вино, ароматизирани лозаро-винарски продукти, спиртни напитки с лозаро-винарски произход, сокове от грозде и десертно грозде.</w:t>
      </w:r>
    </w:p>
    <w:p>
      <w:pPr>
        <w:widowControl w:val="0"/>
        <w:outlineLvl w:val="0"/>
        <w:rPr>
          <w:noProof/>
        </w:rPr>
      </w:pPr>
    </w:p>
    <w:p>
      <w:pPr>
        <w:widowControl w:val="0"/>
        <w:outlineLvl w:val="0"/>
        <w:rPr>
          <w:noProof/>
        </w:rPr>
      </w:pPr>
      <w:r>
        <w:rPr>
          <w:noProof/>
        </w:rPr>
        <w:t>2. СПЕЦИФИЧНИ УСЛОВИЯ ЗА СЪТРУДНИЧЕСТВО</w:t>
      </w:r>
    </w:p>
    <w:p>
      <w:pPr>
        <w:rPr>
          <w:noProof/>
        </w:rPr>
      </w:pPr>
      <w:r>
        <w:rPr>
          <w:noProof/>
        </w:rPr>
        <w:t>ЕС, представляван от Европейската комисия, може да се намесва в работата на комисиите, подкомисиите и експертните групи на OIV. Когато това е необходимо, по време на тези заседания представителят на Европейската комисия ще разяснява по-специално евентуално съществуващото законодателство на ЕС във въпросната област и специфичния интерес, който представляват разглежданите въпроси за ЕС.</w:t>
      </w:r>
    </w:p>
    <w:p>
      <w:pPr>
        <w:rPr>
          <w:noProof/>
        </w:rPr>
      </w:pPr>
      <w:r>
        <w:rPr>
          <w:noProof/>
        </w:rPr>
        <w:t>Представителят на Европейската комисия може да присъства на заседанията на Общото събрание и на Изпълнителния комитет. При поискване и в съответствие с процедурните правила на OIV представителят на Европейската комисия може да информира тези органи за позициите на ЕС по въпросите, фигуриращи в дневния ред, които са от непосредствен интерес за ЕС.</w:t>
      </w:r>
    </w:p>
    <w:p>
      <w:pPr>
        <w:rPr>
          <w:noProof/>
        </w:rPr>
      </w:pPr>
      <w:r>
        <w:rPr>
          <w:noProof/>
        </w:rPr>
        <w:t>Европейската комисия редовно ще отправя покани към OIV с цел обмен на информация и обсъждане на теми от взаимен интерес за OIV и ЕС.</w:t>
      </w:r>
    </w:p>
    <w:p>
      <w:pPr>
        <w:rPr>
          <w:noProof/>
        </w:rPr>
      </w:pPr>
      <w:r>
        <w:rPr>
          <w:noProof/>
        </w:rPr>
        <w:t>OIV ще изпраща на Европейската комисия (като използва пощенската кутия AGRI</w:t>
      </w:r>
      <w:r>
        <w:rPr>
          <w:noProof/>
        </w:rPr>
        <w:noBreakHyphen/>
        <w:t>OIV@ec.europa.eu), едновременно с изпращането им до всички членове на OIV, всички относими документи, включително проектите на резолюции, които могат да бъдат подложени на гласуване в рамките на Общото събрание. За да се осигури своевременното изготвяне на позициите на ЕС, ако такива са необходими, OIV ще изпраща проектите на резолюции при първа възможност преди заседанието на Общото събрание, в рамките на което те ще бъдат подложени на гласуване.</w:t>
      </w:r>
    </w:p>
    <w:p>
      <w:pPr>
        <w:rPr>
          <w:noProof/>
        </w:rPr>
      </w:pPr>
      <w:r>
        <w:rPr>
          <w:noProof/>
        </w:rPr>
        <w:lastRenderedPageBreak/>
        <w:t>Европейската комисия ще предава на OIV всички относими документи, свързани с приемането на нови правни актове на ЕС, представляващи непосредствен интерес за OIV, когато документите станат публично достояние.</w:t>
      </w:r>
    </w:p>
    <w:p>
      <w:pPr>
        <w:rPr>
          <w:noProof/>
        </w:rPr>
      </w:pPr>
      <w:r>
        <w:rPr>
          <w:noProof/>
        </w:rPr>
        <w:t>OIV приема за сведение обстоятелството, че ЕС ще участва с годишна финансова вноска от 140 000 EUR.</w:t>
      </w:r>
    </w:p>
    <w:p>
      <w:pPr>
        <w:rPr>
          <w:noProof/>
        </w:rPr>
      </w:pPr>
    </w:p>
    <w:p>
      <w:pPr>
        <w:widowControl w:val="0"/>
        <w:rPr>
          <w:i/>
          <w:iCs/>
          <w:noProof/>
          <w:szCs w:val="20"/>
        </w:rPr>
      </w:pPr>
    </w:p>
    <w:p>
      <w:pPr>
        <w:widowControl w:val="0"/>
        <w:rPr>
          <w:noProof/>
          <w:szCs w:val="20"/>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0EEC6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652052E"/>
    <w:lvl w:ilvl="0">
      <w:start w:val="1"/>
      <w:numFmt w:val="decimal"/>
      <w:pStyle w:val="ListNumber3"/>
      <w:lvlText w:val="%1."/>
      <w:lvlJc w:val="left"/>
      <w:pPr>
        <w:tabs>
          <w:tab w:val="num" w:pos="926"/>
        </w:tabs>
        <w:ind w:left="926" w:hanging="360"/>
      </w:pPr>
    </w:lvl>
  </w:abstractNum>
  <w:abstractNum w:abstractNumId="2">
    <w:nsid w:val="FFFFFF7F"/>
    <w:multiLevelType w:val="singleLevel"/>
    <w:tmpl w:val="6A26A068"/>
    <w:lvl w:ilvl="0">
      <w:start w:val="1"/>
      <w:numFmt w:val="decimal"/>
      <w:pStyle w:val="ListNumber2"/>
      <w:lvlText w:val="%1."/>
      <w:lvlJc w:val="left"/>
      <w:pPr>
        <w:tabs>
          <w:tab w:val="num" w:pos="643"/>
        </w:tabs>
        <w:ind w:left="643" w:hanging="360"/>
      </w:pPr>
    </w:lvl>
  </w:abstractNum>
  <w:abstractNum w:abstractNumId="3">
    <w:nsid w:val="FFFFFF81"/>
    <w:multiLevelType w:val="singleLevel"/>
    <w:tmpl w:val="FBC09E6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56481E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68C5E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C509146"/>
    <w:lvl w:ilvl="0">
      <w:start w:val="1"/>
      <w:numFmt w:val="decimal"/>
      <w:pStyle w:val="ListNumber"/>
      <w:lvlText w:val="%1."/>
      <w:lvlJc w:val="left"/>
      <w:pPr>
        <w:tabs>
          <w:tab w:val="num" w:pos="360"/>
        </w:tabs>
        <w:ind w:left="360" w:hanging="360"/>
      </w:pPr>
    </w:lvl>
  </w:abstractNum>
  <w:abstractNum w:abstractNumId="7">
    <w:nsid w:val="FFFFFF89"/>
    <w:multiLevelType w:val="singleLevel"/>
    <w:tmpl w:val="A3D6D5D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2"/>
  </w:num>
  <w:num w:numId="10">
    <w:abstractNumId w:val="19"/>
  </w:num>
  <w:num w:numId="11">
    <w:abstractNumId w:val="13"/>
  </w:num>
  <w:num w:numId="12">
    <w:abstractNumId w:val="21"/>
  </w:num>
  <w:num w:numId="13">
    <w:abstractNumId w:val="11"/>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18 16:34:0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25CD8C2A314548DAA773008AEF417248"/>
    <w:docVar w:name="LW_CROSSREFERENCE" w:val="&lt;UNUSED&gt;"/>
    <w:docVar w:name="LW_DocType" w:val="ANNEX"/>
    <w:docVar w:name="LW_EMISSION" w:val="29.8.2017"/>
    <w:docVar w:name="LW_EMISSION_ISODATE" w:val="2017-08-29"/>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7) 457"/>
    <w:docVar w:name="LW_REF.INTERNE" w:val="&lt;UNUSED&gt;"/>
    <w:docVar w:name="LW_SUPERTITRE" w:val="&lt;UNUSED&gt;"/>
    <w:docVar w:name="LW_TITRE.OBJ.CP" w:val="&lt;UNUSED&gt;"/>
    <w:docVar w:name="LW_TYPE.DOC" w:val="\u1055?\u1056?\u1048?\u1051?\u1054?\u1046?\u1045?\u1053?\u1048?\u1045?"/>
    <w:docVar w:name="LW_TYPE.DOC.CP" w:val="\u1055?\u1056?\u1048?\u1051?\u1054?\u1046?\u1045?\u1053?\u1048?\u1045?"/>
    <w:docVar w:name="LW_TYPEACTEPRINCIPAL" w:val="\u1087?\u1088?\u1077?\u1076?\u1083?\u1086?\u1078?\u1077?\u1085?\u1080?\u1077? \u1079?\u1072? \u1056?\u1077?\u1096?\u1077?\u1085?\u1080?\u1077? \u1085?\u1072? \u1057?\u1098?\u1074?\u1077?\u1090?\u1072? _x000b_\u1086?\u1090?\u1085?\u1086?\u1089?\u1085?\u1086? \u1087?\u1086?\u1079?\u1080?\u1094?\u1080?\u1103?\u1090?\u1072?, \u1082?\u1086?\u1103?\u1090?\u1086? \u1076?\u1072? \u1089?\u1077? \u1079?\u1072?\u1077?\u1084?\u1077? \u1086?\u1090? \u1080?\u1084?\u1077?\u1090?\u1086? \u1085?\u1072? \u1045?\u1074?\u1088?\u1086?\u1087?\u1077?\u1081?\u1089?\u1082?\u1080?\u1103? \u1089?\u1098?\u1102?\u1079? \u1074? \u1088?\u1072?\u1084?\u1082?\u1080?\u1090?\u1077? \u1085?\u1072? \u1052?\u1077?\u1078?\u1076?\u1091?\u1085?\u1072?\u1088?\u1086?\u1076?\u1085?\u1072?\u1090?\u1072? \u1086?\u1088?\u1075?\u1072?\u1085?\u1080?\u1079?\u1072?\u1094?\u1080?\u1103? \u1087?\u1086? \u1083?\u1086?\u1079?\u1072?\u1090?\u1072? \u1080? \u1074?\u1080?\u1085?\u1086?\u1090?\u1086?_x000b_"/>
    <w:docVar w:name="LW_TYPEACTEPRINCIPAL.CP" w:val="\u1087?\u1088?\u1077?\u1076?\u1083?\u1086?\u1078?\u1077?\u1085?\u1080?\u1077? \u1079?\u1072? \u1056?\u1077?\u1096?\u1077?\u1085?\u1080?\u1077? \u1085?\u1072? \u1057?\u1098?\u1074?\u1077?\u1090?\u1072? _x000b_\u1086?\u1090?\u1085?\u1086?\u1089?\u1085?\u1086? \u1087?\u1086?\u1079?\u1080?\u1094?\u1080?\u1103?\u1090?\u1072?, \u1082?\u1086?\u1103?\u1090?\u1086? \u1076?\u1072? \u1089?\u1077? \u1079?\u1072?\u1077?\u1084?\u1077? \u1086?\u1090? \u1080?\u1084?\u1077?\u1090?\u1086? \u1085?\u1072? \u1045?\u1074?\u1088?\u1086?\u1087?\u1077?\u1081?\u1089?\u1082?\u1080?\u1103? \u1089?\u1098?\u1102?\u1079? \u1074? \u1088?\u1072?\u1084?\u1082?\u1080?\u1090?\u1077? \u1085?\u1072? \u1052?\u1077?\u1078?\u1076?\u1091?\u1085?\u1072?\u1088?\u1086?\u1076?\u1085?\u1072?\u1090?\u1072? \u1086?\u1088?\u1075?\u1072?\u1085?\u1080?\u1079?\u1072?\u1094?\u1080?\u1103? \u1087?\u1086? \u1083?\u1086?\u1079?\u1072?\u1090?\u1072? \u1080? \u1074?\u1080?\u1085?\u1086?\u1090?\u1086?_x000b_"/>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Pr>
      <w:color w:val="808080"/>
    </w:rPr>
  </w:style>
  <w:style w:type="paragraph" w:customStyle="1" w:styleId="LegalNumPar">
    <w:name w:val="LegalNumPar"/>
    <w:basedOn w:val="Normal"/>
    <w:pPr>
      <w:numPr>
        <w:numId w:val="9"/>
      </w:numPr>
      <w:spacing w:before="0" w:after="200"/>
      <w:jc w:val="left"/>
    </w:pPr>
    <w:rPr>
      <w:rFonts w:asciiTheme="minorHAnsi" w:hAnsiTheme="minorHAnsi" w:cstheme="minorBidi"/>
      <w:sz w:val="22"/>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Pr>
      <w:color w:val="808080"/>
    </w:rPr>
  </w:style>
  <w:style w:type="paragraph" w:customStyle="1" w:styleId="LegalNumPar">
    <w:name w:val="LegalNumPar"/>
    <w:basedOn w:val="Normal"/>
    <w:pPr>
      <w:numPr>
        <w:numId w:val="9"/>
      </w:numPr>
      <w:spacing w:before="0" w:after="200"/>
      <w:jc w:val="left"/>
    </w:pPr>
    <w:rPr>
      <w:rFonts w:asciiTheme="minorHAnsi" w:hAnsiTheme="minorHAnsi" w:cstheme="minorBidi"/>
      <w:sz w:val="22"/>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3</Pages>
  <Words>423</Words>
  <Characters>2534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MCCORD Patricia (AGRI)</dc:creator>
  <cp:lastModifiedBy>DIGIT/A3</cp:lastModifiedBy>
  <cp:revision>7</cp:revision>
  <cp:lastPrinted>2017-04-07T10:51:00Z</cp:lastPrinted>
  <dcterms:created xsi:type="dcterms:W3CDTF">2017-08-17T08:50:00Z</dcterms:created>
  <dcterms:modified xsi:type="dcterms:W3CDTF">2017-08-18T14:34:00Z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