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A091D86BB5247A296C62F7BF9C6A2FC" style="width:450.75pt;height:37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w:t>
      </w:r>
    </w:p>
    <w:p>
      <w:pPr>
        <w:jc w:val="center"/>
        <w:rPr>
          <w:b/>
          <w:iCs/>
          <w:noProof/>
          <w:u w:val="single"/>
        </w:rPr>
      </w:pPr>
    </w:p>
    <w:p>
      <w:pPr>
        <w:rPr>
          <w:i/>
          <w:iCs/>
          <w:noProof/>
        </w:rPr>
      </w:pPr>
      <w:r>
        <w:rPr>
          <w:i/>
          <w:iCs/>
          <w:noProof/>
        </w:rPr>
        <w:t>The EU Member States who are members of the OIV</w:t>
      </w:r>
      <w:r>
        <w:rPr>
          <w:noProof/>
        </w:rPr>
        <w:t xml:space="preserve"> </w:t>
      </w:r>
      <w:r>
        <w:rPr>
          <w:i/>
          <w:iCs/>
          <w:noProof/>
        </w:rPr>
        <w:t>shall support the decision of the General Assembly of the OIV according to which the European Union shall be granted a particular status under the terms of the following special arrangement between the OIV and the European Union:</w:t>
      </w:r>
    </w:p>
    <w:p>
      <w:pPr>
        <w:rPr>
          <w:i/>
          <w:iCs/>
          <w:noProof/>
        </w:rPr>
      </w:pPr>
    </w:p>
    <w:p>
      <w:pPr>
        <w:jc w:val="center"/>
        <w:rPr>
          <w:b/>
          <w:noProof/>
        </w:rPr>
      </w:pPr>
      <w:r>
        <w:rPr>
          <w:b/>
          <w:noProof/>
        </w:rPr>
        <w:t>Special arrangement related to the particular status of the European Union within the International Organisation for Vine and Wine.</w:t>
      </w:r>
    </w:p>
    <w:p>
      <w:pPr>
        <w:widowControl w:val="0"/>
        <w:outlineLvl w:val="0"/>
        <w:rPr>
          <w:noProof/>
        </w:rPr>
      </w:pPr>
    </w:p>
    <w:p>
      <w:pPr>
        <w:widowControl w:val="0"/>
        <w:outlineLvl w:val="0"/>
        <w:rPr>
          <w:noProof/>
        </w:rPr>
      </w:pPr>
      <w:r>
        <w:rPr>
          <w:noProof/>
        </w:rPr>
        <w:t>1. AREAS OF COOPERATION</w:t>
      </w:r>
    </w:p>
    <w:p>
      <w:pPr>
        <w:rPr>
          <w:noProof/>
        </w:rPr>
      </w:pPr>
      <w:r>
        <w:rPr>
          <w:noProof/>
        </w:rPr>
        <w:t>The International Organisation of Vine and Wine (OIV) and the European Union (EU) have common objectives related to vine and wine. They both contribute to the harmonisation of practices and standards - on an international and EU level - to facilitate the production and marketing of vine and wine products. In particular, the OIV adopts and publishes resolutions related to vine and wine and it assists other international organisations in their standardisation activities. The activities of the EU in areas covered by the OIV include rules on the definition, production and marketing of wines, aromatised wine products, wine spirits, grape juices and table grapes.</w:t>
      </w:r>
    </w:p>
    <w:p>
      <w:pPr>
        <w:widowControl w:val="0"/>
        <w:outlineLvl w:val="0"/>
        <w:rPr>
          <w:noProof/>
        </w:rPr>
      </w:pPr>
    </w:p>
    <w:p>
      <w:pPr>
        <w:widowControl w:val="0"/>
        <w:outlineLvl w:val="0"/>
        <w:rPr>
          <w:noProof/>
        </w:rPr>
      </w:pPr>
      <w:r>
        <w:rPr>
          <w:noProof/>
        </w:rPr>
        <w:t>2. SPECIFIC COLLABORATION CONDITIONS</w:t>
      </w:r>
    </w:p>
    <w:p>
      <w:pPr>
        <w:rPr>
          <w:noProof/>
        </w:rPr>
      </w:pPr>
      <w:r>
        <w:rPr>
          <w:noProof/>
        </w:rPr>
        <w:t>The EU, represented by the European Commission, may intervene in the work of OIV  commissions, sub-commissions and expert groups. When appropriate, in these meetings the representative of the European Commission will explain the EU legislation that may exist in the area in question, and the EU’s specific interest in the matters discussed.</w:t>
      </w:r>
    </w:p>
    <w:p>
      <w:pPr>
        <w:rPr>
          <w:noProof/>
        </w:rPr>
      </w:pPr>
      <w:r>
        <w:rPr>
          <w:noProof/>
        </w:rPr>
        <w:t>The representative of the European Commission may attend meetings of the General Assembly and the Executive Committee. Upon request, and in accordance with the OIV’s rules of procedure, the representative of the European Commission may inform these bodies of EU positions on agenda matters which are of direct relevance to the EU.</w:t>
      </w:r>
    </w:p>
    <w:p>
      <w:pPr>
        <w:rPr>
          <w:noProof/>
        </w:rPr>
      </w:pPr>
      <w:r>
        <w:rPr>
          <w:noProof/>
        </w:rPr>
        <w:t>The European Commission will regularly invite the OIV to exchange information and discuss issues of mutual interest for the OIV and the EU.</w:t>
      </w:r>
    </w:p>
    <w:p>
      <w:pPr>
        <w:rPr>
          <w:noProof/>
        </w:rPr>
      </w:pPr>
      <w:r>
        <w:rPr>
          <w:noProof/>
        </w:rPr>
        <w:t>The OIV will send to the European Commission (via the mailbox AGRI-OIV@ec.europa.eu), at the same time as to all the members of the OIV, all relevant documents including draft resolutions which may be submitted for vote to the General Assembly. To ensure that, where applicable, EU positions can be established in due time, the OIV will send draft resolutions as soon as possible before the General Assembly where they will be presented for vote.</w:t>
      </w:r>
    </w:p>
    <w:p>
      <w:pPr>
        <w:rPr>
          <w:noProof/>
        </w:rPr>
      </w:pPr>
      <w:r>
        <w:rPr>
          <w:noProof/>
        </w:rPr>
        <w:t>The European Commission will send the OIV all relevant documents relating to the adoption of new EU legal acts of direct relevance to the OIV when the documents are made public.</w:t>
      </w:r>
    </w:p>
    <w:p>
      <w:pPr>
        <w:rPr>
          <w:noProof/>
        </w:rPr>
      </w:pPr>
      <w:r>
        <w:rPr>
          <w:noProof/>
        </w:rPr>
        <w:t>The OIV notes the fact that the EU will make an annual financial contribution of € 140.000.</w:t>
      </w:r>
    </w:p>
    <w:p>
      <w:pPr>
        <w:rPr>
          <w:noProof/>
        </w:rPr>
      </w:pPr>
    </w:p>
    <w:p>
      <w:pPr>
        <w:widowControl w:val="0"/>
        <w:rPr>
          <w:i/>
          <w:iCs/>
          <w:noProof/>
          <w:szCs w:val="20"/>
          <w:lang w:eastAsia="fr-BE"/>
        </w:rPr>
      </w:pPr>
    </w:p>
    <w:p>
      <w:pPr>
        <w:widowControl w:val="0"/>
        <w:rPr>
          <w:noProof/>
          <w:szCs w:val="20"/>
          <w:lang w:eastAsia="fr-BE"/>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0EEC6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520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A26A0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BC09E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6481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8C5E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509146"/>
    <w:lvl w:ilvl="0">
      <w:start w:val="1"/>
      <w:numFmt w:val="decimal"/>
      <w:pStyle w:val="ListNumber"/>
      <w:lvlText w:val="%1."/>
      <w:lvlJc w:val="left"/>
      <w:pPr>
        <w:tabs>
          <w:tab w:val="num" w:pos="360"/>
        </w:tabs>
        <w:ind w:left="360" w:hanging="360"/>
      </w:pPr>
    </w:lvl>
  </w:abstractNum>
  <w:abstractNum w:abstractNumId="7">
    <w:nsid w:val="FFFFFF89"/>
    <w:multiLevelType w:val="singleLevel"/>
    <w:tmpl w:val="A3D6D5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18 16:33: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3A091D86BB5247A296C62F7BF9C6A2FC"/>
    <w:docVar w:name="LW_CROSSREFERENCE" w:val="&lt;UNUSED&gt;"/>
    <w:docVar w:name="LW_DocType" w:val="ANNEX"/>
    <w:docVar w:name="LW_EMISSION" w:val="29.8.2017"/>
    <w:docVar w:name="LW_EMISSION_ISODATE" w:val="2017-08-29"/>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7) 457"/>
    <w:docVar w:name="LW_REF.INTERNE" w:val="&lt;UNUSED&gt;"/>
    <w:docVar w:name="LW_SUPERTITRE" w:val="&lt;UNUSED&gt;"/>
    <w:docVar w:name="LW_TITRE.OBJ.CP" w:val="&lt;UNUSED&gt;"/>
    <w:docVar w:name="LW_TYPE.DOC.CP" w:val="ANNEX"/>
    <w:docVar w:name="LW_TYPEACTEPRINCIPAL.CP" w:val="Proposal for a Council Decision _x000b_on the position to be adopted, on behalf of the European Union, in the International Organisation for Vine and Wine_x000b_"/>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customStyle="1" w:styleId="LegalNumPar">
    <w:name w:val="LegalNumPar"/>
    <w:basedOn w:val="Normal"/>
    <w:pPr>
      <w:numPr>
        <w:numId w:val="9"/>
      </w:numPr>
      <w:spacing w:before="0" w:after="200"/>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customStyle="1" w:styleId="LegalNumPar">
    <w:name w:val="LegalNumPar"/>
    <w:basedOn w:val="Normal"/>
    <w:pPr>
      <w:numPr>
        <w:numId w:val="9"/>
      </w:numPr>
      <w:spacing w:before="0" w:after="200"/>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3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431</Words>
  <Characters>2251</Characters>
  <Application>Microsoft Office Word</Application>
  <DocSecurity>0</DocSecurity>
  <Lines>43</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MCCORD Patricia (AGRI)</dc:creator>
  <cp:lastModifiedBy>DIGIT/A3</cp:lastModifiedBy>
  <cp:revision>7</cp:revision>
  <cp:lastPrinted>2017-04-07T10:51:00Z</cp:lastPrinted>
  <dcterms:created xsi:type="dcterms:W3CDTF">2017-08-11T13:46:00Z</dcterms:created>
  <dcterms:modified xsi:type="dcterms:W3CDTF">2017-08-18T14:33:00Z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