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BEC0AE553B84F8790F774601DF52831" style="width:450.75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bookmarkStart w:id="1" w:name="_GoBack"/>
      <w:bookmarkEnd w:id="1"/>
      <w:r>
        <w:rPr>
          <w:rFonts w:ascii="Times New Roman" w:hAnsi="Times New Roman"/>
          <w:b/>
          <w:smallCaps/>
          <w:noProof/>
          <w:sz w:val="24"/>
        </w:rPr>
        <w:lastRenderedPageBreak/>
        <w:t>Обобщение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Настоящият</w:t>
      </w:r>
      <w:r>
        <w:rPr>
          <w:rFonts w:ascii="Times New Roman" w:hAnsi="Times New Roman"/>
          <w:b/>
          <w:noProof/>
          <w:sz w:val="24"/>
        </w:rPr>
        <w:t xml:space="preserve"> доклад на Комисията до Съвета</w:t>
      </w:r>
      <w:r>
        <w:rPr>
          <w:rFonts w:ascii="Times New Roman" w:hAnsi="Times New Roman"/>
          <w:noProof/>
          <w:sz w:val="24"/>
        </w:rPr>
        <w:t xml:space="preserve"> се отнася до използването на механизма на Съюза, осигуряващ средносрочна финансова подкрепа за платежния баланс на държавите членки по силата на Регламент (ЕО) № 332/2002 на Съвета</w:t>
      </w:r>
      <w:r>
        <w:rPr>
          <w:rStyle w:val="FootnoteReference"/>
          <w:rFonts w:ascii="Times New Roman" w:hAnsi="Times New Roman"/>
          <w:noProof/>
          <w:sz w:val="24"/>
        </w:rPr>
        <w:footnoteReference w:id="1"/>
      </w:r>
      <w:r>
        <w:rPr>
          <w:rFonts w:ascii="Times New Roman" w:hAnsi="Times New Roman"/>
          <w:noProof/>
          <w:sz w:val="24"/>
        </w:rPr>
        <w:t xml:space="preserve"> от 18 февруари 2002 г. („Регламент относно платежния баланс“ или „инструмент за платежния баланс“). Въз основа на този доклад от Комисията и вземайки предвид становището на Икономическия и финансов комитет (ИФК), Съветът трябва да разгледа до каква степен инструментът продължава да изпълнява целта си по отношение на своите принципи, договорености и тавана за непогасени заеми в рамките на инструмента.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2012 г. насам </w:t>
      </w:r>
      <w:r>
        <w:rPr>
          <w:rFonts w:ascii="Times New Roman" w:hAnsi="Times New Roman"/>
          <w:b/>
          <w:noProof/>
          <w:sz w:val="24"/>
        </w:rPr>
        <w:t>Румъния</w:t>
      </w:r>
      <w:r>
        <w:rPr>
          <w:rFonts w:ascii="Times New Roman" w:hAnsi="Times New Roman"/>
          <w:noProof/>
          <w:sz w:val="24"/>
        </w:rPr>
        <w:t xml:space="preserve"> иска и получава превантивна помощ в рамките на инструмента. </w:t>
      </w:r>
      <w:r>
        <w:rPr>
          <w:rFonts w:ascii="Times New Roman" w:hAnsi="Times New Roman"/>
          <w:b/>
          <w:noProof/>
          <w:sz w:val="24"/>
        </w:rPr>
        <w:t>Унгария</w:t>
      </w:r>
      <w:r>
        <w:rPr>
          <w:rFonts w:ascii="Times New Roman" w:hAnsi="Times New Roman"/>
          <w:noProof/>
          <w:sz w:val="24"/>
        </w:rPr>
        <w:t xml:space="preserve"> изплати заема си през април 2016 г.,</w:t>
      </w:r>
      <w:r>
        <w:rPr>
          <w:rFonts w:ascii="Times New Roman" w:hAnsi="Times New Roman"/>
          <w:b/>
          <w:noProof/>
          <w:sz w:val="24"/>
        </w:rPr>
        <w:t xml:space="preserve"> </w:t>
      </w:r>
      <w:r>
        <w:rPr>
          <w:rFonts w:ascii="Times New Roman" w:hAnsi="Times New Roman"/>
          <w:noProof/>
          <w:sz w:val="24"/>
        </w:rPr>
        <w:t xml:space="preserve">докато 0,7 млрд. евро във вид на заеми за </w:t>
      </w:r>
      <w:r>
        <w:rPr>
          <w:rFonts w:ascii="Times New Roman" w:hAnsi="Times New Roman"/>
          <w:b/>
          <w:noProof/>
          <w:sz w:val="24"/>
        </w:rPr>
        <w:t>Латвия</w:t>
      </w:r>
      <w:r>
        <w:rPr>
          <w:rFonts w:ascii="Times New Roman" w:hAnsi="Times New Roman"/>
          <w:noProof/>
          <w:sz w:val="24"/>
        </w:rPr>
        <w:t xml:space="preserve"> все още не са погасени. Устойчивостта на платежния баланс в тези държави членки бенефициери бързо се подобри, което даде възможност за подновен достъп до пазарно финансиране.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Комисията оценява инструмента, както следва:</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noProof/>
          <w:sz w:val="24"/>
        </w:rPr>
        <w:t xml:space="preserve">От последното си актуализиране през май 2009 г. </w:t>
      </w:r>
      <w:r>
        <w:rPr>
          <w:rFonts w:ascii="Times New Roman" w:hAnsi="Times New Roman"/>
          <w:b/>
          <w:noProof/>
          <w:sz w:val="24"/>
        </w:rPr>
        <w:t>инструментът доказа своята ефективност,</w:t>
      </w:r>
      <w:r>
        <w:rPr>
          <w:rFonts w:ascii="Times New Roman" w:hAnsi="Times New Roman"/>
          <w:noProof/>
          <w:sz w:val="24"/>
        </w:rPr>
        <w:t xml:space="preserve"> като се има предвид, че устойчивостта на платежния баланс на държавите членки бенефициери бързо се подобри и че те своевременно възстановиха достъпа си до пазарно финансиране.</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z w:val="24"/>
          <w:szCs w:val="24"/>
        </w:rPr>
      </w:pPr>
      <w:r>
        <w:rPr>
          <w:rFonts w:ascii="Times New Roman" w:hAnsi="Times New Roman"/>
          <w:b/>
          <w:noProof/>
          <w:sz w:val="24"/>
        </w:rPr>
        <w:t>Понастоящем фиксиран на 50 милиарда евро</w:t>
      </w:r>
      <w:r>
        <w:rPr>
          <w:noProof/>
        </w:rPr>
        <w:t>,</w:t>
      </w:r>
      <w:r>
        <w:rPr>
          <w:rFonts w:ascii="Times New Roman" w:hAnsi="Times New Roman"/>
          <w:noProof/>
          <w:sz w:val="24"/>
        </w:rPr>
        <w:t xml:space="preserve"> </w:t>
      </w:r>
      <w:r>
        <w:rPr>
          <w:rFonts w:ascii="Times New Roman" w:hAnsi="Times New Roman"/>
          <w:b/>
          <w:noProof/>
          <w:sz w:val="24"/>
        </w:rPr>
        <w:t>таванът</w:t>
      </w:r>
      <w:r>
        <w:rPr>
          <w:rFonts w:ascii="Times New Roman" w:hAnsi="Times New Roman"/>
          <w:noProof/>
          <w:sz w:val="24"/>
        </w:rPr>
        <w:t xml:space="preserve"> за непогасени заеми (от гледна точка на главницата) и кредитните линии в рамките на инструмента </w:t>
      </w:r>
      <w:r>
        <w:rPr>
          <w:rFonts w:ascii="Times New Roman" w:hAnsi="Times New Roman"/>
          <w:b/>
          <w:noProof/>
          <w:sz w:val="24"/>
        </w:rPr>
        <w:t>изглежда подходящ</w:t>
      </w:r>
      <w:r>
        <w:rPr>
          <w:noProof/>
        </w:rPr>
        <w:t>.</w:t>
      </w:r>
    </w:p>
    <w:p>
      <w:pPr>
        <w:numPr>
          <w:ilvl w:val="0"/>
          <w:numId w:val="1"/>
        </w:numPr>
        <w:suppressAutoHyphens/>
        <w:spacing w:before="120" w:after="120" w:line="240" w:lineRule="auto"/>
        <w:ind w:left="426" w:hanging="426"/>
        <w:jc w:val="both"/>
        <w:rPr>
          <w:rFonts w:ascii="Times New Roman" w:eastAsia="Times New Roman" w:hAnsi="Times New Roman" w:cs="Times New Roman"/>
          <w:noProof/>
          <w:spacing w:val="-2"/>
          <w:sz w:val="24"/>
          <w:szCs w:val="24"/>
        </w:rPr>
      </w:pPr>
      <w:r>
        <w:rPr>
          <w:rFonts w:ascii="Times New Roman" w:hAnsi="Times New Roman"/>
          <w:b/>
          <w:noProof/>
          <w:spacing w:val="-2"/>
          <w:sz w:val="24"/>
        </w:rPr>
        <w:t>Предложените промени в предложението на Комисията за нов регламент на Съвета</w:t>
      </w:r>
      <w:r>
        <w:rPr>
          <w:rFonts w:ascii="Times New Roman" w:hAnsi="Times New Roman"/>
          <w:noProof/>
          <w:spacing w:val="-2"/>
          <w:sz w:val="24"/>
        </w:rPr>
        <w:t xml:space="preserve"> (COM(2012) 336 final) са едновременно необходими и подходящи: следва да бъдат въведени изменения в регулаторната рамка и същите правила за получаване на заеми като тези в Регламент (ЕС) № 407/2010</w:t>
      </w:r>
      <w:r>
        <w:rPr>
          <w:rStyle w:val="FootnoteReference"/>
          <w:noProof/>
          <w:spacing w:val="-2"/>
        </w:rPr>
        <w:footnoteReference w:id="2"/>
      </w:r>
      <w:r>
        <w:rPr>
          <w:rFonts w:ascii="Times New Roman" w:hAnsi="Times New Roman"/>
          <w:noProof/>
          <w:spacing w:val="-2"/>
          <w:sz w:val="24"/>
        </w:rPr>
        <w:t xml:space="preserve"> от 11 май 2010 г. за създаване на европейски механизъм за финансово стабилизиране, а използването на кредитни линии да бъде пояснено. Освен това следва да се уточни, че инструментът може да бъде използван за финансиране на (непряката) рекапитализация на кредитните институции и че изискването за необходимите политически условия може да бъде променено с оглед преди всичко на тези проблеми.</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Въведение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Инструментът за платежния баланс бе създаден съгласно Регламента относно платежния баланс с цел осигуряване на средносрочна финансова помощ от Съюза на държави членки, които не са приели еврото</w:t>
      </w:r>
      <w:r>
        <w:rPr>
          <w:rStyle w:val="FootnoteReference"/>
          <w:noProof/>
        </w:rPr>
        <w:footnoteReference w:id="3"/>
      </w:r>
      <w:r>
        <w:rPr>
          <w:rFonts w:ascii="Times New Roman" w:hAnsi="Times New Roman"/>
          <w:noProof/>
          <w:sz w:val="24"/>
        </w:rPr>
        <w:t xml:space="preserve"> (държави членки с дерогация) и изпитват или са застрашени от затруднения, свързани с платежния баланс. Тази финансова помощ е под формата на заем от ЕС или кредитна линия. Освен това в Регламента относно платежния баланс се посочва, че Съветът следва да прави редовен преглед на това до каква степен инструментът продължава да изпълнява целта си по отношение на своите принципи, договорености и тавана на кредита. Прегледът на Съвета следва да се </w:t>
      </w:r>
      <w:r>
        <w:rPr>
          <w:rFonts w:ascii="Times New Roman" w:hAnsi="Times New Roman"/>
          <w:noProof/>
          <w:sz w:val="24"/>
        </w:rPr>
        <w:lastRenderedPageBreak/>
        <w:t>прави въз основа на доклад от Комисията и след получаване на становището на Икономическия и финансов комитет.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Въз основа на последната си оценка Комисията представи предложение (COM(2012) 336 final) от 22 юни 2012 г. за изменение на Регламента относно платежния баланс. Членовете на Съвета обаче не бяха в състояние да постигнат споразумение по обща позиция поради възражения от страна на една държава членка.</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pacing w:val="-6"/>
          <w:sz w:val="24"/>
          <w:szCs w:val="20"/>
          <w:u w:val="single"/>
        </w:rPr>
      </w:pPr>
      <w:r>
        <w:rPr>
          <w:rFonts w:ascii="Times New Roman" w:hAnsi="Times New Roman"/>
          <w:b/>
          <w:smallCaps/>
          <w:noProof/>
          <w:spacing w:val="-6"/>
          <w:sz w:val="24"/>
        </w:rPr>
        <w:t>Актуално състояние и целесъобразност на инструмента за платежния баланс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2012 г. насам една държава членка, </w:t>
      </w:r>
      <w:r>
        <w:rPr>
          <w:rFonts w:ascii="Times New Roman" w:hAnsi="Times New Roman"/>
          <w:b/>
          <w:noProof/>
          <w:sz w:val="24"/>
        </w:rPr>
        <w:t>Румъния</w:t>
      </w:r>
      <w:r>
        <w:rPr>
          <w:rFonts w:ascii="Times New Roman" w:hAnsi="Times New Roman"/>
          <w:noProof/>
          <w:sz w:val="24"/>
        </w:rPr>
        <w:t>, е поискала и е получила помощ по линия на инструмента. Помощта, одобрена официално през октомври 2013 г., изтече през септември 2015 г. Тя се предоставяше успоредно със стендбай споразумение (СБС) с Международния валутен фонд (МВФ). Както и при споразумението, обхващащо периода 2011—2013 г., помощта, предоставена за периода 2013—2015 г., беше с превантивен характер и средствата не бяха изтеглени.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Превантивната помощ от ЕС възлезе на 2 млрд. евро; МВФ, от своя страна, участва с до 1,75 млрд. СПТ (около 2 млрд. евро) по линия също така на превантивно СБС. Целта на подкрепената програма за корекции бе да се подпомогне консолидирането на макроикономическата, фискалната и финансовата стабилност на Румъния и по този начин да повиши устойчивостта и потенциала за растеж на нейната икономика; да се подобри административния ѝ капацитет; да се извърши реформа на данъчната администрация; да се подобри управлението на публичните финанси и да се извърши преструктуриране на държавните предприятия.</w:t>
      </w:r>
    </w:p>
    <w:p>
      <w:pPr>
        <w:spacing w:before="120" w:after="120" w:line="240" w:lineRule="auto"/>
        <w:jc w:val="both"/>
        <w:rPr>
          <w:rFonts w:ascii="Times New Roman" w:eastAsia="Times New Roman" w:hAnsi="Times New Roman" w:cs="Times New Roman"/>
          <w:noProof/>
          <w:spacing w:val="-4"/>
          <w:sz w:val="24"/>
          <w:szCs w:val="24"/>
        </w:rPr>
      </w:pPr>
      <w:r>
        <w:rPr>
          <w:rFonts w:ascii="Times New Roman" w:hAnsi="Times New Roman"/>
          <w:b/>
          <w:noProof/>
          <w:spacing w:val="-4"/>
          <w:sz w:val="24"/>
        </w:rPr>
        <w:t>Унгария</w:t>
      </w:r>
      <w:r>
        <w:rPr>
          <w:noProof/>
          <w:spacing w:val="-4"/>
        </w:rPr>
        <w:t xml:space="preserve"> </w:t>
      </w:r>
      <w:r>
        <w:rPr>
          <w:rFonts w:ascii="Times New Roman" w:hAnsi="Times New Roman"/>
          <w:noProof/>
          <w:spacing w:val="-4"/>
          <w:sz w:val="24"/>
        </w:rPr>
        <w:t>напълно изплати своя заем през април 2016 г.</w:t>
      </w:r>
      <w:r>
        <w:rPr>
          <w:noProof/>
          <w:spacing w:val="-4"/>
        </w:rPr>
        <w:t xml:space="preserve">, </w:t>
      </w:r>
      <w:r>
        <w:rPr>
          <w:rFonts w:ascii="Times New Roman" w:hAnsi="Times New Roman"/>
          <w:noProof/>
          <w:spacing w:val="-4"/>
          <w:sz w:val="24"/>
        </w:rPr>
        <w:t>докато заемът на стойност от 0,7</w:t>
      </w:r>
      <w:r>
        <w:rPr>
          <w:rFonts w:ascii="Times New Roman" w:hAnsi="Times New Roman"/>
          <w:noProof/>
          <w:spacing w:val="-4"/>
          <w:sz w:val="24"/>
          <w:lang w:val="en-GB"/>
        </w:rPr>
        <w:t> </w:t>
      </w:r>
      <w:r>
        <w:rPr>
          <w:rFonts w:ascii="Times New Roman" w:hAnsi="Times New Roman"/>
          <w:noProof/>
          <w:spacing w:val="-4"/>
          <w:sz w:val="24"/>
        </w:rPr>
        <w:t xml:space="preserve">млрд. евро, отпуснат на </w:t>
      </w:r>
      <w:r>
        <w:rPr>
          <w:rFonts w:ascii="Times New Roman" w:hAnsi="Times New Roman"/>
          <w:b/>
          <w:noProof/>
          <w:spacing w:val="-4"/>
          <w:sz w:val="24"/>
        </w:rPr>
        <w:t>Латвия</w:t>
      </w:r>
      <w:r>
        <w:rPr>
          <w:rFonts w:ascii="Times New Roman" w:hAnsi="Times New Roman"/>
          <w:noProof/>
          <w:spacing w:val="-4"/>
          <w:sz w:val="24"/>
        </w:rPr>
        <w:t>, все още не е погасен</w:t>
      </w:r>
      <w:r>
        <w:rPr>
          <w:noProof/>
          <w:spacing w:val="-4"/>
        </w:rPr>
        <w:t>.</w:t>
      </w:r>
      <w:r>
        <w:rPr>
          <w:rFonts w:ascii="Times New Roman" w:hAnsi="Times New Roman"/>
          <w:noProof/>
          <w:spacing w:val="-4"/>
          <w:sz w:val="24"/>
        </w:rPr>
        <w:t xml:space="preserve"> Превантивната помощ за </w:t>
      </w:r>
      <w:r>
        <w:rPr>
          <w:rFonts w:ascii="Times New Roman" w:hAnsi="Times New Roman"/>
          <w:b/>
          <w:noProof/>
          <w:spacing w:val="-4"/>
          <w:sz w:val="24"/>
        </w:rPr>
        <w:t>Румъния</w:t>
      </w:r>
      <w:r>
        <w:rPr>
          <w:rFonts w:ascii="Times New Roman" w:hAnsi="Times New Roman"/>
          <w:noProof/>
          <w:spacing w:val="-4"/>
          <w:sz w:val="24"/>
        </w:rPr>
        <w:t>, в резултат на двете предходни споразумения (едното от които като превантивна мярка), показа гъвкавостта на инструмента. Румъния все още дължи 3,5</w:t>
      </w:r>
      <w:r>
        <w:rPr>
          <w:rFonts w:ascii="Times New Roman" w:hAnsi="Times New Roman"/>
          <w:noProof/>
          <w:spacing w:val="-4"/>
          <w:sz w:val="24"/>
          <w:lang w:val="en-GB"/>
        </w:rPr>
        <w:t> </w:t>
      </w:r>
      <w:r>
        <w:rPr>
          <w:rFonts w:ascii="Times New Roman" w:hAnsi="Times New Roman"/>
          <w:noProof/>
          <w:spacing w:val="-4"/>
          <w:sz w:val="24"/>
        </w:rPr>
        <w:t>млрд. евро, отпуснати през 2010-2011 г. по линия на подпомагане с непревантивен характер.</w:t>
      </w:r>
    </w:p>
    <w:p>
      <w:pPr>
        <w:keepNext/>
        <w:spacing w:before="120" w:after="120" w:line="240" w:lineRule="auto"/>
        <w:jc w:val="both"/>
        <w:rPr>
          <w:rFonts w:ascii="Times New Roman" w:eastAsia="Times New Roman" w:hAnsi="Times New Roman" w:cs="Times New Roman"/>
          <w:b/>
          <w:noProof/>
          <w:sz w:val="24"/>
          <w:szCs w:val="20"/>
        </w:rPr>
      </w:pPr>
      <w:r>
        <w:rPr>
          <w:rFonts w:ascii="Times New Roman" w:hAnsi="Times New Roman"/>
          <w:b/>
          <w:noProof/>
          <w:sz w:val="24"/>
        </w:rPr>
        <w:t>Таблица </w:t>
      </w:r>
      <w:r>
        <w:rPr>
          <w:rFonts w:ascii="Times New Roman" w:eastAsia="Times New Roman" w:hAnsi="Times New Roman" w:cs="Times New Roman"/>
          <w:b/>
          <w:noProof/>
          <w:sz w:val="24"/>
          <w:szCs w:val="20"/>
        </w:rPr>
        <w:fldChar w:fldCharType="begin"/>
      </w:r>
      <w:r>
        <w:rPr>
          <w:rFonts w:ascii="Times New Roman" w:eastAsia="Times New Roman" w:hAnsi="Times New Roman" w:cs="Times New Roman"/>
          <w:b/>
          <w:noProof/>
          <w:sz w:val="24"/>
          <w:szCs w:val="20"/>
        </w:rPr>
        <w:instrText xml:space="preserve"> SEQ Table \* ARABIC </w:instrText>
      </w:r>
      <w:r>
        <w:rPr>
          <w:rFonts w:ascii="Times New Roman" w:eastAsia="Times New Roman" w:hAnsi="Times New Roman" w:cs="Times New Roman"/>
          <w:b/>
          <w:noProof/>
          <w:sz w:val="24"/>
          <w:szCs w:val="20"/>
        </w:rPr>
        <w:fldChar w:fldCharType="separate"/>
      </w:r>
      <w:r>
        <w:rPr>
          <w:rFonts w:ascii="Times New Roman" w:eastAsia="Times New Roman" w:hAnsi="Times New Roman" w:cs="Times New Roman"/>
          <w:b/>
          <w:noProof/>
          <w:sz w:val="24"/>
          <w:szCs w:val="20"/>
        </w:rPr>
        <w:t>1</w:t>
      </w:r>
      <w:r>
        <w:rPr>
          <w:rFonts w:ascii="Times New Roman" w:eastAsia="Times New Roman" w:hAnsi="Times New Roman" w:cs="Times New Roman"/>
          <w:b/>
          <w:noProof/>
          <w:sz w:val="24"/>
          <w:szCs w:val="20"/>
        </w:rPr>
        <w:fldChar w:fldCharType="end"/>
      </w:r>
      <w:r>
        <w:rPr>
          <w:rFonts w:ascii="Times New Roman" w:hAnsi="Times New Roman"/>
          <w:b/>
          <w:noProof/>
          <w:sz w:val="24"/>
        </w:rPr>
        <w:t>: Остатъчни задължения за изплащане по инструмента за платежния баланс (от август 2017 г.)</w:t>
      </w:r>
    </w:p>
    <w:tbl>
      <w:tblPr>
        <w:tblW w:w="8668" w:type="dxa"/>
        <w:tblInd w:w="93" w:type="dxa"/>
        <w:tblLook w:val="04A0" w:firstRow="1" w:lastRow="0" w:firstColumn="1" w:lastColumn="0" w:noHBand="0" w:noVBand="1"/>
      </w:tblPr>
      <w:tblGrid>
        <w:gridCol w:w="2000"/>
        <w:gridCol w:w="1834"/>
        <w:gridCol w:w="1678"/>
        <w:gridCol w:w="1478"/>
        <w:gridCol w:w="1678"/>
      </w:tblGrid>
      <w:tr>
        <w:trPr>
          <w:trHeight w:val="586"/>
        </w:trPr>
        <w:tc>
          <w:tcPr>
            <w:tcW w:w="2000" w:type="dxa"/>
            <w:tcBorders>
              <w:top w:val="single" w:sz="4" w:space="0" w:color="auto"/>
              <w:left w:val="single" w:sz="4" w:space="0" w:color="auto"/>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Година</w:t>
            </w:r>
          </w:p>
        </w:tc>
        <w:tc>
          <w:tcPr>
            <w:tcW w:w="1834"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Държава</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Връщане на капитала</w:t>
            </w:r>
          </w:p>
        </w:tc>
        <w:tc>
          <w:tcPr>
            <w:tcW w:w="14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Плащане на лихви</w:t>
            </w:r>
          </w:p>
        </w:tc>
        <w:tc>
          <w:tcPr>
            <w:tcW w:w="1678" w:type="dxa"/>
            <w:tcBorders>
              <w:top w:val="single" w:sz="4" w:space="0" w:color="auto"/>
              <w:left w:val="nil"/>
              <w:bottom w:val="nil"/>
              <w:right w:val="single" w:sz="4" w:space="0" w:color="auto"/>
            </w:tcBorders>
            <w:shd w:val="clear" w:color="auto" w:fill="auto"/>
            <w:vAlign w:val="center"/>
            <w:hideMark/>
          </w:tcPr>
          <w:p>
            <w:pPr>
              <w:spacing w:after="0" w:line="240" w:lineRule="auto"/>
              <w:jc w:val="center"/>
              <w:rPr>
                <w:rFonts w:ascii="Calibri" w:eastAsia="Times New Roman" w:hAnsi="Calibri" w:cs="Times New Roman"/>
                <w:b/>
                <w:bCs/>
                <w:i/>
                <w:iCs/>
                <w:noProof/>
                <w:color w:val="000000"/>
              </w:rPr>
            </w:pPr>
            <w:r>
              <w:rPr>
                <w:rFonts w:ascii="Calibri" w:hAnsi="Calibri"/>
                <w:b/>
                <w:i/>
                <w:noProof/>
                <w:color w:val="000000"/>
              </w:rPr>
              <w:t>Всичко общо</w:t>
            </w:r>
          </w:p>
        </w:tc>
      </w:tr>
      <w:tr>
        <w:trPr>
          <w:trHeight w:val="293"/>
        </w:trPr>
        <w:tc>
          <w:tcPr>
            <w:tcW w:w="200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2017</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Румъния</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1,150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32</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1,182</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2018</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Румъния</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1,350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77</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1,427</w:t>
            </w:r>
          </w:p>
        </w:tc>
      </w:tr>
      <w:tr>
        <w:trPr>
          <w:trHeight w:val="293"/>
        </w:trPr>
        <w:tc>
          <w:tcPr>
            <w:tcW w:w="2000"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2019</w:t>
            </w:r>
          </w:p>
        </w:tc>
        <w:tc>
          <w:tcPr>
            <w:tcW w:w="1834" w:type="dxa"/>
            <w:tcBorders>
              <w:top w:val="single" w:sz="4" w:space="0" w:color="000000"/>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500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23</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523</w:t>
            </w:r>
          </w:p>
        </w:tc>
      </w:tr>
      <w:tr>
        <w:trPr>
          <w:trHeight w:val="293"/>
        </w:trPr>
        <w:tc>
          <w:tcPr>
            <w:tcW w:w="2000" w:type="dxa"/>
            <w:vMerge/>
            <w:tcBorders>
              <w:top w:val="nil"/>
              <w:left w:val="single" w:sz="4" w:space="0" w:color="000000"/>
              <w:bottom w:val="single" w:sz="4" w:space="0" w:color="000000"/>
              <w:right w:val="single" w:sz="4" w:space="0" w:color="000000"/>
            </w:tcBorders>
            <w:vAlign w:val="center"/>
            <w:hideMark/>
          </w:tcPr>
          <w:p>
            <w:pPr>
              <w:spacing w:after="0" w:line="240" w:lineRule="auto"/>
              <w:rPr>
                <w:rFonts w:ascii="Calibri" w:eastAsia="Times New Roman" w:hAnsi="Calibri" w:cs="Times New Roman"/>
                <w:noProof/>
                <w:color w:val="000000"/>
              </w:rPr>
            </w:pPr>
          </w:p>
        </w:tc>
        <w:tc>
          <w:tcPr>
            <w:tcW w:w="1834" w:type="dxa"/>
            <w:tcBorders>
              <w:top w:val="nil"/>
              <w:left w:val="nil"/>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Румъния</w:t>
            </w:r>
          </w:p>
        </w:tc>
        <w:tc>
          <w:tcPr>
            <w:tcW w:w="16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1,000</w:t>
            </w:r>
          </w:p>
        </w:tc>
        <w:tc>
          <w:tcPr>
            <w:tcW w:w="1478" w:type="dxa"/>
            <w:tcBorders>
              <w:top w:val="nil"/>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34</w:t>
            </w:r>
          </w:p>
        </w:tc>
        <w:tc>
          <w:tcPr>
            <w:tcW w:w="1678" w:type="dxa"/>
            <w:tcBorders>
              <w:top w:val="nil"/>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1,034</w:t>
            </w:r>
          </w:p>
        </w:tc>
      </w:tr>
      <w:tr>
        <w:trPr>
          <w:trHeight w:val="293"/>
        </w:trPr>
        <w:tc>
          <w:tcPr>
            <w:tcW w:w="2000" w:type="dxa"/>
            <w:tcBorders>
              <w:top w:val="nil"/>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2020</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2021</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2022</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2023</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2024</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 </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r>
      <w:tr>
        <w:trPr>
          <w:trHeight w:val="293"/>
        </w:trPr>
        <w:tc>
          <w:tcPr>
            <w:tcW w:w="2000" w:type="dxa"/>
            <w:tcBorders>
              <w:top w:val="single" w:sz="4" w:space="0" w:color="000000"/>
              <w:left w:val="single" w:sz="4" w:space="0" w:color="000000"/>
              <w:bottom w:val="nil"/>
              <w:right w:val="nil"/>
            </w:tcBorders>
            <w:shd w:val="clear" w:color="auto" w:fill="auto"/>
            <w:noWrap/>
            <w:vAlign w:val="center"/>
            <w:hideMark/>
          </w:tcPr>
          <w:p>
            <w:pPr>
              <w:spacing w:after="0" w:line="240" w:lineRule="auto"/>
              <w:jc w:val="center"/>
              <w:rPr>
                <w:rFonts w:ascii="Calibri" w:eastAsia="Times New Roman" w:hAnsi="Calibri" w:cs="Times New Roman"/>
                <w:noProof/>
                <w:color w:val="000000"/>
              </w:rPr>
            </w:pPr>
            <w:r>
              <w:rPr>
                <w:rFonts w:ascii="Calibri" w:hAnsi="Calibri"/>
                <w:noProof/>
                <w:color w:val="000000"/>
              </w:rPr>
              <w:t>2025</w:t>
            </w:r>
          </w:p>
        </w:tc>
        <w:tc>
          <w:tcPr>
            <w:tcW w:w="1834" w:type="dxa"/>
            <w:tcBorders>
              <w:top w:val="single" w:sz="4" w:space="0" w:color="000000"/>
              <w:left w:val="single" w:sz="4" w:space="0" w:color="000000"/>
              <w:bottom w:val="nil"/>
              <w:right w:val="nil"/>
            </w:tcBorders>
            <w:shd w:val="clear" w:color="auto" w:fill="auto"/>
            <w:noWrap/>
            <w:vAlign w:val="bottom"/>
            <w:hideMark/>
          </w:tcPr>
          <w:p>
            <w:pPr>
              <w:spacing w:after="0" w:line="240" w:lineRule="auto"/>
              <w:rPr>
                <w:rFonts w:ascii="Calibri" w:eastAsia="Times New Roman" w:hAnsi="Calibri" w:cs="Times New Roman"/>
                <w:noProof/>
                <w:color w:val="000000"/>
              </w:rPr>
            </w:pPr>
            <w:r>
              <w:rPr>
                <w:rFonts w:ascii="Calibri" w:hAnsi="Calibri"/>
                <w:noProof/>
                <w:color w:val="000000"/>
              </w:rPr>
              <w:t>Латвия</w:t>
            </w:r>
          </w:p>
        </w:tc>
        <w:tc>
          <w:tcPr>
            <w:tcW w:w="16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200</w:t>
            </w:r>
          </w:p>
        </w:tc>
        <w:tc>
          <w:tcPr>
            <w:tcW w:w="1478" w:type="dxa"/>
            <w:tcBorders>
              <w:top w:val="single" w:sz="4" w:space="0" w:color="000000"/>
              <w:left w:val="single" w:sz="4" w:space="0" w:color="000000"/>
              <w:bottom w:val="nil"/>
              <w:right w:val="nil"/>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6</w:t>
            </w:r>
          </w:p>
        </w:tc>
        <w:tc>
          <w:tcPr>
            <w:tcW w:w="1678" w:type="dxa"/>
            <w:tcBorders>
              <w:top w:val="single" w:sz="4" w:space="0" w:color="000000"/>
              <w:left w:val="single" w:sz="4" w:space="0" w:color="000000"/>
              <w:bottom w:val="nil"/>
              <w:right w:val="single" w:sz="4" w:space="0" w:color="000000"/>
            </w:tcBorders>
            <w:shd w:val="clear" w:color="auto" w:fill="auto"/>
            <w:noWrap/>
            <w:vAlign w:val="bottom"/>
            <w:hideMark/>
          </w:tcPr>
          <w:p>
            <w:pPr>
              <w:spacing w:after="0" w:line="240" w:lineRule="auto"/>
              <w:jc w:val="right"/>
              <w:rPr>
                <w:rFonts w:ascii="Calibri" w:eastAsia="Times New Roman" w:hAnsi="Calibri" w:cs="Times New Roman"/>
                <w:noProof/>
                <w:color w:val="000000"/>
              </w:rPr>
            </w:pPr>
            <w:r>
              <w:rPr>
                <w:rFonts w:ascii="Calibri" w:hAnsi="Calibri"/>
                <w:noProof/>
                <w:color w:val="000000"/>
              </w:rPr>
              <w:t>206</w:t>
            </w:r>
          </w:p>
        </w:tc>
      </w:tr>
      <w:tr>
        <w:trPr>
          <w:trHeight w:val="293"/>
        </w:trPr>
        <w:tc>
          <w:tcPr>
            <w:tcW w:w="3834"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pPr>
              <w:spacing w:after="0" w:line="240" w:lineRule="auto"/>
              <w:jc w:val="center"/>
              <w:rPr>
                <w:rFonts w:ascii="Calibri" w:eastAsia="Times New Roman" w:hAnsi="Calibri" w:cs="Times New Roman"/>
                <w:b/>
                <w:bCs/>
                <w:noProof/>
                <w:color w:val="000000"/>
              </w:rPr>
            </w:pPr>
            <w:r>
              <w:rPr>
                <w:rFonts w:ascii="Calibri" w:hAnsi="Calibri"/>
                <w:b/>
                <w:noProof/>
                <w:color w:val="000000"/>
              </w:rPr>
              <w:t>Всичко общо</w:t>
            </w:r>
          </w:p>
        </w:tc>
        <w:tc>
          <w:tcPr>
            <w:tcW w:w="1678" w:type="dxa"/>
            <w:tcBorders>
              <w:top w:val="single" w:sz="4" w:space="0" w:color="000000"/>
              <w:left w:val="nil"/>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4,200</w:t>
            </w:r>
          </w:p>
        </w:tc>
        <w:tc>
          <w:tcPr>
            <w:tcW w:w="1478" w:type="dxa"/>
            <w:tcBorders>
              <w:top w:val="single" w:sz="4" w:space="0" w:color="000000"/>
              <w:left w:val="single" w:sz="4" w:space="0" w:color="000000"/>
              <w:bottom w:val="single" w:sz="4" w:space="0" w:color="000000"/>
              <w:right w:val="nil"/>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231</w:t>
            </w:r>
          </w:p>
        </w:tc>
        <w:tc>
          <w:tcPr>
            <w:tcW w:w="1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spacing w:after="0" w:line="240" w:lineRule="auto"/>
              <w:jc w:val="right"/>
              <w:rPr>
                <w:rFonts w:ascii="Calibri" w:eastAsia="Times New Roman" w:hAnsi="Calibri" w:cs="Times New Roman"/>
                <w:b/>
                <w:bCs/>
                <w:noProof/>
                <w:color w:val="000000"/>
              </w:rPr>
            </w:pPr>
            <w:r>
              <w:rPr>
                <w:rFonts w:ascii="Calibri" w:hAnsi="Calibri"/>
                <w:b/>
                <w:noProof/>
                <w:color w:val="000000"/>
              </w:rPr>
              <w:t>4,431</w:t>
            </w:r>
          </w:p>
        </w:tc>
      </w:tr>
    </w:tbl>
    <w:p>
      <w:pPr>
        <w:spacing w:after="120" w:line="240" w:lineRule="auto"/>
        <w:jc w:val="right"/>
        <w:rPr>
          <w:rFonts w:eastAsia="Times New Roman" w:cs="Times New Roman"/>
          <w:noProof/>
        </w:rPr>
      </w:pPr>
      <w:r>
        <w:rPr>
          <w:noProof/>
        </w:rPr>
        <w:t>в млн. евро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този контекст остатъчният капацитет на инструмента в момента възлиза на 45,8 млрд. евро. Досега не е получено искане за допълнителна подкрепа.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Като цяло устойчивостта на платежния баланс във всички посочени по-горе държави членки бенефициери бързо се подобри, което даде възможност за подновен достъп до пазарно финансиране. Следователно инструментът изпълнява ролята</w:t>
      </w:r>
      <w:r>
        <w:rPr>
          <w:rFonts w:ascii="Times New Roman" w:hAnsi="Times New Roman"/>
          <w:b/>
          <w:noProof/>
          <w:sz w:val="24"/>
        </w:rPr>
        <w:t xml:space="preserve"> </w:t>
      </w:r>
      <w:r>
        <w:rPr>
          <w:rFonts w:ascii="Times New Roman" w:hAnsi="Times New Roman"/>
          <w:noProof/>
          <w:sz w:val="24"/>
        </w:rPr>
        <w:t>си ефективно.</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Същевременно, през периода 2010—2013 г. наборът от международни инструменти за финансова помощ беше разширен, за да включи по-гъвкави инструменти, които да служат в по-голяма степен за превенция. В еврозоната Европейският механизъм за стабилност (ЕМС) разполага с всеобхватен набор от инструменти за посрещане на нуждите от финансиране на своите членове. В Съюза Европейският механизъм за финансово стабилизиране (ЕМФС), в общи линии сходен по функциониране с инструмента за платежния баланс, въведе по-гъвкава рамка за операции по получаване и отпускане на заеми за макрофинансови цели. За разлика от тях инструментът за платежния баланс не е бил обект на допълнителни изменения.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Ето защо бе предложено правилата за кредитни линии в Регламента относно платежния баланс да бъдат изяснени, а тези за операциите по получаване и отпускане на заеми да бъдат приведени в съответствие с по-гъвкавите правила, приложими за Европейския механизъм за финансово стабилизиране (ЕМФС).</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Освен това рамката за многостранен надзор бе засилена с приемането на т.нар. пакети от „шест законодателни акта“ и „от два законодателни акта“. По-конкретно, в Регламент (ЕС) № 472/2013</w:t>
      </w:r>
      <w:r>
        <w:rPr>
          <w:rStyle w:val="FootnoteReference"/>
          <w:noProof/>
        </w:rPr>
        <w:footnoteReference w:id="4"/>
      </w:r>
      <w:r>
        <w:rPr>
          <w:rFonts w:ascii="Times New Roman" w:hAnsi="Times New Roman"/>
          <w:noProof/>
          <w:sz w:val="24"/>
        </w:rPr>
        <w:t xml:space="preserve"> за засилване на икономическото и бюджетно наблюдение се съдържат редица разпоредби за избягване на дублирането на задълженията за докладване за получаващите финансова помощ държави от еврозоната чрез спиране на процедурата при макроикономически дисбаланси (ПМД) и в рамките на европейския семестър и мониторинга съгласно финансовите разпоредби на тези държави, вместо в рамките на превантивните мерки на Пакта за стабилност и растеж (ПСР). Освен това в Регламент № 472/2013 също се определя ясна рамка за наблюдение на държавите от еврозоната след края на финансовата помощ („наблюдение след приключване на програмата“). Бе предложено подобни разпоредби да бъдат въведени и за държавите членки извън еврозоната, които получават подкрепа посредством инструмента за платежния баланс.</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Съдържание на законодателното предложение и актуално състояние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На 22 юни 2012 г. Комисията представи законодателно предложение (COM(2012) 336 final) за преразглеждане на инструмента за платежния баланс. Вместо да цели изменение на Регламента относно платежния баланс, предложението по-скоро представлява проект за нов регламент, който да отмени и замени съществуващия. Предложението съдържа следните основни изменения на инструмента за платежния баланс:</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По-гъвкав набор от инструменти:</w:t>
      </w:r>
      <w:r>
        <w:rPr>
          <w:rFonts w:ascii="Times New Roman" w:hAnsi="Times New Roman"/>
          <w:noProof/>
          <w:sz w:val="24"/>
        </w:rPr>
        <w:t xml:space="preserve"> Специален инструмент за кредитната линия може да бъде превантивна условна кредитна линия (ПУКЛ), т.е. кредитна линия, обвързана с изпълнението на условия за допустимост, или кредитна линия с разширени условия (КЛРУ), т.е. кредитна линия, основаваща се на съчетание от условия за допустимост и нови мерки на политиката. Достъп до ПУКЛ трябва да имат само държавите членки, чието икономическо и финансово състояние е като цяло стабилно и които изпълняват приетите критерии за допустимост. Достъп до КЛРУ трябва да имат държави членки, които не отговарят на критериите за ПУКЛ, но чието общо икономическо и финансово състояние е стабилно. Те трябва да приемат коригиращи мерки.</w:t>
      </w:r>
    </w:p>
    <w:p>
      <w:pPr>
        <w:numPr>
          <w:ilvl w:val="0"/>
          <w:numId w:val="2"/>
        </w:numPr>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Повече прозрачност и отчетност</w:t>
      </w:r>
      <w:r>
        <w:rPr>
          <w:rFonts w:ascii="Times New Roman" w:hAnsi="Times New Roman"/>
          <w:noProof/>
          <w:sz w:val="24"/>
        </w:rPr>
        <w:t xml:space="preserve"> ресорната комисия на Европейския парламент може да предостави на съответната държава членка възможност да участва в обмен на мнения относно напредъка в изпълнението на програмата за корекции. Националният парламент на съответната държава членка може да покани представители на Комисията за участие в обмен на мнения относно напредъка, отбелязан в изпълнението на програмата за макроикономически корекции.</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Засилено наблюдение:</w:t>
      </w:r>
      <w:r>
        <w:rPr>
          <w:rFonts w:ascii="Times New Roman" w:hAnsi="Times New Roman"/>
          <w:noProof/>
          <w:sz w:val="24"/>
        </w:rPr>
        <w:t xml:space="preserve"> Състои се в по-широк достъп на Комисията до информацията, необходима за непосредственото наблюдение на икономическото, фискалното и финансовото състояние на съответната държава членка, и в редовно докладване от страна на Комисията. Държава членка, която се намира под засилено наблюдение, трябва да предприеме мерки за преодоляване на потенциалните източници на икономически трудности.</w:t>
      </w:r>
    </w:p>
    <w:p>
      <w:pPr>
        <w:numPr>
          <w:ilvl w:val="0"/>
          <w:numId w:val="2"/>
        </w:numPr>
        <w:autoSpaceDE w:val="0"/>
        <w:autoSpaceDN w:val="0"/>
        <w:adjustRightInd w:val="0"/>
        <w:spacing w:before="120" w:after="120" w:line="240" w:lineRule="auto"/>
        <w:ind w:left="284" w:hanging="284"/>
        <w:jc w:val="both"/>
        <w:rPr>
          <w:rFonts w:ascii="Times New Roman" w:eastAsia="Times New Roman" w:hAnsi="Times New Roman" w:cs="Times New Roman"/>
          <w:noProof/>
          <w:sz w:val="24"/>
          <w:szCs w:val="20"/>
        </w:rPr>
      </w:pPr>
      <w:r>
        <w:rPr>
          <w:rFonts w:ascii="Times New Roman" w:hAnsi="Times New Roman"/>
          <w:noProof/>
          <w:sz w:val="24"/>
          <w:u w:val="single"/>
        </w:rPr>
        <w:t>Рационализиране на процедурите за наблюдение:</w:t>
      </w:r>
      <w:r>
        <w:rPr>
          <w:rFonts w:ascii="Times New Roman" w:hAnsi="Times New Roman"/>
          <w:noProof/>
          <w:sz w:val="24"/>
        </w:rPr>
        <w:t xml:space="preserve"> чрез замяната на редица стъпки, свързани с наблюдението, съгласно превантивните мерки на Пакта за стабилност и растеж и Европейския семестър, с програмата за макроикономически корекции и нейното наблюдение. Преразгледаният регламент по аналогичен начин преустановява ПМД, когато съответната държава членка изпълнява програма за макроикономически корекции, и изисква наблюдение след предоставяне на помощта за държави членки, които са възстановили под 75 % от получената финансова помощ.</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допълнение към тези промени, предложени от Комисията, Европейският парламент поиска да се включи възможност за отпускане на заеми на държавите членки извън еврозоната с цел рекапитализация на финансови институции (инструмент за непряка рекапитализация). В отговор на това искане Комисията се съгласи да бъде пояснено, че нуждите от финансиране, произтичащи от необходимостта за рекапитализация на финансови институции, биха могли да бъдат посрещнати с инструмента и че изискването за необходимите условия би могло да бъде променено с оглед преди всичко на тези проблеми.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Съветът обсъди измененото предложение на Комисията за последен път през декември 2013 г. с оглед на постигането на обща позиция. Предложението получи широка подкрепа от всички, освен от една държава членка. Оттогава законодателният процес е в застой.</w:t>
      </w:r>
    </w:p>
    <w:p>
      <w:pPr>
        <w:pStyle w:val="ListParagraph"/>
        <w:keepNext/>
        <w:numPr>
          <w:ilvl w:val="0"/>
          <w:numId w:val="3"/>
        </w:numPr>
        <w:spacing w:before="120" w:after="120" w:line="240" w:lineRule="auto"/>
        <w:ind w:left="357" w:hanging="357"/>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Заключения и препоръки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От 2012 г. насам инструментът за платежния баланс ефективно изпълнява ролята си; последните държави членки бенефициери успешно възвърнаха устойчивото състояние на платежния си баланс и възстановиха помощта навреме.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Таванът от 50 млрд. евро за непогасени заеми по принцип изглежда подходящ. Не е необходимо преразглеждане на този таван, като се има предвид, че остатъчният капацитет на инструмента в момента възлиза на 45,8 млрд. евро и няма допълнителни искания.</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Той се доказа като много ефективен в миналото и представлява ясен сигнал, че Европейският съюз има както желанието, така и капацитета да подкрепи всички свои държави членки в тези трудни времена. Това е особено стойностно доказателство предвид сегашната несигурност.</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Същевременно стана ясно, че инструментът трябва да бъде адаптиран, за да отрази институционалните нововъведения, осъществени след последното преразглеждане на инструмента за платежния баланс, предимно по отношение на еврозоната. За тази цел Комисията представи предложение COM(2012) 336 final, което все още е в процес на обсъждане в Съвета. Комисията предлага законодателният процес да бъде финализиран, тъй като чрез него се подобрява процедурата и по този начин се допринася за постигането на равнопоставеност между държавите членки. Освен това Комисията гледа на променящата се политическа среда като на възможност да се даде на предложението нов тласък. </w:t>
      </w:r>
    </w:p>
    <w:p>
      <w:pPr>
        <w:spacing w:before="120" w:after="120" w:line="240" w:lineRule="auto"/>
        <w:jc w:val="both"/>
        <w:rPr>
          <w:rFonts w:ascii="Times New Roman" w:eastAsia="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00902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ОВ L 53, 23.2.2002 г., стр. 1.</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ОВ L 118, 12.5.2010 г., стр. 1.</w:t>
      </w:r>
    </w:p>
  </w:footnote>
  <w:footnote w:id="3">
    <w:p>
      <w:pPr>
        <w:pStyle w:val="FootnoteText"/>
        <w:jc w:val="both"/>
      </w:pPr>
      <w:r>
        <w:rPr>
          <w:rStyle w:val="FootnoteReference"/>
          <w:rFonts w:ascii="Times New Roman" w:hAnsi="Times New Roman"/>
        </w:rPr>
        <w:footnoteRef/>
      </w:r>
      <w:r>
        <w:rPr>
          <w:rFonts w:ascii="Times New Roman" w:hAnsi="Times New Roman"/>
        </w:rPr>
        <w:t xml:space="preserve"> Понастоящем девет държави членки попадат в тази категория: България, Хърватия, Чешката република, Дания, Унгария, Полша, Румъния, Швеция и Обединеното кралство (що се отнася до последното, в приложения към Договорите Протокол № 15 се посочва, че членове 143 и 144 от Договора за функционирането на Европейския съюз (ДФЕС) остават в сила).</w:t>
      </w:r>
    </w:p>
  </w:footnote>
  <w:footnote w:id="4">
    <w:p>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472/2013 на Европейския парламент и на Съвета от 21 май 2013 г. за засилване на икономическото и бюджетно наблюдение над държавите членки в еврозоната, изпитващи или застрашени от сериозни затруднения по отношение на финансовата си стабилност (ОВ L 140, 27.5.2013</w:t>
      </w:r>
      <w:r>
        <w:rPr>
          <w:rFonts w:ascii="Times New Roman" w:hAnsi="Times New Roman"/>
          <w:lang w:val="en-GB"/>
        </w:rPr>
        <w:t> </w:t>
      </w:r>
      <w:r>
        <w:rPr>
          <w:rFonts w:ascii="Times New Roman" w:hAnsi="Times New Roman"/>
        </w:rPr>
        <w:t>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07B53"/>
    <w:multiLevelType w:val="hybridMultilevel"/>
    <w:tmpl w:val="68FA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066278"/>
    <w:multiLevelType w:val="hybridMultilevel"/>
    <w:tmpl w:val="BD284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BD66DBF"/>
    <w:multiLevelType w:val="hybridMultilevel"/>
    <w:tmpl w:val="2CFE77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5BEC0AE553B84F8790F774601DF52831"/>
    <w:docVar w:name="LW_CROSSREFERENCE" w:val="&lt;UNUSED&gt;"/>
    <w:docVar w:name="LW_DocType" w:val="NORMAL"/>
    <w:docVar w:name="LW_EMISSION" w:val="30.8.2017"/>
    <w:docVar w:name="LW_EMISSION_ISODATE" w:val="2017-08-30"/>
    <w:docVar w:name="LW_EMISSION_LOCATION" w:val="BRX"/>
    <w:docVar w:name="LW_EMISSION_PREFIX" w:val="Брюксел, "/>
    <w:docVar w:name="LW_EMISSION_SUFFIX" w:val=" \u1075?."/>
    <w:docVar w:name="LW_ID_DOCTYPE_NONLW" w:val="CP-00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459"/>
    <w:docVar w:name="LW_REF.INTERNE" w:val="&lt;UNUSED&gt;"/>
    <w:docVar w:name="LW_SOUS.TITRE.OBJ.CP" w:val="&lt;UNUSED&gt;"/>
    <w:docVar w:name="LW_SUPERTITRE" w:val="&lt;UNUSED&gt;"/>
    <w:docVar w:name="LW_TITRE.OBJ.CP" w:val="\u1044?\u1086?\u1082?\u1083?\u1072?\u1076? \u1086?\u1090?\u1085?\u1086?\u1089?\u1085?\u1086? \u1084?\u1077?\u1093?\u1072?\u1085?\u1080?\u1079?\u1084?\u1072? \u1085?\u1072? \u1057?\u1098?\u1102?\u1079?\u1072?, \u1086?\u1089?\u1080?\u1075?\u1091?\u1088?\u1103?\u1074?\u1072?\u1097? \u1089?\u1088?\u1077?\u1076?\u1085?\u1086?\u1089?\u1088?\u1086?\u1095?\u1085?\u1072? \u1092?\u1080?\u1085?\u1072?\u1085?\u1089?\u1086?\u1074?\u1072? \u1087?\u1086?\u1076?\u1082?\u1088?\u1077?\u1087?\u1072? \u1079?\u1072? \u1087?\u1083?\u1072?\u1090?\u1077?\u1078?\u1085?\u1080?\u1103? \u1073?\u1072?\u1083?\u1072?\u1085?\u1089? \u1085?\u1072? \u1076?\u1098?\u1088?\u1078?\u1072?\u1074?\u1080?\u1090?\u1077? \u1095?\u1083?\u1077?\u1085?\u1082?\u1080? \u1087?\u1086? \u1089?\u1080?\u1083?\u1072?\u1090?\u1072? \u1085?\u1072? \u1095?\u1083?\u1077?\u1085? 10 \u1086?\u1090? \u1056?\u1077?\u1075?\u1083?\u1072?\u1084?\u1077?\u1085?\u1090? (E\u1054?) \u8470? 332/2002 \u1085?\u1072? \u1057?\u1098?\u1074?\u1077?\u1090?\u1072?"/>
    <w:docVar w:name="LW_TYPE.DOC.CP" w:val="\u1044?\u1054?\u1050?\u1051?\u1040?\u1044? \u1053?\u1040? \u1050?\u1054?\u1052?\u1048?\u1057?\u1048?\u1071?\u1058?\u1040? \u1044?\u1054?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aliases w:val="Footnote Reference Number,Footnote symbol"/>
    <w:rPr>
      <w:vertAlign w:val="superscript"/>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68C21-C270-4ED6-893C-A1678DFA3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Pages>
  <Words>1802</Words>
  <Characters>10509</Characters>
  <Application>Microsoft Office Word</Application>
  <DocSecurity>0</DocSecurity>
  <Lines>244</Lines>
  <Paragraphs>108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dcterms:created xsi:type="dcterms:W3CDTF">2017-07-26T13:33:00Z</dcterms:created>
  <dcterms:modified xsi:type="dcterms:W3CDTF">2017-08-21T13:17:00Z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