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289AA45B5644FBA9C087094429367A4"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60"/>
        </w:sectPr>
      </w:pPr>
    </w:p>
    <w:p>
      <w:pPr>
        <w:tabs>
          <w:tab w:val="left" w:pos="8931"/>
        </w:tabs>
        <w:spacing w:after="120"/>
        <w:ind w:right="45"/>
        <w:jc w:val="both"/>
        <w:rPr>
          <w:rFonts w:ascii="Times New Roman" w:hAnsi="Times New Roman"/>
          <w:noProof/>
        </w:rPr>
      </w:pPr>
      <w:bookmarkStart w:id="1" w:name="_GoBack"/>
      <w:bookmarkEnd w:id="1"/>
      <w:r>
        <w:rPr>
          <w:rFonts w:ascii="Times New Roman" w:hAnsi="Times New Roman"/>
          <w:noProof/>
          <w:spacing w:val="-2"/>
        </w:rPr>
        <w:lastRenderedPageBreak/>
        <w:t xml:space="preserve">Настоящият междинен преглед представя оценка на напредъка, постигнат от стартирането на рамката на ЕС за национални стратегии за интегриране на ромите (НСИР) през 2011 г. Той се основава на данни за това как се е променило положението на ромите и на информация, предоставена от националните органи, гражданското общество и други партньори. Прегледът потвърждава добавената стойност на рамката, значимостта на целите на ЕС за интегриране на ромите и продължаващата необходимост от съчетаване на целенасочени и общи подходи. </w:t>
      </w:r>
    </w:p>
    <w:p>
      <w:pPr>
        <w:tabs>
          <w:tab w:val="left" w:pos="8931"/>
        </w:tabs>
        <w:spacing w:after="120"/>
        <w:ind w:right="45"/>
        <w:jc w:val="both"/>
        <w:rPr>
          <w:rFonts w:ascii="Times New Roman" w:hAnsi="Times New Roman"/>
          <w:noProof/>
        </w:rPr>
      </w:pPr>
      <w:r>
        <w:rPr>
          <w:rFonts w:ascii="Times New Roman" w:hAnsi="Times New Roman"/>
          <w:noProof/>
          <w:spacing w:val="-2"/>
        </w:rPr>
        <w:t>Най-важните подобрения в резултат на рамката на ЕС включват:</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hAnsi="Times New Roman"/>
          <w:noProof/>
          <w:spacing w:val="-2"/>
        </w:rPr>
        <w:t>ангажимент за разглеждане на интегрирането на ромите като приоритет на европейско и национално равнище;</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hAnsi="Times New Roman"/>
          <w:noProof/>
          <w:spacing w:val="-2"/>
        </w:rPr>
        <w:t>структури за сътрудничество и координация между заинтересованите страни в областта на приобщаването на ромите;</w:t>
      </w:r>
    </w:p>
    <w:p>
      <w:pPr>
        <w:pStyle w:val="ListParagraph"/>
        <w:numPr>
          <w:ilvl w:val="0"/>
          <w:numId w:val="42"/>
        </w:numPr>
        <w:tabs>
          <w:tab w:val="left" w:pos="8931"/>
        </w:tabs>
        <w:spacing w:after="60"/>
        <w:ind w:left="425" w:right="45" w:hanging="425"/>
        <w:contextualSpacing w:val="0"/>
        <w:jc w:val="both"/>
        <w:rPr>
          <w:rFonts w:ascii="Times New Roman" w:hAnsi="Times New Roman"/>
          <w:noProof/>
        </w:rPr>
      </w:pPr>
      <w:r>
        <w:rPr>
          <w:rFonts w:ascii="Times New Roman" w:hAnsi="Times New Roman"/>
          <w:noProof/>
          <w:spacing w:val="-2"/>
        </w:rPr>
        <w:t xml:space="preserve">разработване, изпълнение и мониторинг на националните стратегии и мерки за интегриране; и </w:t>
      </w:r>
    </w:p>
    <w:p>
      <w:pPr>
        <w:pStyle w:val="ListParagraph"/>
        <w:numPr>
          <w:ilvl w:val="0"/>
          <w:numId w:val="42"/>
        </w:numPr>
        <w:tabs>
          <w:tab w:val="left" w:pos="8931"/>
        </w:tabs>
        <w:spacing w:after="120"/>
        <w:ind w:left="425" w:right="45" w:hanging="425"/>
        <w:contextualSpacing w:val="0"/>
        <w:jc w:val="both"/>
        <w:rPr>
          <w:rFonts w:ascii="Times New Roman" w:hAnsi="Times New Roman"/>
          <w:noProof/>
        </w:rPr>
      </w:pPr>
      <w:r>
        <w:rPr>
          <w:rFonts w:ascii="Times New Roman" w:hAnsi="Times New Roman"/>
          <w:noProof/>
          <w:spacing w:val="-2"/>
        </w:rPr>
        <w:t>мобилизиране и съгласуване на правни инструменти, инструменти на политиката и финансови инструменти за борба с дискриминацията и за насърчаване на приобщаването на ромите.</w:t>
      </w:r>
    </w:p>
    <w:p>
      <w:pPr>
        <w:tabs>
          <w:tab w:val="left" w:pos="8931"/>
        </w:tabs>
        <w:spacing w:after="120"/>
        <w:ind w:right="45"/>
        <w:jc w:val="both"/>
        <w:rPr>
          <w:rFonts w:ascii="Times New Roman" w:hAnsi="Times New Roman"/>
          <w:noProof/>
        </w:rPr>
      </w:pPr>
      <w:r>
        <w:rPr>
          <w:rFonts w:ascii="Times New Roman" w:hAnsi="Times New Roman"/>
          <w:noProof/>
          <w:spacing w:val="-2"/>
        </w:rPr>
        <w:t>С развитието на необходимите структури се създават условията за постигане на промяна в живота на ромите.</w:t>
      </w:r>
    </w:p>
    <w:p>
      <w:pPr>
        <w:tabs>
          <w:tab w:val="left" w:pos="8931"/>
        </w:tabs>
        <w:spacing w:after="120"/>
        <w:ind w:right="45"/>
        <w:jc w:val="both"/>
        <w:rPr>
          <w:rFonts w:ascii="Times New Roman" w:hAnsi="Times New Roman"/>
          <w:noProof/>
        </w:rPr>
      </w:pPr>
      <w:r>
        <w:rPr>
          <w:rFonts w:ascii="Times New Roman" w:hAnsi="Times New Roman"/>
          <w:noProof/>
          <w:spacing w:val="-2"/>
        </w:rPr>
        <w:t xml:space="preserve">По отношение обаче на реалната промяна в положението на ромите през периода 2011—2016 г. е ясно, че пет години са твърде кратък период, за да се заличат понасяните в продължение на векове дискриминация и лишения. Напредък се забелязва основно в областта на образованието, и по-специално все по-големият дял на ромските деца, които получават образование и грижи в ранна детска възраст, е признак за големия потенциал за тяхното по-нататъшно развитие. От друга страна, въпреки че процентът на преждевременно напусналите училище и рискът от бедност сред ромите намаляват, те са все още твърде големи. Увеличаващият се брой млади роми, които не са заети с работа, учене или обучение, е тревожен сигнал за необходимостта от по-ефективна борба срещу дискриминацията, за да може постигнатите в образованието резултати да се приложат в областта на трудовата заетост и в други области. </w:t>
      </w:r>
    </w:p>
    <w:p>
      <w:pPr>
        <w:tabs>
          <w:tab w:val="left" w:pos="8931"/>
        </w:tabs>
        <w:spacing w:after="120"/>
        <w:ind w:right="45"/>
        <w:jc w:val="both"/>
        <w:rPr>
          <w:rFonts w:ascii="Times New Roman" w:hAnsi="Times New Roman"/>
          <w:noProof/>
        </w:rPr>
      </w:pPr>
      <w:r>
        <w:rPr>
          <w:rFonts w:ascii="Times New Roman" w:hAnsi="Times New Roman"/>
          <w:noProof/>
          <w:spacing w:val="-2"/>
        </w:rPr>
        <w:t xml:space="preserve">В прегледа са определени също така и основните приоритети, на които държавите членки трябва да обърнат внимание, както и начини за подсилване на рамката на ЕС за национални стратегии за интегриране на ромите (НСИР).  </w:t>
      </w:r>
    </w:p>
    <w:p>
      <w:pPr>
        <w:tabs>
          <w:tab w:val="left" w:pos="8931"/>
        </w:tabs>
        <w:spacing w:before="240" w:after="240"/>
        <w:ind w:left="567" w:right="45" w:hanging="567"/>
        <w:jc w:val="both"/>
        <w:rPr>
          <w:rFonts w:ascii="Times New Roman" w:hAnsi="Times New Roman" w:cs="Times New Roman"/>
          <w:b/>
          <w:bCs/>
          <w:smallCaps/>
          <w:noProof/>
        </w:rPr>
      </w:pPr>
      <w:r>
        <w:rPr>
          <w:rFonts w:ascii="Times New Roman" w:hAnsi="Times New Roman"/>
          <w:b/>
          <w:smallCaps/>
          <w:noProof/>
        </w:rPr>
        <w:t xml:space="preserve">1. </w:t>
      </w:r>
      <w:r>
        <w:rPr>
          <w:noProof/>
        </w:rPr>
        <w:tab/>
      </w:r>
      <w:r>
        <w:rPr>
          <w:rFonts w:ascii="Times New Roman" w:hAnsi="Times New Roman"/>
          <w:b/>
          <w:smallCaps/>
          <w:noProof/>
        </w:rPr>
        <w:t>Разработване на рамката на ЕС</w:t>
      </w:r>
    </w:p>
    <w:p>
      <w:pPr>
        <w:tabs>
          <w:tab w:val="left" w:pos="8931"/>
        </w:tabs>
        <w:spacing w:after="120"/>
        <w:ind w:right="45"/>
        <w:jc w:val="both"/>
        <w:rPr>
          <w:rFonts w:ascii="Times New Roman" w:eastAsia="Calibri" w:hAnsi="Times New Roman" w:cs="Times New Roman"/>
          <w:iCs/>
          <w:noProof/>
          <w:spacing w:val="-2"/>
        </w:rPr>
      </w:pPr>
      <w:r>
        <w:rPr>
          <w:rFonts w:ascii="Times New Roman" w:hAnsi="Times New Roman"/>
          <w:noProof/>
          <w:spacing w:val="-2"/>
        </w:rPr>
        <w:t>През 2011 г. положението на ромите</w:t>
      </w:r>
      <w:r>
        <w:rPr>
          <w:rStyle w:val="FootnoteReference"/>
          <w:rFonts w:ascii="Times New Roman" w:hAnsi="Times New Roman"/>
          <w:noProof/>
          <w:color w:val="000000"/>
        </w:rPr>
        <w:footnoteReference w:id="1"/>
      </w:r>
      <w:r>
        <w:rPr>
          <w:rFonts w:ascii="Times New Roman" w:hAnsi="Times New Roman"/>
          <w:noProof/>
          <w:spacing w:val="-2"/>
        </w:rPr>
        <w:t>, най-голямото малцинство в Европа (около 10—12 милиона души), привлече политическото внимание. В условията на икономическата криза стана ясно, че справянето с икономическата и социалната маргинализация и с дискриминацията срещу ромите е не само морално задължение, което е в съответствие с основните ценности на ЕС, но така също и икономически императив, който може да донесе дългосрочни ползи за застаряващото европейско общество. Беше ясно, че са необходими действия както на национално равнище, така и на равнище ЕС. Въпреки че държавите членки носят основната отговорност и разполагат със средства да променят положението на своите ромски общности, Комисията (след призив от страна на Европейския парламент)</w:t>
      </w:r>
      <w:r>
        <w:rPr>
          <w:rStyle w:val="FootnoteReference"/>
          <w:rFonts w:ascii="Times New Roman" w:hAnsi="Times New Roman"/>
          <w:noProof/>
          <w:spacing w:val="-2"/>
        </w:rPr>
        <w:footnoteReference w:id="2"/>
      </w:r>
      <w:r>
        <w:rPr>
          <w:rFonts w:ascii="Times New Roman" w:hAnsi="Times New Roman"/>
          <w:noProof/>
          <w:spacing w:val="-2"/>
        </w:rPr>
        <w:t xml:space="preserve"> предложи нов целеви инструмент на политиката на европейско равнище: рамката на ЕС за национални стратегии за интегриране на ромите</w:t>
      </w:r>
      <w:r>
        <w:rPr>
          <w:rStyle w:val="FootnoteReference"/>
          <w:rFonts w:ascii="Times New Roman" w:hAnsi="Times New Roman"/>
          <w:noProof/>
          <w:color w:val="000000"/>
        </w:rPr>
        <w:footnoteReference w:id="3"/>
      </w:r>
      <w:r>
        <w:rPr>
          <w:noProof/>
        </w:rPr>
        <w:t>.</w:t>
      </w:r>
      <w:r>
        <w:rPr>
          <w:rFonts w:ascii="Times New Roman" w:hAnsi="Times New Roman"/>
          <w:noProof/>
          <w:color w:val="000000"/>
        </w:rPr>
        <w:t xml:space="preserve"> </w:t>
      </w:r>
    </w:p>
    <w:p>
      <w:pPr>
        <w:tabs>
          <w:tab w:val="left" w:pos="8931"/>
        </w:tabs>
        <w:spacing w:after="120"/>
        <w:ind w:right="45"/>
        <w:jc w:val="both"/>
        <w:rPr>
          <w:rFonts w:ascii="Times New Roman" w:hAnsi="Times New Roman" w:cs="Times New Roman"/>
          <w:noProof/>
          <w:color w:val="262626"/>
        </w:rPr>
      </w:pPr>
      <w:r>
        <w:rPr>
          <w:rFonts w:ascii="Times New Roman" w:hAnsi="Times New Roman"/>
          <w:noProof/>
          <w:color w:val="000000"/>
        </w:rPr>
        <w:t>Рамката има за цел</w:t>
      </w:r>
      <w:r>
        <w:rPr>
          <w:rFonts w:ascii="Times New Roman" w:hAnsi="Times New Roman"/>
          <w:noProof/>
        </w:rPr>
        <w:t xml:space="preserve"> да бъдат премахнати разликите между ромите и останалата част на населението в четири основни области: образование, трудова заетост, здравеопазване и жилищно настаняване. </w:t>
      </w:r>
      <w:r>
        <w:rPr>
          <w:rFonts w:ascii="Times New Roman" w:hAnsi="Times New Roman"/>
          <w:noProof/>
          <w:color w:val="000000"/>
        </w:rPr>
        <w:t>Предложението на Комисията беше последвано от заключения на Съвета и на Европейския съвет</w:t>
      </w:r>
      <w:r>
        <w:rPr>
          <w:rStyle w:val="FootnoteReference"/>
          <w:rFonts w:ascii="Times New Roman" w:hAnsi="Times New Roman"/>
          <w:noProof/>
          <w:color w:val="000000"/>
        </w:rPr>
        <w:footnoteReference w:id="4"/>
      </w:r>
      <w:r>
        <w:rPr>
          <w:rFonts w:ascii="Times New Roman" w:hAnsi="Times New Roman"/>
          <w:noProof/>
          <w:color w:val="000000"/>
        </w:rPr>
        <w:t xml:space="preserve">, с които се засвидетелства безпрецедентен ангажимент на равнище ЕС за всеобхватен подход към приобщаването на ромите. </w:t>
      </w:r>
      <w:r>
        <w:rPr>
          <w:rFonts w:ascii="Times New Roman" w:hAnsi="Times New Roman"/>
          <w:noProof/>
          <w:color w:val="262626"/>
        </w:rPr>
        <w:t xml:space="preserve">Основните изисквания включваха: </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ангажимент от всички държави членки</w:t>
      </w:r>
      <w:r>
        <w:rPr>
          <w:rFonts w:ascii="Times New Roman" w:hAnsi="Times New Roman"/>
          <w:noProof/>
        </w:rPr>
        <w:t xml:space="preserve"> за изготвяне на национални стратегии;</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съчетаване на подходи за социално приобщаване и подходи, основани на права,</w:t>
      </w:r>
      <w:r>
        <w:rPr>
          <w:rFonts w:ascii="Times New Roman" w:hAnsi="Times New Roman"/>
          <w:noProof/>
        </w:rPr>
        <w:t xml:space="preserve"> с борбата срещу дискриминацията като хоризонтално изискване във всички области на политиката;</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участие на регионални и местни органи, гражданското общество и ромите</w:t>
      </w:r>
      <w:r>
        <w:rPr>
          <w:rFonts w:ascii="Times New Roman" w:hAnsi="Times New Roman"/>
          <w:noProof/>
        </w:rPr>
        <w:t xml:space="preserve"> при разработването, изпълнението и наблюдението на НСИР;</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rPr>
        <w:t xml:space="preserve">подходящо и устойчиво </w:t>
      </w:r>
      <w:r>
        <w:rPr>
          <w:rFonts w:ascii="Times New Roman" w:hAnsi="Times New Roman"/>
          <w:noProof/>
          <w:color w:val="000000"/>
        </w:rPr>
        <w:t>финансиране (</w:t>
      </w:r>
      <w:r>
        <w:rPr>
          <w:rFonts w:ascii="Times New Roman" w:hAnsi="Times New Roman"/>
          <w:noProof/>
        </w:rPr>
        <w:t>националният</w:t>
      </w:r>
      <w:r>
        <w:rPr>
          <w:rFonts w:ascii="Times New Roman" w:hAnsi="Times New Roman"/>
          <w:noProof/>
          <w:color w:val="000000"/>
        </w:rPr>
        <w:t xml:space="preserve"> бюджет ще се допълва с финансови средства от ЕС);</w:t>
      </w:r>
    </w:p>
    <w:p>
      <w:pPr>
        <w:pStyle w:val="ListParagraph"/>
        <w:numPr>
          <w:ilvl w:val="0"/>
          <w:numId w:val="16"/>
        </w:numPr>
        <w:tabs>
          <w:tab w:val="left" w:pos="8931"/>
        </w:tabs>
        <w:spacing w:after="6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наблюдение</w:t>
      </w:r>
      <w:r>
        <w:rPr>
          <w:rFonts w:ascii="Times New Roman" w:hAnsi="Times New Roman"/>
          <w:noProof/>
        </w:rPr>
        <w:t xml:space="preserve"> на резултатите; и</w:t>
      </w:r>
    </w:p>
    <w:p>
      <w:pPr>
        <w:pStyle w:val="ListParagraph"/>
        <w:numPr>
          <w:ilvl w:val="0"/>
          <w:numId w:val="16"/>
        </w:numPr>
        <w:tabs>
          <w:tab w:val="left" w:pos="8931"/>
        </w:tabs>
        <w:spacing w:after="120"/>
        <w:ind w:left="425" w:right="45" w:hanging="425"/>
        <w:contextualSpacing w:val="0"/>
        <w:jc w:val="both"/>
        <w:rPr>
          <w:rFonts w:ascii="Times New Roman" w:eastAsia="Times New Roman" w:hAnsi="Times New Roman" w:cs="Times New Roman"/>
          <w:bCs/>
          <w:noProof/>
          <w:color w:val="000000"/>
        </w:rPr>
      </w:pPr>
      <w:r>
        <w:rPr>
          <w:rFonts w:ascii="Times New Roman" w:hAnsi="Times New Roman"/>
          <w:noProof/>
          <w:color w:val="000000"/>
        </w:rPr>
        <w:t>включване на</w:t>
      </w:r>
      <w:r>
        <w:rPr>
          <w:rFonts w:ascii="Times New Roman" w:hAnsi="Times New Roman"/>
          <w:noProof/>
        </w:rPr>
        <w:t xml:space="preserve"> целите за приобщаване на ромите в обществените политики.</w:t>
      </w:r>
    </w:p>
    <w:p>
      <w:pPr>
        <w:tabs>
          <w:tab w:val="left" w:pos="8931"/>
        </w:tabs>
        <w:spacing w:after="120"/>
        <w:ind w:right="45"/>
        <w:jc w:val="both"/>
        <w:rPr>
          <w:rFonts w:ascii="Times New Roman" w:eastAsia="Times New Roman" w:hAnsi="Times New Roman"/>
          <w:bCs/>
          <w:noProof/>
          <w:color w:val="000000"/>
        </w:rPr>
      </w:pPr>
      <w:r>
        <w:rPr>
          <w:rFonts w:ascii="Times New Roman" w:hAnsi="Times New Roman"/>
          <w:noProof/>
          <w:color w:val="000000"/>
        </w:rPr>
        <w:t>През 2013 г. рамката на ЕС за ромите беше укрепена с препоръка на Съвета относно ефективни мерки за интегриране на ромите</w:t>
      </w:r>
      <w:r>
        <w:rPr>
          <w:rStyle w:val="FootnoteReference"/>
          <w:rFonts w:ascii="Times New Roman" w:hAnsi="Times New Roman"/>
          <w:noProof/>
        </w:rPr>
        <w:footnoteReference w:id="5"/>
      </w:r>
      <w:r>
        <w:rPr>
          <w:noProof/>
        </w:rPr>
        <w:t>.</w:t>
      </w:r>
      <w:r>
        <w:rPr>
          <w:rFonts w:ascii="Times New Roman" w:hAnsi="Times New Roman"/>
          <w:noProof/>
          <w:color w:val="000000"/>
        </w:rPr>
        <w:t xml:space="preserve"> С препоръката беше засилен акцентът върху борбата с дискриминацията, а дейностите, насочени към ромите, бяха разширени така, че да обхващат нови хоризонтални и структурни области. С нея бе въведено и задължение за държавите членки да изготвят годишни доклади, считано от 2016 г., което да допринесе за разработването на европейска система за наблюдение. Със заключенията на Съвета от декември 2016 г. </w:t>
      </w:r>
      <w:hyperlink r:id="rId16">
        <w:r>
          <w:rPr>
            <w:rFonts w:ascii="Times New Roman" w:hAnsi="Times New Roman"/>
            <w:noProof/>
            <w:color w:val="000000"/>
          </w:rPr>
          <w:t>относно ускоряването на процеса на интегриране на ромите</w:t>
        </w:r>
      </w:hyperlink>
      <w:r>
        <w:rPr>
          <w:rStyle w:val="FootnoteReference"/>
          <w:rFonts w:ascii="Times New Roman" w:hAnsi="Times New Roman"/>
          <w:noProof/>
        </w:rPr>
        <w:footnoteReference w:id="6"/>
      </w:r>
      <w:r>
        <w:rPr>
          <w:rFonts w:ascii="Times New Roman" w:hAnsi="Times New Roman"/>
          <w:noProof/>
          <w:color w:val="000000"/>
        </w:rPr>
        <w:t xml:space="preserve"> беше потвърден ангажиментът на държавите членки и беше отправен призив за междинен преглед на рамката на ЕС. </w:t>
      </w:r>
    </w:p>
    <w:p>
      <w:pPr>
        <w:tabs>
          <w:tab w:val="left" w:pos="8931"/>
        </w:tabs>
        <w:spacing w:before="240" w:after="240"/>
        <w:ind w:left="567" w:right="45" w:hanging="567"/>
        <w:jc w:val="both"/>
        <w:rPr>
          <w:rFonts w:ascii="Times New Roman" w:hAnsi="Times New Roman" w:cs="Times New Roman"/>
          <w:b/>
          <w:bCs/>
          <w:smallCaps/>
          <w:noProof/>
        </w:rPr>
      </w:pPr>
      <w:r>
        <w:rPr>
          <w:rFonts w:ascii="Times New Roman" w:hAnsi="Times New Roman"/>
          <w:b/>
          <w:smallCaps/>
          <w:noProof/>
        </w:rPr>
        <w:t xml:space="preserve">2. </w:t>
      </w:r>
      <w:r>
        <w:rPr>
          <w:noProof/>
        </w:rPr>
        <w:tab/>
      </w:r>
      <w:r>
        <w:rPr>
          <w:rFonts w:ascii="Times New Roman" w:hAnsi="Times New Roman"/>
          <w:b/>
          <w:smallCaps/>
          <w:noProof/>
        </w:rPr>
        <w:t xml:space="preserve">Мобилизиране на европейски правни и финансови инструменти и инструменти на политиката </w:t>
      </w:r>
    </w:p>
    <w:p>
      <w:pPr>
        <w:tabs>
          <w:tab w:val="left" w:pos="8931"/>
        </w:tabs>
        <w:spacing w:after="120"/>
        <w:ind w:right="45"/>
        <w:jc w:val="both"/>
        <w:rPr>
          <w:rFonts w:ascii="Times New Roman" w:hAnsi="Times New Roman" w:cs="Times New Roman"/>
          <w:b/>
          <w:noProof/>
        </w:rPr>
      </w:pPr>
      <w:r>
        <w:rPr>
          <w:rFonts w:ascii="Times New Roman" w:hAnsi="Times New Roman"/>
          <w:noProof/>
        </w:rPr>
        <w:t>След въвеждането на рамката на ЕС бяха мобилизирани и съгласувани правни инструменти, инструменти на политиката и финансови инструменти за насърчаване на приобщаването на ромите. С основното законодателство на ЕС (Директивата за расовото равенство и Рамковото решение на Съвета за борба с расизма и ксенофобията)</w:t>
      </w:r>
      <w:r>
        <w:rPr>
          <w:rStyle w:val="FootnoteReference"/>
          <w:rFonts w:ascii="Times New Roman" w:hAnsi="Times New Roman"/>
          <w:noProof/>
        </w:rPr>
        <w:footnoteReference w:id="7"/>
      </w:r>
      <w:r>
        <w:rPr>
          <w:rFonts w:ascii="Times New Roman" w:hAnsi="Times New Roman"/>
          <w:noProof/>
        </w:rPr>
        <w:t xml:space="preserve"> се забраняват дискриминацията срещу ромите, „езикът на омразата“ и престъпленията от омраза. Европейският семестър насърчава реформи на основните политики, които допринасят за приобщаването на ромите. Европейските структурни и инвестиционни фондове (ЕСИФ) за периода 2014—2020 г. включват няколко нововъведения за обвързване на приоритетите на политиката с европейското финансиране. </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2.1 </w:t>
      </w:r>
      <w:r>
        <w:rPr>
          <w:noProof/>
        </w:rPr>
        <w:tab/>
      </w:r>
      <w:r>
        <w:rPr>
          <w:rFonts w:ascii="Times New Roman" w:hAnsi="Times New Roman"/>
          <w:b/>
          <w:noProof/>
        </w:rPr>
        <w:t xml:space="preserve">Борба с дискриминацията </w:t>
      </w:r>
    </w:p>
    <w:p>
      <w:pPr>
        <w:tabs>
          <w:tab w:val="left" w:pos="8931"/>
        </w:tabs>
        <w:spacing w:after="120"/>
        <w:ind w:right="45"/>
        <w:jc w:val="both"/>
        <w:rPr>
          <w:rFonts w:ascii="Times New Roman" w:hAnsi="Times New Roman"/>
          <w:noProof/>
        </w:rPr>
      </w:pPr>
      <w:r>
        <w:rPr>
          <w:rFonts w:ascii="Times New Roman" w:hAnsi="Times New Roman"/>
          <w:noProof/>
        </w:rPr>
        <w:t xml:space="preserve">След приемането на рамката на ЕС Комисията предприе серия от мерки за борба с дискриминацията срещу ромите. Тя засили наблюдението на изпълнението от страна на държавите членки на </w:t>
      </w:r>
      <w:r>
        <w:rPr>
          <w:rFonts w:ascii="Times New Roman" w:hAnsi="Times New Roman"/>
          <w:b/>
          <w:noProof/>
        </w:rPr>
        <w:t>законодателството относно</w:t>
      </w:r>
      <w:r>
        <w:rPr>
          <w:rFonts w:ascii="Times New Roman" w:hAnsi="Times New Roman"/>
          <w:b/>
          <w:noProof/>
          <w:color w:val="000000"/>
        </w:rPr>
        <w:t xml:space="preserve"> борбата с дискриминацията, расизма и ксенофобията</w:t>
      </w:r>
      <w:r>
        <w:rPr>
          <w:rFonts w:ascii="Times New Roman" w:hAnsi="Times New Roman"/>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Комисията </w:t>
      </w:r>
      <w:r>
        <w:rPr>
          <w:rFonts w:ascii="Times New Roman" w:hAnsi="Times New Roman"/>
          <w:noProof/>
          <w:color w:val="000000"/>
        </w:rPr>
        <w:t xml:space="preserve">непрекъснато </w:t>
      </w:r>
      <w:r>
        <w:rPr>
          <w:rFonts w:ascii="Times New Roman" w:hAnsi="Times New Roman"/>
          <w:noProof/>
        </w:rPr>
        <w:t>следи за спазване от страна на държавите членки на законодателството относно борбата с дискриминацията. Особено внимание се обръща на областта на образованието и жилищното настаняване. Бързо се разследват случаите на системна дискриминация срещу ромите въз основа на техния етнически произход. В ход са производства за установяване на нарушение във връзка с дискриминация срещу ромски деца в областта на образованието</w:t>
      </w:r>
      <w:r>
        <w:rPr>
          <w:rStyle w:val="FootnoteReference"/>
          <w:rFonts w:ascii="Times New Roman" w:hAnsi="Times New Roman"/>
          <w:noProof/>
        </w:rPr>
        <w:footnoteReference w:id="8"/>
      </w:r>
      <w:r>
        <w:rPr>
          <w:noProof/>
        </w:rPr>
        <w:t>.</w:t>
      </w:r>
      <w:r>
        <w:rPr>
          <w:rFonts w:ascii="Times New Roman" w:hAnsi="Times New Roman"/>
          <w:noProof/>
        </w:rPr>
        <w:t xml:space="preserve"> </w:t>
      </w:r>
      <w:r>
        <w:rPr>
          <w:rFonts w:ascii="Times New Roman" w:hAnsi="Times New Roman"/>
          <w:noProof/>
          <w:color w:val="000000"/>
        </w:rPr>
        <w:t xml:space="preserve">Комисията подчерта, че </w:t>
      </w:r>
      <w:r>
        <w:rPr>
          <w:rFonts w:ascii="Times New Roman" w:hAnsi="Times New Roman"/>
          <w:noProof/>
        </w:rPr>
        <w:t xml:space="preserve">включването на ромски деца в сегрегирани училища или в класове само с ромски деца с учебни програми, които не отговарят на изискванията, и несъразмерно големият брой поставени диагнози за леки умствени увреждания сред тези деца въз основа на тяхното неравностойно социално положение представляват нарушение на Директивата за расовото равенство. </w:t>
      </w:r>
    </w:p>
    <w:p>
      <w:pPr>
        <w:tabs>
          <w:tab w:val="left" w:pos="8931"/>
        </w:tabs>
        <w:spacing w:after="120"/>
        <w:ind w:right="45"/>
        <w:jc w:val="both"/>
        <w:rPr>
          <w:rFonts w:ascii="Times New Roman" w:hAnsi="Times New Roman"/>
          <w:noProof/>
        </w:rPr>
      </w:pPr>
      <w:r>
        <w:rPr>
          <w:rFonts w:ascii="Times New Roman" w:hAnsi="Times New Roman"/>
          <w:noProof/>
        </w:rPr>
        <w:t>Комисията също така следи за транспониране от страна на държавите членки на Рамковото решение на Съвета за борба с расизма и ксенофобията и тя се бори с всички расистки и ксенофобски стереотипи, „езика на омразата“ и престъпленията от омраза, включително когато са насочени към ромите. По тази рамка Комисията започна диалог с държавите членки, водещ към промени в законодателството</w:t>
      </w:r>
      <w:r>
        <w:rPr>
          <w:rFonts w:ascii="Times New Roman" w:hAnsi="Times New Roman"/>
          <w:noProof/>
          <w:color w:val="000000"/>
        </w:rPr>
        <w:t>, създаде група на високо равнище на ЕС за борба с расизма и ксенофобията, която да подпомага сътрудничеството между съответните участници, и постигна споразумение с основните социални мрежи за кодекс на поведение за противодействие на незаконните изказвания в интернет, подбуждащи към омраза.</w:t>
      </w:r>
    </w:p>
    <w:p>
      <w:pPr>
        <w:tabs>
          <w:tab w:val="left" w:pos="8931"/>
        </w:tabs>
        <w:spacing w:after="120"/>
        <w:ind w:right="45"/>
        <w:jc w:val="both"/>
        <w:rPr>
          <w:rFonts w:ascii="Times New Roman" w:hAnsi="Times New Roman" w:cs="Times New Roman"/>
          <w:noProof/>
          <w:color w:val="000000"/>
        </w:rPr>
      </w:pPr>
      <w:r>
        <w:rPr>
          <w:rFonts w:ascii="Times New Roman" w:hAnsi="Times New Roman"/>
          <w:noProof/>
          <w:color w:val="000000"/>
        </w:rPr>
        <w:t xml:space="preserve">Предприети са няколко важни мерки за признаване на </w:t>
      </w:r>
      <w:r>
        <w:rPr>
          <w:rFonts w:ascii="Times New Roman" w:hAnsi="Times New Roman"/>
          <w:b/>
          <w:noProof/>
          <w:color w:val="000000"/>
          <w:spacing w:val="-2"/>
        </w:rPr>
        <w:t>антиромските настроения</w:t>
      </w:r>
      <w:r>
        <w:rPr>
          <w:rFonts w:ascii="Times New Roman" w:hAnsi="Times New Roman"/>
          <w:noProof/>
          <w:color w:val="000000"/>
        </w:rPr>
        <w:t xml:space="preserve"> като специфична форма на расизъм срещу ромите и като една от първопричините за социалното изключване и дискриминация на ромите, както и за борба с това явление:</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в препоръката на Съвета от 2013 г. беше подчертана необходимостта от борба с антиромските настроения, а държавите членки бяха насърчени да приемат мерки за предотвратяване или компенсиране на неравностойното положение на ромите (утвърдително действие);</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с резолюция на Европейския парламент от 2015 г.</w:t>
      </w:r>
      <w:r>
        <w:rPr>
          <w:rStyle w:val="FootnoteReference"/>
          <w:rFonts w:ascii="Times New Roman" w:hAnsi="Times New Roman"/>
          <w:noProof/>
          <w:color w:val="000000"/>
        </w:rPr>
        <w:footnoteReference w:id="9"/>
      </w:r>
      <w:r>
        <w:rPr>
          <w:rFonts w:ascii="Times New Roman" w:hAnsi="Times New Roman"/>
          <w:noProof/>
          <w:color w:val="000000"/>
        </w:rPr>
        <w:t xml:space="preserve"> беше отправен призив към държавите членки да признаят официално Холокоста на ромите и да определят европейски ден в памет на ромите — жертви на Холокоста;</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антиромските настроения бяха допълнително разгледани на годишното заседание на Европейската платформа за приобщаване на ромите ;</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европейското ромско гражданско общество и гражданското общество, подкрепящо ромите, изготвиха референтен документ, посветен на антиромските настроения</w:t>
      </w:r>
      <w:r>
        <w:rPr>
          <w:rStyle w:val="FootnoteReference"/>
          <w:rFonts w:ascii="Times New Roman" w:hAnsi="Times New Roman"/>
          <w:noProof/>
          <w:color w:val="000000"/>
        </w:rPr>
        <w:footnoteReference w:id="10"/>
      </w:r>
      <w:r>
        <w:rPr>
          <w:rFonts w:ascii="Times New Roman" w:hAnsi="Times New Roman"/>
          <w:noProof/>
          <w:color w:val="000000"/>
        </w:rPr>
        <w:t xml:space="preserve">; </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заключенията на Съвета от 2016 г. обхванаха антиромските настроения, както и признаването на ромския геноцид и почитането на неговите жертви; и</w:t>
      </w:r>
    </w:p>
    <w:p>
      <w:pPr>
        <w:pStyle w:val="ListParagraph"/>
        <w:numPr>
          <w:ilvl w:val="0"/>
          <w:numId w:val="16"/>
        </w:numPr>
        <w:tabs>
          <w:tab w:val="left" w:pos="8931"/>
        </w:tabs>
        <w:spacing w:after="60"/>
        <w:ind w:left="425" w:right="45" w:hanging="425"/>
        <w:contextualSpacing w:val="0"/>
        <w:jc w:val="both"/>
        <w:rPr>
          <w:rFonts w:ascii="Times New Roman" w:hAnsi="Times New Roman" w:cs="Times New Roman"/>
          <w:noProof/>
          <w:color w:val="000000"/>
        </w:rPr>
      </w:pPr>
      <w:r>
        <w:rPr>
          <w:rFonts w:ascii="Times New Roman" w:hAnsi="Times New Roman"/>
          <w:noProof/>
          <w:color w:val="000000"/>
        </w:rPr>
        <w:t>горепосочената група на високо равнище за борба с расизма и ксенофобията има за цел,</w:t>
      </w:r>
      <w:r>
        <w:rPr>
          <w:rFonts w:ascii="Times New Roman" w:hAnsi="Times New Roman"/>
          <w:i/>
          <w:noProof/>
          <w:color w:val="000000"/>
        </w:rPr>
        <w:t xml:space="preserve"> наред с другото</w:t>
      </w:r>
      <w:r>
        <w:rPr>
          <w:rFonts w:ascii="Times New Roman" w:hAnsi="Times New Roman"/>
          <w:noProof/>
          <w:color w:val="000000"/>
        </w:rPr>
        <w:t>, да предотвратява и да противодейства на антиромските настроения.</w:t>
      </w:r>
    </w:p>
    <w:p>
      <w:pPr>
        <w:tabs>
          <w:tab w:val="left" w:pos="8931"/>
        </w:tabs>
        <w:spacing w:after="120"/>
        <w:ind w:right="45"/>
        <w:jc w:val="both"/>
        <w:rPr>
          <w:rFonts w:ascii="Times New Roman" w:hAnsi="Times New Roman"/>
          <w:noProof/>
        </w:rPr>
      </w:pPr>
      <w:r>
        <w:rPr>
          <w:rFonts w:ascii="Times New Roman" w:hAnsi="Times New Roman"/>
          <w:noProof/>
        </w:rPr>
        <w:t xml:space="preserve">Комисията работи също така за справяне с </w:t>
      </w:r>
      <w:r>
        <w:rPr>
          <w:rFonts w:ascii="Times New Roman" w:hAnsi="Times New Roman"/>
          <w:b/>
          <w:noProof/>
        </w:rPr>
        <w:t>множествената дискриминация</w:t>
      </w:r>
      <w:r>
        <w:rPr>
          <w:rFonts w:ascii="Times New Roman" w:hAnsi="Times New Roman"/>
          <w:noProof/>
        </w:rPr>
        <w:t xml:space="preserve"> срещу ромски деца и жени като групи, изложени на големи рискове от насилие, трафик на хора</w:t>
      </w:r>
      <w:r>
        <w:rPr>
          <w:rStyle w:val="FootnoteReference"/>
          <w:rFonts w:ascii="Times New Roman" w:hAnsi="Times New Roman"/>
          <w:noProof/>
          <w:color w:val="000000"/>
        </w:rPr>
        <w:footnoteReference w:id="11"/>
      </w:r>
      <w:r>
        <w:rPr>
          <w:rFonts w:ascii="Times New Roman" w:hAnsi="Times New Roman"/>
          <w:noProof/>
        </w:rPr>
        <w:t>, експлоатация, бракове на непълнолетни и принудителни бракове, и за гарантиране на тяхната по-добра защита. Насърчаването на овластяването на двете групи, а така също и на ромските младежи, беше в основата на горепосочените заключения на Съвета.</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2.2 </w:t>
      </w:r>
      <w:r>
        <w:rPr>
          <w:noProof/>
        </w:rPr>
        <w:tab/>
      </w:r>
      <w:r>
        <w:rPr>
          <w:rFonts w:ascii="Times New Roman" w:hAnsi="Times New Roman"/>
          <w:b/>
          <w:noProof/>
        </w:rPr>
        <w:t xml:space="preserve">Насърчаване на приобщаваща реформа чрез европейския семестър </w:t>
      </w:r>
    </w:p>
    <w:p>
      <w:pPr>
        <w:tabs>
          <w:tab w:val="left" w:pos="8931"/>
        </w:tabs>
        <w:spacing w:after="120"/>
        <w:ind w:right="45"/>
        <w:jc w:val="both"/>
        <w:rPr>
          <w:rFonts w:ascii="Times New Roman" w:hAnsi="Times New Roman" w:cs="Times New Roman"/>
          <w:noProof/>
        </w:rPr>
      </w:pPr>
      <w:r>
        <w:rPr>
          <w:rFonts w:ascii="Times New Roman" w:hAnsi="Times New Roman"/>
          <w:noProof/>
        </w:rPr>
        <w:t>Чрез цикъла на европейския семестър Комисията ръководи и наблюдава действията на държавите членки с цел приобщаването на ромите да залегне в по-голяма степен в общите политики. От 2012 г. насам петте най-засегнати държави членки (т.е. с най-големи ромски общности и с най-сериозни предизвикателства)</w:t>
      </w:r>
      <w:r>
        <w:rPr>
          <w:rStyle w:val="FootnoteReference"/>
          <w:rFonts w:ascii="Times New Roman" w:hAnsi="Times New Roman"/>
          <w:noProof/>
        </w:rPr>
        <w:footnoteReference w:id="12"/>
      </w:r>
      <w:r>
        <w:rPr>
          <w:rFonts w:ascii="Times New Roman" w:hAnsi="Times New Roman"/>
          <w:noProof/>
        </w:rPr>
        <w:t xml:space="preserve"> получават специфични за всяка държава препоръки относно приобщаването на ромите. </w:t>
      </w:r>
      <w:r>
        <w:rPr>
          <w:rFonts w:ascii="Times New Roman" w:hAnsi="Times New Roman"/>
          <w:noProof/>
          <w:color w:val="000000"/>
        </w:rPr>
        <w:t>В тях все повече се акцентираше върху образованието, като се призоваваше за системни мерки за насърчаване на участието на ромските деца в качествено и приобщаващо общо образование.</w:t>
      </w:r>
      <w:r>
        <w:rPr>
          <w:rFonts w:ascii="Times New Roman" w:hAnsi="Times New Roman"/>
          <w:noProof/>
        </w:rPr>
        <w:t xml:space="preserve"> Специфичните за всяка държава препоръки послужиха като основа за приоритетите за финансиране през програмния период 2014—2020 г.</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2.3 </w:t>
      </w:r>
      <w:r>
        <w:rPr>
          <w:noProof/>
        </w:rPr>
        <w:tab/>
      </w:r>
      <w:r>
        <w:rPr>
          <w:rFonts w:ascii="Times New Roman" w:hAnsi="Times New Roman"/>
          <w:b/>
          <w:noProof/>
        </w:rPr>
        <w:t>Мобилизиране на финансиране от ЕС</w:t>
      </w:r>
    </w:p>
    <w:p>
      <w:pPr>
        <w:tabs>
          <w:tab w:val="left" w:pos="8931"/>
        </w:tabs>
        <w:spacing w:after="120"/>
        <w:ind w:right="45"/>
        <w:jc w:val="both"/>
        <w:rPr>
          <w:rFonts w:ascii="Times New Roman" w:eastAsia="Calibri" w:hAnsi="Times New Roman" w:cs="Times New Roman"/>
          <w:noProof/>
        </w:rPr>
      </w:pPr>
      <w:r>
        <w:rPr>
          <w:rFonts w:ascii="Times New Roman" w:hAnsi="Times New Roman"/>
          <w:noProof/>
        </w:rPr>
        <w:t xml:space="preserve">В рамката на ЕС държавите членки бяха призовани да се възползват пълноценно от фондовете на ЕС за приобщаване на ромите. През периода </w:t>
      </w:r>
      <w:r>
        <w:rPr>
          <w:rFonts w:ascii="Times New Roman" w:hAnsi="Times New Roman"/>
          <w:b/>
          <w:noProof/>
        </w:rPr>
        <w:t>2007—2013 г.</w:t>
      </w:r>
      <w:r>
        <w:rPr>
          <w:rFonts w:ascii="Times New Roman" w:hAnsi="Times New Roman"/>
          <w:noProof/>
        </w:rPr>
        <w:t xml:space="preserve"> при фондовете беше приложен </w:t>
      </w:r>
      <w:r>
        <w:rPr>
          <w:rFonts w:ascii="Times New Roman" w:hAnsi="Times New Roman"/>
          <w:b/>
          <w:noProof/>
        </w:rPr>
        <w:t>интеграционен подход</w:t>
      </w:r>
      <w:r>
        <w:rPr>
          <w:rFonts w:ascii="Times New Roman" w:hAnsi="Times New Roman"/>
          <w:noProof/>
        </w:rPr>
        <w:t xml:space="preserve"> към групите/регионите в неравностойно положение, без те да бъдат конкретно насочвани към ромите, поради което не може да се определи точният размер на финансирането за приобщаване на ромите. Групите в неравностойно положение могат да получат финансиране от Европейския социален фонд (ЕСФ) основно в областта на социалното приобщаване, но така също и в областта на трудовата заетост и образованието. Сумата, разпределена за интегриране на хората в неравностойно положение (включително ромите) на пазара на труда, възлизаше приблизително на 10 милиарда евро. Сумата, разпределена по Европейския фонд за регионално развитие (ЕФРР) за социална инфраструктура (от която се ползват и ромите), възлизаше приблизително на 17 милиарда евро. Регламентът относно ЕФРР беше изменен през 2010 г. и през 2011 г. Комисията публикува насоки в подкрепа на интегрираните мерки в сектора на жилищното настаняване за ромските общности. Политиката за развитие на селските райони подпомогна приобщаването на маргинализирани малцинства, включително ромите.</w:t>
      </w:r>
      <w:r>
        <w:rPr>
          <w:rStyle w:val="FootnoteReference"/>
          <w:rFonts w:ascii="Times New Roman" w:hAnsi="Times New Roman"/>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noProof/>
        </w:rPr>
        <w:t>Рамката на ЕС и европейският семестър гарантираха наличието на</w:t>
      </w:r>
      <w:r>
        <w:rPr>
          <w:rFonts w:ascii="Times New Roman" w:hAnsi="Times New Roman"/>
          <w:b/>
          <w:noProof/>
        </w:rPr>
        <w:t xml:space="preserve"> тясна връзка между приоритетите на политиката и приоритетите за финансиране</w:t>
      </w:r>
      <w:r>
        <w:rPr>
          <w:rFonts w:ascii="Times New Roman" w:hAnsi="Times New Roman"/>
          <w:noProof/>
        </w:rPr>
        <w:t xml:space="preserve"> за </w:t>
      </w:r>
      <w:r>
        <w:rPr>
          <w:rFonts w:ascii="Times New Roman" w:hAnsi="Times New Roman"/>
          <w:b/>
          <w:noProof/>
        </w:rPr>
        <w:t>периода на програмиране 2014—2020 г.</w:t>
      </w:r>
      <w:r>
        <w:rPr>
          <w:rFonts w:ascii="Times New Roman" w:hAnsi="Times New Roman"/>
          <w:noProof/>
        </w:rPr>
        <w:t xml:space="preserve"> Връзката между изпълнението на специфичните за всяка държава препоръки и ЕСИФ гарантира, че реформите на общата политика са в полза на целите за приобщаване. Например Комисията поиска от държавите членки, които са получили специфични за тяхната държава препоръки, с които се призовава за засилено участие на ромите в образованието, да изберат инвестиционния приоритет „социално-икономическа интеграция на маргинализираните общности, като ромите“ и да включат приобщаването на ромите в други съответни приоритети (най-вече „борба с преждевременното напускане на училище и насърчаване на равен достъп до качествено предучилищно, основно и средно образование“). Приобщаващо образование не може да се постигне само чрез целенасочени действия, но се изискват и реформи на общото образование. По програмите за развитие</w:t>
      </w:r>
      <w:r>
        <w:rPr>
          <w:noProof/>
        </w:rPr>
        <w:t xml:space="preserve"> </w:t>
      </w:r>
      <w:r>
        <w:rPr>
          <w:rFonts w:ascii="Times New Roman" w:hAnsi="Times New Roman"/>
          <w:noProof/>
        </w:rPr>
        <w:t>на селските общности</w:t>
      </w:r>
      <w:r>
        <w:rPr>
          <w:rFonts w:ascii="Times New Roman" w:hAnsi="Times New Roman"/>
          <w:noProof/>
          <w:color w:val="000000" w:themeColor="text1"/>
        </w:rPr>
        <w:t xml:space="preserve"> на най-засегнатите държави за периода 2014—2020 г. се предоставя подкрепа по приоритет 6 „насърчаване на социалното приобщаване, намаляване на бедността и икономическо развитие в селските райони“. Тя включва мерки, насочени към специфичните потребности на маргинализираните групи, в това число ромите, но и други групи</w:t>
      </w:r>
      <w:r>
        <w:rPr>
          <w:rStyle w:val="FootnoteReference"/>
          <w:rFonts w:ascii="Times New Roman" w:hAnsi="Times New Roman"/>
          <w:noProof/>
          <w:color w:val="000000" w:themeColor="text1"/>
        </w:rPr>
        <w:footnoteReference w:id="13"/>
      </w:r>
      <w:r>
        <w:rPr>
          <w:noProof/>
        </w:rPr>
        <w:t>.</w:t>
      </w:r>
      <w:r>
        <w:rPr>
          <w:rFonts w:ascii="Times New Roman" w:hAnsi="Times New Roman"/>
          <w:noProof/>
          <w:color w:val="000000" w:themeColor="text1"/>
        </w:rPr>
        <w:t xml:space="preserve"> </w:t>
      </w:r>
      <w:r>
        <w:rPr>
          <w:rFonts w:ascii="Times New Roman" w:hAnsi="Times New Roman"/>
          <w:noProof/>
        </w:rPr>
        <w:t>Комисията насърчи също така включването на националните звена за контакт по въпросите на ромите при планирането на фондовете на ЕС, включително и като членове на комитетите за наблюдение.</w:t>
      </w:r>
    </w:p>
    <w:p>
      <w:pPr>
        <w:tabs>
          <w:tab w:val="left" w:pos="8931"/>
        </w:tabs>
        <w:spacing w:after="120"/>
        <w:ind w:right="45"/>
        <w:jc w:val="both"/>
        <w:rPr>
          <w:rFonts w:ascii="Times New Roman" w:eastAsia="Calibri" w:hAnsi="Times New Roman" w:cs="Times New Roman"/>
          <w:noProof/>
        </w:rPr>
      </w:pPr>
      <w:r>
        <w:rPr>
          <w:rFonts w:ascii="Times New Roman" w:hAnsi="Times New Roman"/>
          <w:noProof/>
        </w:rPr>
        <w:t>За периода 2014—2020 г. бяха въведени няколко нови инструмента (в допълнение към инвестиционния приоритет „социално</w:t>
      </w:r>
      <w:r>
        <w:rPr>
          <w:noProof/>
        </w:rPr>
        <w:noBreakHyphen/>
      </w:r>
      <w:r>
        <w:rPr>
          <w:rFonts w:ascii="Times New Roman" w:hAnsi="Times New Roman"/>
          <w:noProof/>
        </w:rPr>
        <w:t xml:space="preserve">икономическа интеграция на маргинализирани общности“) с цел подобряване на ефективността на ЕСИФ по отношение на социалното приобщаване, включително и това на ромите: </w:t>
      </w:r>
    </w:p>
    <w:p>
      <w:pPr>
        <w:keepNext/>
        <w:numPr>
          <w:ilvl w:val="0"/>
          <w:numId w:val="23"/>
        </w:numPr>
        <w:tabs>
          <w:tab w:val="left" w:pos="8931"/>
        </w:tabs>
        <w:spacing w:after="200"/>
        <w:ind w:left="426" w:right="43" w:hanging="426"/>
        <w:contextualSpacing/>
        <w:jc w:val="both"/>
        <w:rPr>
          <w:rFonts w:ascii="Times New Roman" w:eastAsia="Calibri" w:hAnsi="Times New Roman" w:cs="Times New Roman"/>
          <w:noProof/>
        </w:rPr>
      </w:pPr>
      <w:r>
        <w:rPr>
          <w:rFonts w:ascii="Times New Roman" w:hAnsi="Times New Roman"/>
          <w:noProof/>
        </w:rPr>
        <w:t xml:space="preserve">нов набор от изисквания за гарантиране, че държавите членки, които разпределят средства от ЕС за приобщаване на ромите, имат национални стратегически рамки на политиката за приобщаване на ромите и отговарят на предварителните условия за тяхното ефективно изпълнение; </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hAnsi="Times New Roman"/>
          <w:noProof/>
        </w:rPr>
        <w:t xml:space="preserve">принцип за по-стабилно партньорство (като част от европейски кодекс за поведение), който да насочва сътрудничеството с гражданското общество, местните органи и социалните партньори при планирането, изпълнението и наблюдението на финансираните от ЕС мерки; </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hAnsi="Times New Roman"/>
          <w:noProof/>
        </w:rPr>
        <w:t>повече целево финансиране за изграждането на капацитет за организациите на гражданското общество;</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hAnsi="Times New Roman"/>
          <w:noProof/>
        </w:rPr>
        <w:t>задължителни минимални проценти на разпределените средства за инвестиции в социално приобщаване;</w:t>
      </w:r>
    </w:p>
    <w:p>
      <w:pPr>
        <w:numPr>
          <w:ilvl w:val="0"/>
          <w:numId w:val="23"/>
        </w:numPr>
        <w:tabs>
          <w:tab w:val="left" w:pos="8931"/>
        </w:tabs>
        <w:spacing w:after="60"/>
        <w:ind w:left="425" w:right="45" w:hanging="426"/>
        <w:jc w:val="both"/>
        <w:rPr>
          <w:rFonts w:ascii="Times New Roman" w:eastAsia="Calibri" w:hAnsi="Times New Roman" w:cs="Times New Roman"/>
          <w:noProof/>
        </w:rPr>
      </w:pPr>
      <w:r>
        <w:rPr>
          <w:rFonts w:ascii="Times New Roman" w:hAnsi="Times New Roman"/>
          <w:noProof/>
        </w:rPr>
        <w:t>подкрепа за материалното, икономическото и социалното възстановяване на нуждаещите се общности, което може да включва засилени интегрирани мерки в сектора на жилищното настаняване;</w:t>
      </w:r>
    </w:p>
    <w:p>
      <w:pPr>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hAnsi="Times New Roman"/>
          <w:noProof/>
        </w:rPr>
        <w:t>териториални и интегрирани подходи, насочени към специфичните потребности на географските райони, които са най-засегнати от бедността, и на целевите групи, които са изложени на най-голям риск от социално изключване, като прилагането на тези подходи се улеснява от подхода на използване на множество фондове;</w:t>
      </w:r>
    </w:p>
    <w:p>
      <w:pPr>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hAnsi="Times New Roman"/>
          <w:noProof/>
        </w:rPr>
        <w:t>подобрени, ориентирани към резултатите механизми за наблюдение (общи показатели, насочени към крайните продукти и резултати) и докладване относно инвестиционния приоритет, свързан с ромите; и</w:t>
      </w:r>
    </w:p>
    <w:p>
      <w:pPr>
        <w:numPr>
          <w:ilvl w:val="0"/>
          <w:numId w:val="23"/>
        </w:numPr>
        <w:tabs>
          <w:tab w:val="left" w:pos="8931"/>
        </w:tabs>
        <w:spacing w:after="120"/>
        <w:ind w:left="425" w:right="45" w:hanging="425"/>
        <w:jc w:val="both"/>
        <w:rPr>
          <w:rFonts w:ascii="Times New Roman" w:eastAsia="Calibri" w:hAnsi="Times New Roman" w:cs="Times New Roman"/>
          <w:noProof/>
        </w:rPr>
      </w:pPr>
      <w:r>
        <w:rPr>
          <w:rFonts w:ascii="Times New Roman" w:hAnsi="Times New Roman"/>
          <w:noProof/>
        </w:rPr>
        <w:t>насоки за държавите членки относно използването на фондовете на ЕС за борба със сегрегацията.</w:t>
      </w:r>
    </w:p>
    <w:p>
      <w:pPr>
        <w:tabs>
          <w:tab w:val="left" w:pos="8931"/>
        </w:tabs>
        <w:spacing w:after="120"/>
        <w:ind w:right="45"/>
        <w:jc w:val="both"/>
        <w:rPr>
          <w:rFonts w:ascii="Times New Roman" w:eastAsia="Calibri" w:hAnsi="Times New Roman" w:cs="Times New Roman"/>
          <w:noProof/>
        </w:rPr>
      </w:pPr>
      <w:r>
        <w:rPr>
          <w:rFonts w:ascii="Times New Roman" w:hAnsi="Times New Roman"/>
          <w:noProof/>
        </w:rPr>
        <w:t>През юни 2016 г. Европейската сметна палата публикува резултатите от своя одит на инициативите на политиката и финансовата подкрепа на ЕС за приобщаване на ромите, като тя стигна до заключението, че значителният напредък при определянето на инициативи на политиката на ЕС, насърчаващи приобщаването на ромите, е довел до ясни подобрения за периода 2014—2020 г. Сметната палата призова за допълнителни усилия, за да се гарантира, че новите инструменти ще подобрят реалните резултати. Тя също така отправи конкретни препоръки относно използването на ЕСИФ, събирането на данни и наблюдението</w:t>
      </w:r>
      <w:r>
        <w:rPr>
          <w:rStyle w:val="FootnoteReference"/>
          <w:rFonts w:ascii="Times New Roman" w:hAnsi="Times New Roman"/>
          <w:noProof/>
        </w:rPr>
        <w:footnoteReference w:id="14"/>
      </w:r>
      <w:r>
        <w:rPr>
          <w:noProof/>
        </w:rPr>
        <w:t>.</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Комисията мобилизира </w:t>
      </w:r>
      <w:r>
        <w:rPr>
          <w:rFonts w:ascii="Times New Roman" w:hAnsi="Times New Roman"/>
          <w:b/>
          <w:noProof/>
        </w:rPr>
        <w:t>пряко управлявани финансови средства от ЕС</w:t>
      </w:r>
      <w:r>
        <w:rPr>
          <w:rFonts w:ascii="Times New Roman" w:hAnsi="Times New Roman"/>
          <w:noProof/>
        </w:rPr>
        <w:t>, за да финансира проекти в подкрепа на приобщаването на ромите и за борба с дискриминацията в цяла Европа:</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hAnsi="Times New Roman"/>
          <w:noProof/>
        </w:rPr>
        <w:t>по програмата „Права, равенство и гражданство“ се финансират местни, национални и международни проекти за приобщаване на ромите и за борба с дискриминацията;</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hAnsi="Times New Roman"/>
          <w:noProof/>
        </w:rPr>
        <w:t xml:space="preserve">програмата „Европа за гражданите“ подкрепя проекти за възпоменание на жертвите на Холокоста на ромите; </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hAnsi="Times New Roman"/>
          <w:noProof/>
        </w:rPr>
        <w:t>по Програмата за заетост и социални иновации („EaSI“) се насърчават иновации на социалната политика, насочени към приобщаване на ромите;</w:t>
      </w:r>
    </w:p>
    <w:p>
      <w:pPr>
        <w:numPr>
          <w:ilvl w:val="0"/>
          <w:numId w:val="23"/>
        </w:numPr>
        <w:tabs>
          <w:tab w:val="left" w:pos="8931"/>
        </w:tabs>
        <w:spacing w:after="60"/>
        <w:ind w:left="425" w:right="43" w:hanging="426"/>
        <w:jc w:val="both"/>
        <w:rPr>
          <w:rFonts w:ascii="Times New Roman" w:eastAsia="Calibri" w:hAnsi="Times New Roman" w:cs="Times New Roman"/>
          <w:noProof/>
        </w:rPr>
      </w:pPr>
      <w:r>
        <w:rPr>
          <w:rFonts w:ascii="Times New Roman" w:hAnsi="Times New Roman"/>
          <w:noProof/>
        </w:rPr>
        <w:t>програмата „Еразъм+“ помага за разработването на мерки за учене през целия живот, насочени към приобщаването на ромите;</w:t>
      </w:r>
    </w:p>
    <w:p>
      <w:pPr>
        <w:widowControl w:val="0"/>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hAnsi="Times New Roman"/>
          <w:noProof/>
        </w:rPr>
        <w:t>Програмата за обществено здравеопазване подпомага инициативи за насърчаване на равния достъп до здравеопазване; и</w:t>
      </w:r>
    </w:p>
    <w:p>
      <w:pPr>
        <w:widowControl w:val="0"/>
        <w:numPr>
          <w:ilvl w:val="0"/>
          <w:numId w:val="23"/>
        </w:numPr>
        <w:tabs>
          <w:tab w:val="left" w:pos="8931"/>
        </w:tabs>
        <w:spacing w:after="60"/>
        <w:ind w:left="425" w:right="45" w:hanging="425"/>
        <w:jc w:val="both"/>
        <w:rPr>
          <w:rFonts w:ascii="Times New Roman" w:eastAsia="Calibri" w:hAnsi="Times New Roman" w:cs="Times New Roman"/>
          <w:noProof/>
        </w:rPr>
      </w:pPr>
      <w:r>
        <w:rPr>
          <w:rFonts w:ascii="Times New Roman" w:hAnsi="Times New Roman"/>
          <w:noProof/>
        </w:rPr>
        <w:t>програмата за научни изследвания и иновации „Хоризонт 2020“ и Седмата рамкова програма за научни изследвания финансират изследвания в областта на социалното приобщаване и образованието, а така също и изследователски проекти в областта на мобилността на ромите към Западна Европа и въздействието на политиките в областта на образованието върху ромите.</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2.4 </w:t>
      </w:r>
      <w:r>
        <w:rPr>
          <w:noProof/>
        </w:rPr>
        <w:tab/>
      </w:r>
      <w:r>
        <w:rPr>
          <w:rFonts w:ascii="Times New Roman" w:hAnsi="Times New Roman"/>
          <w:b/>
          <w:noProof/>
        </w:rPr>
        <w:t xml:space="preserve">Европейски инициативи в рамките на общите политики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Европейските инициативи в областта на общите политики — образование, заетост, социални дейности и здравеопазване, могат да допринесат за насърчаване на приобщаването на ромите.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В Препоръката на Съвета от 2011 г. относно </w:t>
      </w:r>
      <w:r>
        <w:rPr>
          <w:rFonts w:ascii="Times New Roman" w:hAnsi="Times New Roman"/>
          <w:b/>
          <w:noProof/>
        </w:rPr>
        <w:t>политиките за намаляване на преждевременното напускане на училище</w:t>
      </w:r>
      <w:r>
        <w:rPr>
          <w:rStyle w:val="FootnoteReference"/>
          <w:rFonts w:ascii="Times New Roman" w:hAnsi="Times New Roman"/>
          <w:noProof/>
        </w:rPr>
        <w:footnoteReference w:id="15"/>
      </w:r>
      <w:r>
        <w:rPr>
          <w:rFonts w:ascii="Times New Roman" w:hAnsi="Times New Roman"/>
          <w:noProof/>
        </w:rPr>
        <w:t xml:space="preserve"> се препоръчва включването на целенасочени мерки за най-уязвимите групи, включително ромите. В отговор на Парижката декларация</w:t>
      </w:r>
      <w:r>
        <w:rPr>
          <w:rStyle w:val="FootnoteReference"/>
          <w:rFonts w:ascii="Times New Roman" w:hAnsi="Times New Roman"/>
          <w:noProof/>
        </w:rPr>
        <w:footnoteReference w:id="16"/>
      </w:r>
      <w:r>
        <w:rPr>
          <w:rFonts w:ascii="Times New Roman" w:hAnsi="Times New Roman"/>
          <w:noProof/>
        </w:rPr>
        <w:t xml:space="preserve"> Комисията засили своята подкрепа за </w:t>
      </w:r>
      <w:r>
        <w:rPr>
          <w:rFonts w:ascii="Times New Roman" w:hAnsi="Times New Roman"/>
          <w:b/>
          <w:noProof/>
        </w:rPr>
        <w:t>приобщаващо образование</w:t>
      </w:r>
      <w:r>
        <w:rPr>
          <w:rFonts w:ascii="Times New Roman" w:hAnsi="Times New Roman"/>
          <w:noProof/>
        </w:rPr>
        <w:t>. Един от приоритетите е насърчаване на образованието на децата и младежите в неравностойно положение, включително ромите, посредством системи на образование и обучение, които са съобразени с техните потребности.</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Инициативата </w:t>
      </w:r>
      <w:r>
        <w:rPr>
          <w:rFonts w:ascii="Times New Roman" w:hAnsi="Times New Roman"/>
          <w:b/>
          <w:noProof/>
        </w:rPr>
        <w:t xml:space="preserve">„Гаранция за младежта“ </w:t>
      </w:r>
      <w:r>
        <w:rPr>
          <w:rFonts w:ascii="Times New Roman" w:hAnsi="Times New Roman"/>
          <w:noProof/>
        </w:rPr>
        <w:t xml:space="preserve">и инициативите за младежка заетост от 2013 г. са от особено значение за ромите. Те изиграха важна роля, като допринесоха за това много млади хора отново да започнат работа или образование, но Комисията призна, че трябва да се положат повече усилия в подкрепа на младежите, които трудно могат да бъдат обхванати, като например ромите. Основните категории на </w:t>
      </w:r>
      <w:r>
        <w:rPr>
          <w:rFonts w:ascii="Times New Roman" w:hAnsi="Times New Roman"/>
          <w:b/>
          <w:noProof/>
        </w:rPr>
        <w:t>европейския стълб на социалните права</w:t>
      </w:r>
      <w:r>
        <w:rPr>
          <w:rFonts w:ascii="Times New Roman" w:hAnsi="Times New Roman"/>
          <w:noProof/>
        </w:rPr>
        <w:t xml:space="preserve"> включват равни възможности и достъп до пазара на труда, справедливи условия на труд и социална закрила и приобщаване.</w:t>
      </w:r>
    </w:p>
    <w:p>
      <w:pPr>
        <w:tabs>
          <w:tab w:val="left" w:pos="8931"/>
        </w:tabs>
        <w:spacing w:after="120"/>
        <w:ind w:right="45"/>
        <w:jc w:val="both"/>
        <w:rPr>
          <w:rFonts w:ascii="Times New Roman" w:hAnsi="Times New Roman" w:cs="Times New Roman"/>
          <w:b/>
          <w:noProof/>
        </w:rPr>
      </w:pPr>
      <w:r>
        <w:rPr>
          <w:rFonts w:ascii="Times New Roman" w:hAnsi="Times New Roman"/>
          <w:noProof/>
        </w:rPr>
        <w:t xml:space="preserve">Инициативите на Комисията, насочени към </w:t>
      </w:r>
      <w:r>
        <w:rPr>
          <w:rFonts w:ascii="Times New Roman" w:hAnsi="Times New Roman"/>
          <w:b/>
          <w:noProof/>
        </w:rPr>
        <w:t xml:space="preserve">здравето </w:t>
      </w:r>
      <w:r>
        <w:rPr>
          <w:rFonts w:ascii="Times New Roman" w:hAnsi="Times New Roman"/>
          <w:noProof/>
        </w:rPr>
        <w:t>на ромите, се осъществяват в рамките на редица общи и специфични политики. Докладът относно здравето на ромите, изготвен през 2014 г., представлява важен принос за подобряване на наличните знания и механизми за наблюдение и докладване относно здравословното състояние на ромите, като акцентът е върху държавите с голямо ромско население.</w:t>
      </w:r>
      <w:r>
        <w:rPr>
          <w:rStyle w:val="FootnoteReference"/>
          <w:rFonts w:ascii="Times New Roman" w:hAnsi="Times New Roman"/>
          <w:noProof/>
        </w:rPr>
        <w:t xml:space="preserve"> </w:t>
      </w:r>
      <w:r>
        <w:rPr>
          <w:rStyle w:val="FootnoteReference"/>
          <w:rFonts w:ascii="Times New Roman" w:hAnsi="Times New Roman"/>
          <w:noProof/>
        </w:rPr>
        <w:footnoteReference w:id="17"/>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2.5 </w:t>
      </w:r>
      <w:r>
        <w:rPr>
          <w:noProof/>
        </w:rPr>
        <w:tab/>
      </w:r>
      <w:r>
        <w:rPr>
          <w:rFonts w:ascii="Times New Roman" w:hAnsi="Times New Roman"/>
          <w:b/>
          <w:noProof/>
        </w:rPr>
        <w:t>Участие на всички заинтересовани страни на европейско равнище</w:t>
      </w:r>
    </w:p>
    <w:p>
      <w:pPr>
        <w:tabs>
          <w:tab w:val="left" w:pos="8931"/>
        </w:tabs>
        <w:spacing w:after="120"/>
        <w:ind w:right="45"/>
        <w:jc w:val="both"/>
        <w:rPr>
          <w:rFonts w:ascii="Times New Roman" w:eastAsiaTheme="minorHAnsi" w:hAnsi="Times New Roman" w:cs="Times New Roman"/>
          <w:noProof/>
        </w:rPr>
      </w:pPr>
      <w:r>
        <w:rPr>
          <w:rFonts w:ascii="Times New Roman" w:eastAsiaTheme="minorHAnsi" w:hAnsi="Times New Roman"/>
          <w:noProof/>
        </w:rPr>
        <w:t xml:space="preserve">С цел да се преодолее изключването на ромите, всички съответни заинтересовани страни трябва да обединят усилия, като изпълняват своите задължения в рамките на своите мандати, умения и способности. </w:t>
      </w:r>
      <w:r>
        <w:rPr>
          <w:rFonts w:ascii="Times New Roman" w:hAnsi="Times New Roman"/>
          <w:noProof/>
          <w:color w:val="000000"/>
        </w:rPr>
        <w:t>С оглед на насърчаването на взаимното учене, диалога и сътрудничеството, Комисията улесни и подпомогна финансово диалога между заинтересованите страни чрез европейската платформа за приобщаване на ромите, чрез мрежата на националните звена за контакт по въпросите на ромите и чрез редовни срещи за консултация с представителни ромски и проромски НПО от ЕС и с международни организации. През годините бяха засилени подходът, основан на участието, и сътрудничеството с международни организации.</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2.6 </w:t>
      </w:r>
      <w:r>
        <w:rPr>
          <w:noProof/>
        </w:rPr>
        <w:tab/>
      </w:r>
      <w:r>
        <w:rPr>
          <w:rFonts w:ascii="Times New Roman" w:hAnsi="Times New Roman"/>
          <w:b/>
          <w:noProof/>
        </w:rPr>
        <w:t>Насърчаване на повишаването на осведомеността, участието на ромите и изграждането на капацитет за гражданското общество и местните органи</w:t>
      </w:r>
    </w:p>
    <w:p>
      <w:pPr>
        <w:tabs>
          <w:tab w:val="left" w:pos="8931"/>
        </w:tabs>
        <w:spacing w:after="120"/>
        <w:ind w:right="45"/>
        <w:jc w:val="both"/>
        <w:rPr>
          <w:noProof/>
        </w:rPr>
      </w:pPr>
      <w:r>
        <w:rPr>
          <w:rFonts w:ascii="Times New Roman" w:hAnsi="Times New Roman"/>
          <w:noProof/>
        </w:rPr>
        <w:t xml:space="preserve">Комисията засили усилията си за повишаване на осведомеността, насърчаване на участието на ромите и разширяване на техните права, а така също и за изграждането на капацитет за гражданското общество и местните органи. Нейната кампания </w:t>
      </w:r>
      <w:r>
        <w:rPr>
          <w:rFonts w:ascii="Times New Roman" w:hAnsi="Times New Roman"/>
          <w:b/>
          <w:noProof/>
        </w:rPr>
        <w:t>„За ромите, с ромите“</w:t>
      </w:r>
      <w:r>
        <w:rPr>
          <w:rFonts w:ascii="Times New Roman" w:hAnsi="Times New Roman"/>
          <w:noProof/>
        </w:rPr>
        <w:t xml:space="preserve"> подпомогна осъществяването на целенасочени комуникационни дейности за борба с предразсъдъците и дискриминацията срещу местното ромско население.</w:t>
      </w:r>
    </w:p>
    <w:p>
      <w:pPr>
        <w:spacing w:after="120"/>
        <w:ind w:right="43"/>
        <w:jc w:val="both"/>
        <w:rPr>
          <w:rFonts w:ascii="Times New Roman" w:eastAsia="Times New Roman" w:hAnsi="Times New Roman" w:cs="Times New Roman"/>
          <w:noProof/>
        </w:rPr>
      </w:pPr>
      <w:r>
        <w:rPr>
          <w:rFonts w:ascii="Times New Roman" w:hAnsi="Times New Roman"/>
          <w:noProof/>
        </w:rPr>
        <w:t xml:space="preserve">Комисията стартира </w:t>
      </w:r>
      <w:r>
        <w:rPr>
          <w:rFonts w:ascii="Times New Roman" w:hAnsi="Times New Roman"/>
          <w:b/>
          <w:noProof/>
        </w:rPr>
        <w:t>съвместни програми със Съвета на Европа</w:t>
      </w:r>
      <w:r>
        <w:rPr>
          <w:rFonts w:ascii="Times New Roman" w:hAnsi="Times New Roman"/>
          <w:noProof/>
        </w:rPr>
        <w:t>:</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hAnsi="Times New Roman"/>
          <w:noProof/>
        </w:rPr>
        <w:t>програмата „JUSTROM“ предоставя на жените от ромски произход и на жените от пътуващите общности по-голям достъп до правосъдие;</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hAnsi="Times New Roman"/>
          <w:noProof/>
        </w:rPr>
        <w:t>програмата „ROMED“ осигурява обучение за междукултурни медиатори с цел насърчаване на приобщаването;</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hAnsi="Times New Roman"/>
          <w:noProof/>
        </w:rPr>
        <w:t>програмата „ROMACT“ изгражда капацитета на местните органи за разработване и изпълнение на мерки за приобщаване;</w:t>
      </w:r>
    </w:p>
    <w:p>
      <w:pPr>
        <w:pStyle w:val="ListParagraph"/>
        <w:numPr>
          <w:ilvl w:val="0"/>
          <w:numId w:val="30"/>
        </w:numPr>
        <w:spacing w:after="60"/>
        <w:ind w:left="425" w:right="45" w:hanging="425"/>
        <w:contextualSpacing w:val="0"/>
        <w:jc w:val="both"/>
        <w:rPr>
          <w:rFonts w:ascii="Times New Roman" w:eastAsia="Times New Roman" w:hAnsi="Times New Roman" w:cs="Times New Roman"/>
          <w:noProof/>
        </w:rPr>
      </w:pPr>
      <w:r>
        <w:rPr>
          <w:rFonts w:ascii="Times New Roman" w:hAnsi="Times New Roman"/>
          <w:noProof/>
        </w:rPr>
        <w:t>програмата „ROMACTED“ насърчава доброто управление и разширяването на правата на ромите на местно равнище в Западните Балкани и Турция.</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Комисията стартира </w:t>
      </w:r>
      <w:r>
        <w:rPr>
          <w:rFonts w:ascii="Times New Roman" w:hAnsi="Times New Roman"/>
          <w:b/>
          <w:noProof/>
        </w:rPr>
        <w:t>пилотна програма за изграждане на капацитет сред местните представители на гражданското общество</w:t>
      </w:r>
      <w:r>
        <w:rPr>
          <w:rFonts w:ascii="Times New Roman" w:hAnsi="Times New Roman"/>
          <w:noProof/>
        </w:rPr>
        <w:t>, за да се засили тяхното участие в наблюдението на НСИР.</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През 2016 г. Комисията и председателството на Словашката република организираха мероприятие на високо равнище относно разширяване на правата на ромските младежи, което потвърди спешната необходимост от </w:t>
      </w:r>
      <w:r>
        <w:rPr>
          <w:rFonts w:ascii="Times New Roman" w:hAnsi="Times New Roman"/>
          <w:b/>
          <w:noProof/>
        </w:rPr>
        <w:t>овластяване на младежите от ромски произход</w:t>
      </w:r>
      <w:r>
        <w:rPr>
          <w:rFonts w:ascii="Times New Roman" w:hAnsi="Times New Roman"/>
          <w:noProof/>
        </w:rPr>
        <w:t xml:space="preserve"> и активното им участие в политиката относно приобщаването на ромите. </w:t>
      </w:r>
    </w:p>
    <w:p>
      <w:pPr>
        <w:keepNext/>
        <w:keepLines/>
        <w:tabs>
          <w:tab w:val="left" w:pos="8931"/>
        </w:tabs>
        <w:spacing w:before="240" w:after="240"/>
        <w:ind w:left="567" w:right="45" w:hanging="567"/>
        <w:jc w:val="both"/>
        <w:rPr>
          <w:rFonts w:ascii="Times New Roman" w:eastAsia="Times New Roman" w:hAnsi="Times New Roman" w:cs="Times New Roman"/>
          <w:b/>
          <w:bCs/>
          <w:i/>
          <w:noProof/>
          <w:color w:val="000000"/>
        </w:rPr>
      </w:pPr>
      <w:r>
        <w:rPr>
          <w:rFonts w:ascii="Times New Roman" w:hAnsi="Times New Roman"/>
          <w:b/>
          <w:noProof/>
        </w:rPr>
        <w:t xml:space="preserve">3. </w:t>
      </w:r>
      <w:r>
        <w:rPr>
          <w:noProof/>
        </w:rPr>
        <w:tab/>
      </w:r>
      <w:r>
        <w:rPr>
          <w:rFonts w:ascii="Times New Roman" w:hAnsi="Times New Roman"/>
          <w:b/>
          <w:smallCaps/>
          <w:noProof/>
        </w:rPr>
        <w:t>Оценка на усилията и резултатите в държавите членки</w:t>
      </w:r>
      <w:r>
        <w:rPr>
          <w:rFonts w:ascii="Times New Roman" w:hAnsi="Times New Roman"/>
          <w:b/>
          <w:i/>
          <w:noProof/>
          <w:color w:val="000000"/>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noProof/>
        </w:rPr>
        <w:t>Политическият ангажимент на държавите членки, намерил израз в националните стратегии, беше важна първа стъпка към подобряване на възможностите за препитание на ромите. Националните подходи към приобщаването на ромите се различават в държавите членки в зависимост от размера и социално-икономическото положение на местното население. В своите годишни доклади Комисията определи приоритетите, към които държавите членки следва да насочат вниманието си, за да се гарантира ефективно изпълнение. Те включват определяне на количествено измерими цели и показатели, разпределение на бюджетни средства, наблюдение на въздействието на общите мерки върху ромите, сътрудничество с месните органи и гражданското общество и включване на ромите във всички етапи на процеса на създаване на политики. Държавите членки се справиха с някои от тези предизвикателства, по-специално по отношение на своята институционална уредба, сътрудничеството със заинтересованите страни, наблюдението и финансирането. Въздействието на техните мерки върху положението на ромите в областта на образованието, заетостта, здравеопазването и жилищното настаняване обаче остава ограничено.</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3.1 </w:t>
      </w:r>
      <w:r>
        <w:rPr>
          <w:noProof/>
        </w:rPr>
        <w:tab/>
      </w:r>
      <w:r>
        <w:rPr>
          <w:rFonts w:ascii="Times New Roman" w:hAnsi="Times New Roman"/>
          <w:b/>
          <w:noProof/>
        </w:rPr>
        <w:t xml:space="preserve">Важни области на политиката </w:t>
      </w:r>
    </w:p>
    <w:p>
      <w:pPr>
        <w:tabs>
          <w:tab w:val="left" w:pos="8931"/>
        </w:tabs>
        <w:spacing w:after="120"/>
        <w:ind w:right="45"/>
        <w:jc w:val="both"/>
        <w:rPr>
          <w:rFonts w:ascii="Times New Roman" w:hAnsi="Times New Roman" w:cs="Times New Roman"/>
          <w:noProof/>
        </w:rPr>
      </w:pPr>
      <w:r>
        <w:rPr>
          <w:rFonts w:ascii="Times New Roman" w:hAnsi="Times New Roman"/>
          <w:noProof/>
        </w:rPr>
        <w:t>С рамката на ЕС се определят цели за подобряване на достъпа на ромите до образование, заетост, здравеопазване и жилища и за борба с дискриминацията в тези области. По-долу е представен преглед на промените в положението на ромите (през периода 2011—2016 г.)</w:t>
      </w:r>
      <w:r>
        <w:rPr>
          <w:rStyle w:val="FootnoteReference"/>
          <w:rFonts w:ascii="Times New Roman" w:hAnsi="Times New Roman"/>
          <w:noProof/>
        </w:rPr>
        <w:footnoteReference w:id="18"/>
      </w:r>
      <w:r>
        <w:rPr>
          <w:rFonts w:ascii="Times New Roman" w:hAnsi="Times New Roman"/>
          <w:noProof/>
        </w:rPr>
        <w:t xml:space="preserve"> въз основа на докладите на държавите членки относно мерките за интегриране, основните постижения и предизвикателства при изпълнението.</w:t>
      </w:r>
    </w:p>
    <w:p>
      <w:pPr>
        <w:keepNext/>
        <w:keepLines/>
        <w:tabs>
          <w:tab w:val="left" w:pos="8931"/>
        </w:tabs>
        <w:spacing w:after="240"/>
        <w:ind w:right="45"/>
        <w:jc w:val="center"/>
        <w:rPr>
          <w:rFonts w:ascii="Times New Roman" w:hAnsi="Times New Roman" w:cs="Times New Roman"/>
          <w:b/>
          <w:i/>
          <w:noProof/>
          <w:sz w:val="26"/>
          <w:szCs w:val="26"/>
        </w:rPr>
      </w:pPr>
      <w:r>
        <w:rPr>
          <w:rFonts w:ascii="Times New Roman" w:hAnsi="Times New Roman"/>
          <w:b/>
          <w:i/>
          <w:noProof/>
          <w:sz w:val="26"/>
        </w:rPr>
        <w:t>Мерки, докладвани от държавите членки в основни области на политиката и борбата с дискриминацията</w:t>
      </w:r>
    </w:p>
    <w:p>
      <w:pPr>
        <w:keepNext/>
        <w:keepLines/>
        <w:tabs>
          <w:tab w:val="left" w:pos="8931"/>
        </w:tabs>
        <w:spacing w:after="120"/>
        <w:ind w:right="45"/>
        <w:jc w:val="center"/>
        <w:rPr>
          <w:rFonts w:ascii="Times New Roman" w:hAnsi="Times New Roman" w:cs="Times New Roman"/>
          <w:b/>
          <w:i/>
          <w:noProof/>
        </w:rPr>
      </w:pPr>
      <w:r>
        <w:rPr>
          <w:rFonts w:ascii="Times New Roman" w:hAnsi="Times New Roman" w:cs="Times New Roman"/>
          <w:b/>
          <w:i/>
          <w:noProof/>
          <w:sz w:val="26"/>
          <w:szCs w:val="26"/>
          <w:lang w:val="en-US" w:eastAsia="en-US" w:bidi="ar-SA"/>
        </w:rPr>
        <w:drawing>
          <wp:inline distT="0" distB="0" distL="0" distR="0">
            <wp:extent cx="4733925" cy="2773680"/>
            <wp:effectExtent l="0" t="0" r="952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b/>
          <w:i/>
          <w:noProof/>
        </w:rPr>
        <w:t xml:space="preserve">3.1.1 </w:t>
      </w:r>
      <w:r>
        <w:rPr>
          <w:noProof/>
        </w:rPr>
        <w:tab/>
      </w:r>
      <w:r>
        <w:rPr>
          <w:rFonts w:ascii="Times New Roman" w:hAnsi="Times New Roman"/>
          <w:b/>
          <w:i/>
          <w:noProof/>
        </w:rPr>
        <w:t>Образование</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Образованието е основната област, в която положението на ромите се е подобрило. Това е също една от най-важните области в набора от политики на държавите членки за приобщаване на ромите. Налице е видим напредък при борбата с </w:t>
      </w:r>
      <w:r>
        <w:rPr>
          <w:rFonts w:ascii="Times New Roman" w:hAnsi="Times New Roman"/>
          <w:b/>
          <w:noProof/>
        </w:rPr>
        <w:t>преждевременното напускане на училище</w:t>
      </w:r>
      <w:r>
        <w:rPr>
          <w:rFonts w:ascii="Times New Roman" w:hAnsi="Times New Roman"/>
          <w:noProof/>
        </w:rPr>
        <w:t xml:space="preserve">, като във всички държави членки, включени в проучването, е отчетен спад на броя на преждевременно напусналите (като най-значителни са подобренията в Испания, Словашката републиката, България, Чешката република и Румъния). Това е в съответствие с акцента на политиката на държавите членки: по-голямата част от държавите членки приложиха стратегии във връзка с преждевременното напускане на училище, като в резултат на това няколко от тях постигнаха своята цел по стратегия „Европа 2020“ в тази област. Въпреки подобренията делът на ромите сред преждевременно напусналите училище продължава да бъде изключително голям, като техният процент е до 24 пъти по-висок от този на населението като цяло.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Другото видимо подобрение е в областта на </w:t>
      </w:r>
      <w:r>
        <w:rPr>
          <w:rFonts w:ascii="Times New Roman" w:hAnsi="Times New Roman"/>
          <w:b/>
          <w:noProof/>
        </w:rPr>
        <w:t>образованието и грижите в ранна детска възраст</w:t>
      </w:r>
      <w:r>
        <w:rPr>
          <w:rFonts w:ascii="Times New Roman" w:hAnsi="Times New Roman"/>
          <w:noProof/>
        </w:rPr>
        <w:t xml:space="preserve">, където участието на ромски деца се е повишило в повечето държави членки (със значителни подобрения в България, Гърция, Испания, Словашката република и Унгария, но в Португалия и Румъния е отчетено влошаване на положението). Големият брой мерки и увеличаването на инвестициите в тази област, подпомогнато от законодателните промени, като въвеждане на задължително посещение на детски градини (България, Литва, Унгария, Финландия и Чешката република), свидетелстват за по-голямото значение, което се отдава на образованието в ранна детска възраст. Необходима е обаче целева финансова подкрепа за подпомагане на най-нуждаещите се семейства по отношение на непреките разходи за образование в ранна детска възраст (такси, храна, облекло, транспорт и др.). В повечето държави членки (без Гърция и Румъния) са отчетени леки подобрения по отношение на </w:t>
      </w:r>
      <w:r>
        <w:rPr>
          <w:rFonts w:ascii="Times New Roman" w:hAnsi="Times New Roman"/>
          <w:b/>
          <w:noProof/>
        </w:rPr>
        <w:t>задължителното образование</w:t>
      </w:r>
      <w:r>
        <w:rPr>
          <w:rFonts w:ascii="Times New Roman" w:hAnsi="Times New Roman"/>
          <w:noProof/>
        </w:rPr>
        <w:t>, като повече от 9 на всеки 10 ромски деца, обхванати от задължителното училищно образование, посещават училище.</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Въпреки че образованието е областта, в която е постигнат най-голям напредък, продължават да съществуват значителни системни предизвикателства. Премахването на </w:t>
      </w:r>
      <w:r>
        <w:rPr>
          <w:rFonts w:ascii="Times New Roman" w:hAnsi="Times New Roman"/>
          <w:b/>
          <w:noProof/>
        </w:rPr>
        <w:t>сегрегацията в образованието</w:t>
      </w:r>
      <w:r>
        <w:rPr>
          <w:rFonts w:ascii="Times New Roman" w:hAnsi="Times New Roman"/>
          <w:noProof/>
        </w:rPr>
        <w:t xml:space="preserve"> и слагането на край на неоснователното записване на ромски ученици в училища за деца със специални нужди са подчертани като приоритети в рамката на ЕС, в препоръката на Съвета от 2013 г. и в Директивата за расовото равенство, както и в контекста на европейския семестър. Продължават да се наблюдават тенденции на продължаваща, а понякога и нарастваща сегрегация, като една до две трети от ромските деца посещават училища, в които повечето или всички деца са роми (Словашка република, Унгария, България): 60 % или повече; Гърция, Хърватия, Испания, Чешка република, Румъния: 29—48 %)</w:t>
      </w:r>
      <w:r>
        <w:rPr>
          <w:rStyle w:val="FootnoteReference"/>
          <w:rFonts w:ascii="Times New Roman" w:hAnsi="Times New Roman"/>
          <w:noProof/>
        </w:rPr>
        <w:footnoteReference w:id="19"/>
      </w:r>
      <w:r>
        <w:rPr>
          <w:noProof/>
        </w:rPr>
        <w:t>.</w:t>
      </w:r>
      <w:r>
        <w:rPr>
          <w:rFonts w:ascii="Times New Roman" w:hAnsi="Times New Roman"/>
          <w:noProof/>
        </w:rPr>
        <w:t xml:space="preserve"> Това може да се обясни само частично с жилищната сегрегация. Въпреки че все повече държави членки инвестират в мерки за насърчаване на </w:t>
      </w:r>
      <w:r>
        <w:rPr>
          <w:rFonts w:ascii="Times New Roman" w:hAnsi="Times New Roman"/>
          <w:b/>
          <w:noProof/>
        </w:rPr>
        <w:t>приобщаващи методи на преподаване и учене</w:t>
      </w:r>
      <w:r>
        <w:rPr>
          <w:rFonts w:ascii="Times New Roman" w:hAnsi="Times New Roman"/>
          <w:noProof/>
        </w:rPr>
        <w:t>, в няколко от най-засегнатите държави липсват мерки за премахване на сегрегацията, а в някои случаи дори са използвани средства от ЕС за сегрегирани учебни заведения. Доказателствата в подкрепа на това, че интегрираните училища и смесените класове носят ползи както за децата от ромски произход, така и за останалите деца, все още не са широкопризнати. Твърде малко внимание се обръща и на други основни области, които са важни за подобряване на пригодността за заетост, като втори шанс за образование и развиване на умения в съответствие с потребностите на пазара на труда.</w:t>
      </w:r>
    </w:p>
    <w:p>
      <w:pPr>
        <w:tabs>
          <w:tab w:val="left" w:pos="8931"/>
        </w:tabs>
        <w:spacing w:after="120"/>
        <w:ind w:right="45"/>
        <w:jc w:val="both"/>
        <w:rPr>
          <w:rFonts w:ascii="Times New Roman" w:hAnsi="Times New Roman" w:cs="Times New Roman"/>
          <w:noProof/>
        </w:rPr>
      </w:pPr>
      <w:r>
        <w:rPr>
          <w:rFonts w:ascii="Times New Roman" w:hAnsi="Times New Roman"/>
          <w:noProof/>
        </w:rPr>
        <w:t>Сред постиженията в областта на образованието националните звена за контакт по въпросите на ромите посочват:</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законодателна реформа;</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приобщаващи структури;</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все по-голямо участие на ромите (по-специално в образованието в ранна детска възраст, но така също и в задължителното и професионалното образование);</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подобрени междукултурни умения;</w:t>
      </w:r>
    </w:p>
    <w:p>
      <w:pPr>
        <w:pStyle w:val="ListParagraph"/>
        <w:numPr>
          <w:ilvl w:val="0"/>
          <w:numId w:val="34"/>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 xml:space="preserve">подкрепа за ромските деца и учители; и </w:t>
      </w:r>
    </w:p>
    <w:p>
      <w:pPr>
        <w:pStyle w:val="ListParagraph"/>
        <w:numPr>
          <w:ilvl w:val="0"/>
          <w:numId w:val="34"/>
        </w:numPr>
        <w:tabs>
          <w:tab w:val="left" w:pos="8931"/>
        </w:tabs>
        <w:spacing w:after="120"/>
        <w:ind w:left="425" w:right="45" w:hanging="425"/>
        <w:contextualSpacing w:val="0"/>
        <w:jc w:val="both"/>
        <w:rPr>
          <w:rFonts w:ascii="Times New Roman" w:hAnsi="Times New Roman" w:cs="Times New Roman"/>
          <w:noProof/>
        </w:rPr>
      </w:pPr>
      <w:r>
        <w:rPr>
          <w:rFonts w:ascii="Times New Roman" w:hAnsi="Times New Roman"/>
          <w:noProof/>
        </w:rPr>
        <w:t xml:space="preserve">помощ за родителите. </w:t>
      </w:r>
    </w:p>
    <w:p>
      <w:pPr>
        <w:tabs>
          <w:tab w:val="left" w:pos="8931"/>
        </w:tabs>
        <w:spacing w:after="120"/>
        <w:ind w:right="45"/>
        <w:jc w:val="both"/>
        <w:rPr>
          <w:rFonts w:ascii="Times New Roman" w:hAnsi="Times New Roman" w:cs="Times New Roman"/>
          <w:noProof/>
        </w:rPr>
      </w:pPr>
      <w:r>
        <w:rPr>
          <w:rFonts w:ascii="Times New Roman" w:hAnsi="Times New Roman"/>
          <w:noProof/>
        </w:rPr>
        <w:t>Като оставащи предизвикателства те посочват:</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все още висок, макар и намаляващ процент на преждевременно напускащите училище;</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трудности при насърчаване на ефективния преход на ромите към гимназиалния етап на средното образование и към висшето образование;</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 xml:space="preserve">липса на езикови умения; и </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 xml:space="preserve">дискриминация. </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b/>
          <w:i/>
          <w:noProof/>
        </w:rPr>
        <w:t xml:space="preserve">3.1.2 </w:t>
      </w:r>
      <w:r>
        <w:rPr>
          <w:noProof/>
        </w:rPr>
        <w:tab/>
      </w:r>
      <w:r>
        <w:rPr>
          <w:rFonts w:ascii="Times New Roman" w:hAnsi="Times New Roman"/>
          <w:b/>
          <w:i/>
          <w:noProof/>
        </w:rPr>
        <w:t>Заетост</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Подобренията в образованието все още не са приложени ефективно в областта на трудовата заетост. Въпреки че равнищата на заетост сред ромите са се повишили в някои държави членки (Португалия и Унгария), навсякъде другаде промените са по-малки или дори в посока на влошаване. </w:t>
      </w:r>
      <w:r>
        <w:rPr>
          <w:rFonts w:ascii="Times New Roman" w:hAnsi="Times New Roman"/>
          <w:b/>
          <w:noProof/>
        </w:rPr>
        <w:t>Процентът на никъде</w:t>
      </w:r>
      <w:r>
        <w:rPr>
          <w:rFonts w:ascii="Times New Roman" w:hAnsi="Times New Roman"/>
          <w:noProof/>
        </w:rPr>
        <w:t xml:space="preserve"> </w:t>
      </w:r>
      <w:r>
        <w:rPr>
          <w:rFonts w:ascii="Times New Roman" w:hAnsi="Times New Roman"/>
          <w:b/>
          <w:noProof/>
        </w:rPr>
        <w:t xml:space="preserve">неработещите, неучещите и необучаващите се </w:t>
      </w:r>
      <w:r>
        <w:rPr>
          <w:rFonts w:ascii="Times New Roman" w:hAnsi="Times New Roman"/>
          <w:noProof/>
        </w:rPr>
        <w:t xml:space="preserve">младежи сред ромите продължава да бъде тревожно висок, като в няколко държави членки дори се е увеличил (51—77 % в Испания, Хърватия, България, Словашката република, Румъния, Чешката република и Унгария), като само в Португалия се наблюдава ясен спад). Една от възможните причини за липсата на напредък е, че мерките са насочени към предлагането, т.е. пригодността за заетост (чрез професионално обучение, учене през целия живот и др.), и не обхващат пропорционално пречките при търсенето например чрез </w:t>
      </w:r>
      <w:r>
        <w:rPr>
          <w:rFonts w:ascii="Times New Roman" w:hAnsi="Times New Roman"/>
          <w:b/>
          <w:noProof/>
        </w:rPr>
        <w:t>мониторинг и борба с дискриминацията</w:t>
      </w:r>
      <w:r>
        <w:rPr>
          <w:rFonts w:ascii="Times New Roman" w:hAnsi="Times New Roman"/>
          <w:noProof/>
        </w:rPr>
        <w:t>. Общите мерки също биха могли да бъдат по-добре насочвани към ромите. Не се обръща достатъчно внимание на големите разлики в трудовата заетост между жените и мъжете от ромски произход (най-големи са разликите в Гърция, Румъния, Португалия и Унгария)</w:t>
      </w:r>
      <w:r>
        <w:rPr>
          <w:rStyle w:val="FootnoteReference"/>
          <w:rFonts w:ascii="Times New Roman" w:hAnsi="Times New Roman"/>
          <w:noProof/>
        </w:rPr>
        <w:footnoteReference w:id="20"/>
      </w:r>
      <w:r>
        <w:rPr>
          <w:rFonts w:ascii="Times New Roman" w:hAnsi="Times New Roman"/>
          <w:noProof/>
        </w:rPr>
        <w:t xml:space="preserve">. Следва да се проучат допълнително начините за </w:t>
      </w:r>
      <w:r>
        <w:rPr>
          <w:rFonts w:ascii="Times New Roman" w:hAnsi="Times New Roman"/>
          <w:b/>
          <w:noProof/>
        </w:rPr>
        <w:t>мобилизиране на частния сектор</w:t>
      </w:r>
      <w:r>
        <w:rPr>
          <w:rFonts w:ascii="Times New Roman" w:hAnsi="Times New Roman"/>
          <w:noProof/>
        </w:rPr>
        <w:t xml:space="preserve"> и за стимулиране на работодателите да наемат на работа роми, които в няколко държави членки представляват значителен и нарастващ дял от населението в трудоспособна възраст, например чрез конкретен акцент върху ромите в схемата „Гаранция за младежта“ и включване на социални съображения в обществени поръчки. </w:t>
      </w:r>
    </w:p>
    <w:p>
      <w:pPr>
        <w:tabs>
          <w:tab w:val="left" w:pos="8931"/>
        </w:tabs>
        <w:spacing w:after="120"/>
        <w:ind w:right="45"/>
        <w:jc w:val="both"/>
        <w:rPr>
          <w:rFonts w:ascii="Times New Roman" w:hAnsi="Times New Roman" w:cs="Times New Roman"/>
          <w:noProof/>
        </w:rPr>
      </w:pPr>
      <w:r>
        <w:rPr>
          <w:rFonts w:ascii="Times New Roman" w:hAnsi="Times New Roman"/>
          <w:noProof/>
        </w:rPr>
        <w:t>В последно време равнището на заетост в няколко от най-засегнатите държави членки започна да нараства. Съживяването на икономическия растеж предлага дългоочаквана възможност за ромите да се завърнат на свободния пазар на труда, при условие че държавите членки прилагат интелигентни политики с ефективни стимули. Когато заплатите за първа заетост са прекалено ниски, социалните обезщетения, които не са свързани с мерки за активизиране, могат да представляват „капан“ на безработицата.</w:t>
      </w:r>
    </w:p>
    <w:p>
      <w:pPr>
        <w:tabs>
          <w:tab w:val="left" w:pos="8931"/>
        </w:tabs>
        <w:spacing w:after="120"/>
        <w:ind w:right="45"/>
        <w:jc w:val="both"/>
        <w:rPr>
          <w:rFonts w:ascii="Times New Roman" w:eastAsiaTheme="minorHAnsi" w:hAnsi="Times New Roman" w:cs="Times New Roman"/>
          <w:noProof/>
        </w:rPr>
      </w:pPr>
      <w:r>
        <w:rPr>
          <w:rFonts w:ascii="Times New Roman" w:eastAsiaTheme="minorHAnsi" w:hAnsi="Times New Roman"/>
          <w:noProof/>
        </w:rPr>
        <w:t>Според националните звена за контакт по въпросите на ромите единственият най-важен фактор за успех е:</w:t>
      </w:r>
    </w:p>
    <w:p>
      <w:pPr>
        <w:pStyle w:val="ListParagraph"/>
        <w:numPr>
          <w:ilvl w:val="0"/>
          <w:numId w:val="34"/>
        </w:numPr>
        <w:tabs>
          <w:tab w:val="left" w:pos="8931"/>
        </w:tabs>
        <w:spacing w:after="120"/>
        <w:ind w:left="425"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обхващане на ромите чрез общи служби за заетост, например чрез индивидуална подкрепа или достигане до ромите чрез асистенти на място/служители по труда от ромски произход.</w:t>
      </w:r>
    </w:p>
    <w:p>
      <w:pPr>
        <w:tabs>
          <w:tab w:val="left" w:pos="8931"/>
        </w:tabs>
        <w:spacing w:after="120"/>
        <w:ind w:right="45"/>
        <w:jc w:val="both"/>
        <w:rPr>
          <w:rFonts w:ascii="Times New Roman" w:eastAsiaTheme="minorHAnsi" w:hAnsi="Times New Roman" w:cs="Times New Roman"/>
          <w:noProof/>
        </w:rPr>
      </w:pPr>
      <w:r>
        <w:rPr>
          <w:rFonts w:ascii="Times New Roman" w:eastAsiaTheme="minorHAnsi" w:hAnsi="Times New Roman"/>
          <w:noProof/>
        </w:rPr>
        <w:t>Сред предизвикателствата националните звена за контакт по въпросите на ромите посочват:</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липса на умения и компетентности;</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дискриминация;</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 xml:space="preserve"> необходимост от убеждаване на работодателите в значението на управлението на разнообразието и борбата с дискриминацията; и </w:t>
      </w:r>
    </w:p>
    <w:p>
      <w:pPr>
        <w:pStyle w:val="ListParagraph"/>
        <w:numPr>
          <w:ilvl w:val="0"/>
          <w:numId w:val="35"/>
        </w:numPr>
        <w:tabs>
          <w:tab w:val="left" w:pos="8931"/>
        </w:tabs>
        <w:spacing w:after="60"/>
        <w:ind w:left="426" w:right="45" w:hanging="425"/>
        <w:contextualSpacing w:val="0"/>
        <w:jc w:val="both"/>
        <w:rPr>
          <w:rFonts w:ascii="Times New Roman" w:eastAsiaTheme="minorHAnsi" w:hAnsi="Times New Roman" w:cs="Times New Roman"/>
          <w:noProof/>
        </w:rPr>
      </w:pPr>
      <w:r>
        <w:rPr>
          <w:rFonts w:ascii="Times New Roman" w:eastAsiaTheme="minorHAnsi" w:hAnsi="Times New Roman"/>
          <w:noProof/>
        </w:rPr>
        <w:t xml:space="preserve">по-добро насочване на мерките към жените от ромски произход. </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b/>
          <w:i/>
          <w:noProof/>
        </w:rPr>
        <w:t xml:space="preserve">3.1.3 </w:t>
      </w:r>
      <w:r>
        <w:rPr>
          <w:noProof/>
        </w:rPr>
        <w:tab/>
      </w:r>
      <w:r>
        <w:rPr>
          <w:rFonts w:ascii="Times New Roman" w:hAnsi="Times New Roman"/>
          <w:b/>
          <w:i/>
          <w:noProof/>
        </w:rPr>
        <w:t>Здравеопазване</w:t>
      </w:r>
    </w:p>
    <w:p>
      <w:pPr>
        <w:tabs>
          <w:tab w:val="left" w:pos="8931"/>
        </w:tabs>
        <w:spacing w:after="120"/>
        <w:ind w:right="45"/>
        <w:jc w:val="both"/>
        <w:rPr>
          <w:rFonts w:ascii="Times New Roman" w:hAnsi="Times New Roman" w:cs="Times New Roman"/>
          <w:noProof/>
        </w:rPr>
      </w:pPr>
      <w:r>
        <w:rPr>
          <w:rFonts w:ascii="Times New Roman" w:hAnsi="Times New Roman"/>
          <w:noProof/>
        </w:rPr>
        <w:t>В областта на здравеопазването основното социално осигуряване продължава да бъде предизвикателство, без съществени подобрения в най-засегнатите държави, в които около половината от ромското население продължава да бъде без</w:t>
      </w:r>
      <w:r>
        <w:rPr>
          <w:rFonts w:ascii="Times New Roman" w:hAnsi="Times New Roman"/>
          <w:b/>
          <w:noProof/>
        </w:rPr>
        <w:t xml:space="preserve"> основно медицинско осигуряване</w:t>
      </w:r>
      <w:r>
        <w:rPr>
          <w:rFonts w:ascii="Times New Roman" w:hAnsi="Times New Roman"/>
          <w:noProof/>
        </w:rPr>
        <w:t xml:space="preserve"> (България и Румъния, но в Гърция има подобрение с повече от 30 процентни пункта). Това е така въпреки мерките, насочени към премахване на пречките за достъпа на ромите до системата на здравеопазването, които често включват липса на документация, свързана с гражданското състояние. </w:t>
      </w:r>
      <w:r>
        <w:rPr>
          <w:rFonts w:ascii="Times New Roman" w:hAnsi="Times New Roman"/>
          <w:b/>
          <w:noProof/>
        </w:rPr>
        <w:t>Здравословното състояние</w:t>
      </w:r>
      <w:r>
        <w:rPr>
          <w:rFonts w:ascii="Times New Roman" w:hAnsi="Times New Roman"/>
          <w:noProof/>
        </w:rPr>
        <w:t xml:space="preserve"> на ромите, определено въз основа на тяхното лично възприятие, като цяло се е подобрило (като най-значителни подобрения се наблюдават в Румъния, България, Унгария, Португалия и Гърция), което свидетелства за известен напредък, постигнат в резултат на други здравни мерки, като тези, насърчаващи здравната осведоменост, достъпа до ваксинации, медицински прегледи, грижи преди и след раждане и семейно планиране. Подобрените възприятия относно здравето биха могли да се дължат и на намаляването на броя на редовно гладуващите роми в повечето държави. Предоставянето на граждански услуги и дейностите, насочени към жените от ромски произход, са най-силно изразени в областта на здравеопазването, но като цяло здравната реформа не успява да отговори изрично на потребностите на ромите. </w:t>
      </w:r>
    </w:p>
    <w:p>
      <w:pPr>
        <w:tabs>
          <w:tab w:val="left" w:pos="8931"/>
        </w:tabs>
        <w:spacing w:after="120"/>
        <w:ind w:right="45"/>
        <w:jc w:val="both"/>
        <w:rPr>
          <w:rFonts w:ascii="Times New Roman" w:hAnsi="Times New Roman" w:cs="Times New Roman"/>
          <w:noProof/>
        </w:rPr>
      </w:pPr>
      <w:r>
        <w:rPr>
          <w:rFonts w:ascii="Times New Roman" w:hAnsi="Times New Roman"/>
          <w:noProof/>
        </w:rPr>
        <w:t>Тези констатации се потвърждават от националните звена за контакт по въпросите на ромите, които посочват сред постиженията:</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здравна осведоменост; </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насърчаване на здравословен начин на живот;</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акцент върху превенцията;</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здравна грамотност;</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здравни медиатори от ромски произход;</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гражданско участие; и </w:t>
      </w:r>
    </w:p>
    <w:p>
      <w:pPr>
        <w:pStyle w:val="ListParagraph"/>
        <w:numPr>
          <w:ilvl w:val="0"/>
          <w:numId w:val="34"/>
        </w:numPr>
        <w:tabs>
          <w:tab w:val="left" w:pos="8931"/>
        </w:tabs>
        <w:spacing w:after="120"/>
        <w:ind w:left="425" w:right="45" w:hanging="425"/>
        <w:contextualSpacing w:val="0"/>
        <w:jc w:val="both"/>
        <w:rPr>
          <w:rFonts w:ascii="Times New Roman" w:hAnsi="Times New Roman" w:cs="Times New Roman"/>
          <w:noProof/>
        </w:rPr>
      </w:pPr>
      <w:r>
        <w:rPr>
          <w:rFonts w:ascii="Times New Roman" w:hAnsi="Times New Roman"/>
          <w:noProof/>
        </w:rPr>
        <w:t xml:space="preserve">междусекторно сътрудничество и сътрудничество между заинтересованите страни. </w:t>
      </w:r>
    </w:p>
    <w:p>
      <w:pPr>
        <w:tabs>
          <w:tab w:val="left" w:pos="8931"/>
        </w:tabs>
        <w:spacing w:after="120"/>
        <w:ind w:right="45"/>
        <w:jc w:val="both"/>
        <w:rPr>
          <w:rFonts w:ascii="Times New Roman" w:hAnsi="Times New Roman" w:cs="Times New Roman"/>
          <w:noProof/>
        </w:rPr>
      </w:pPr>
      <w:r>
        <w:rPr>
          <w:rFonts w:ascii="Times New Roman" w:hAnsi="Times New Roman"/>
          <w:noProof/>
        </w:rPr>
        <w:t>Установените предизвикателства включват:</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липса на здравно осигуряване и общопрактикуващи лекари в районите с ромско население;</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непълноценно използване на здравните услуги;</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проблеми с психичното и физическото здраве;</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бременност в ранна младежка възраст; и </w:t>
      </w:r>
    </w:p>
    <w:p>
      <w:pPr>
        <w:pStyle w:val="ListParagraph"/>
        <w:numPr>
          <w:ilvl w:val="0"/>
          <w:numId w:val="35"/>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необходимост от повече здравни специалисти от ромски произход.</w:t>
      </w:r>
    </w:p>
    <w:p>
      <w:pPr>
        <w:keepNext/>
        <w:keepLines/>
        <w:tabs>
          <w:tab w:val="left" w:pos="8931"/>
        </w:tabs>
        <w:spacing w:before="240" w:after="240"/>
        <w:ind w:left="709" w:right="45" w:hanging="709"/>
        <w:jc w:val="both"/>
        <w:rPr>
          <w:rFonts w:ascii="Times New Roman" w:hAnsi="Times New Roman" w:cs="Times New Roman"/>
          <w:b/>
          <w:i/>
          <w:noProof/>
        </w:rPr>
      </w:pPr>
      <w:r>
        <w:rPr>
          <w:rFonts w:ascii="Times New Roman" w:hAnsi="Times New Roman"/>
          <w:b/>
          <w:i/>
          <w:noProof/>
        </w:rPr>
        <w:t xml:space="preserve">3.1.4 </w:t>
      </w:r>
      <w:r>
        <w:rPr>
          <w:noProof/>
        </w:rPr>
        <w:tab/>
      </w:r>
      <w:r>
        <w:rPr>
          <w:rFonts w:ascii="Times New Roman" w:hAnsi="Times New Roman"/>
          <w:b/>
          <w:i/>
          <w:noProof/>
        </w:rPr>
        <w:t>Жилищно настаняване</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В областта на жилищното настаняване могат да се посочат слаби подобрения по отношение на </w:t>
      </w:r>
      <w:r>
        <w:rPr>
          <w:rFonts w:ascii="Times New Roman" w:hAnsi="Times New Roman"/>
          <w:b/>
          <w:noProof/>
        </w:rPr>
        <w:t>достъпа на ромите до основни удобства</w:t>
      </w:r>
      <w:r>
        <w:rPr>
          <w:rFonts w:ascii="Times New Roman" w:hAnsi="Times New Roman"/>
          <w:noProof/>
        </w:rPr>
        <w:t xml:space="preserve">, като в няколко държави членки (и по-специално в България, Румъния, Словашката република и Чешката република) намалява броят на ромите, които живеят в жилища без течаща вода, тоалетна, душ или баня. Достъпът до електроснабдяване също се подобрява слабо, като в повечето държави членки (без Португалия и Гърция) процентът на обхванатите домакинства е над 90 %. В няколко държави членки (Чешката република, Испания, Италия и Португалия) ромите обаче все по-често се сблъскват с дискриминация, когато става въпрос за достъп до жилищно настаняване. В НСИР държавите членки поставиха акцент върху подобряването на недискриминационния </w:t>
      </w:r>
      <w:r>
        <w:rPr>
          <w:rFonts w:ascii="Times New Roman" w:hAnsi="Times New Roman"/>
          <w:b/>
          <w:noProof/>
        </w:rPr>
        <w:t>достъп до социални жилища</w:t>
      </w:r>
      <w:r>
        <w:rPr>
          <w:rFonts w:ascii="Times New Roman" w:hAnsi="Times New Roman"/>
          <w:noProof/>
        </w:rPr>
        <w:t xml:space="preserve">, а някои приеха и мерки за </w:t>
      </w:r>
      <w:r>
        <w:rPr>
          <w:rFonts w:ascii="Times New Roman" w:hAnsi="Times New Roman"/>
          <w:b/>
          <w:noProof/>
        </w:rPr>
        <w:t>премахване на сегрегацията</w:t>
      </w:r>
      <w:r>
        <w:rPr>
          <w:rFonts w:ascii="Times New Roman" w:hAnsi="Times New Roman"/>
          <w:noProof/>
        </w:rPr>
        <w:t xml:space="preserve">. Някои от най-засегнатите държави не докладват за мерки за борба със сегрегацията, а други въобще не обръщат внимание на недискриминационния достъп до социални жилища. И двете области са от изключително значение за предприемането на по-нататъшни решителни действия, които могат евентуално да се финансират от фондовете на ЕС в съответствие с насоките на Комисията за премахване на сегрегацията. Това е особено важно в контекста на честите изселвания в няколко държави членки. </w:t>
      </w:r>
    </w:p>
    <w:p>
      <w:pPr>
        <w:tabs>
          <w:tab w:val="left" w:pos="8931"/>
        </w:tabs>
        <w:spacing w:after="120"/>
        <w:ind w:right="45"/>
        <w:jc w:val="both"/>
        <w:rPr>
          <w:rFonts w:ascii="Times New Roman" w:hAnsi="Times New Roman" w:cs="Times New Roman"/>
          <w:noProof/>
        </w:rPr>
      </w:pPr>
      <w:r>
        <w:rPr>
          <w:rFonts w:ascii="Times New Roman" w:hAnsi="Times New Roman"/>
          <w:noProof/>
        </w:rPr>
        <w:t>Постиженията, посочени от националните звена за контакт по въпросите на ромите (които обикновено са предпоставка за бъдеща промяна), включват:</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разпределяне на средства за жилища за маргинализираните общности по оперативните програми по линия на ЕСИФ за периода 2014—2020 г.;</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проучвания на положението с жилищата; и</w:t>
      </w:r>
    </w:p>
    <w:p>
      <w:pPr>
        <w:pStyle w:val="ListParagraph"/>
        <w:numPr>
          <w:ilvl w:val="0"/>
          <w:numId w:val="34"/>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нови планове за действие или стратегически документи относно жилищното настаняване. </w:t>
      </w:r>
    </w:p>
    <w:p>
      <w:pPr>
        <w:tabs>
          <w:tab w:val="left" w:pos="8931"/>
        </w:tabs>
        <w:spacing w:after="120"/>
        <w:ind w:right="45"/>
        <w:jc w:val="both"/>
        <w:rPr>
          <w:rFonts w:ascii="Times New Roman" w:hAnsi="Times New Roman" w:cs="Times New Roman"/>
          <w:noProof/>
        </w:rPr>
      </w:pPr>
      <w:r>
        <w:rPr>
          <w:rFonts w:ascii="Times New Roman" w:hAnsi="Times New Roman"/>
          <w:noProof/>
        </w:rPr>
        <w:t>Сред предизвикателствата те посочват:</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недостиг и ниско качество на социалните жилища;</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дискриминация на пазара на жилища; и</w:t>
      </w:r>
    </w:p>
    <w:p>
      <w:pPr>
        <w:pStyle w:val="ListParagraph"/>
        <w:numPr>
          <w:ilvl w:val="0"/>
          <w:numId w:val="35"/>
        </w:numPr>
        <w:tabs>
          <w:tab w:val="left" w:pos="8931"/>
        </w:tabs>
        <w:spacing w:after="60"/>
        <w:ind w:left="425" w:right="45" w:hanging="425"/>
        <w:contextualSpacing w:val="0"/>
        <w:jc w:val="both"/>
        <w:rPr>
          <w:rFonts w:ascii="Times New Roman" w:hAnsi="Times New Roman" w:cs="Times New Roman"/>
          <w:noProof/>
        </w:rPr>
      </w:pPr>
      <w:r>
        <w:rPr>
          <w:rFonts w:ascii="Times New Roman" w:hAnsi="Times New Roman"/>
          <w:noProof/>
        </w:rPr>
        <w:t>сегрегация и образуване на гета.</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rPr>
      </w:pPr>
      <w:r>
        <w:rPr>
          <w:rFonts w:ascii="Times New Roman" w:hAnsi="Times New Roman"/>
          <w:b/>
          <w:noProof/>
          <w:color w:val="1D1D1D"/>
        </w:rPr>
        <w:t>Приоритети, на които държавите членки да обърнат внимание:</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насърчаване на ефективен равен достъп на ромите до качествено приобщаващо общо образование чрез законодателство, приобщаващи реформи на държавното образование, устойчиво финансиране и категорични мерки за премахване на сегрегацията, съчетани с приобщаващи методи на преподаване и учене;</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мониторинг и борба с дискриминацията на пазара на труда като предпоставка за подобряване на равнищата на заетост сред ромите; разработване на цялостен пакет от общи и целенасочени мерки, обхващащи както предлагането, така и търсенето на пазара на труда; борба с неравенството между половете в областта на трудовата заетост чрез категорични мерки, насочени към жените от ромски произход;</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гарантиране на минимално основно социално осигуряване като спешен приоритет, включително чрез разрешаване на проблемите, свързани с документацията относно гражданското състояние, и подобряване на достъпа до други качествени здравни услуги. Оползотворяване на резултатите от ромското участие в областта на образованието и грижите в ранна детска възраст чрез подобряване на здравните услуги и предоставяне на безплатна ваксинация и медицински прегледи за ромските деца и техните семейства;</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разрешаване на териториалната сегрегация чрез комплексен интегриран дългосрочен подход; предотвратяване на принудителните изселвания на етническа основа и предлагане на алтернативно жилище на изселените семейства (включително чрез инвестиции по линия на ЕСИФ), за да се избегнат бездомността и по-голяма степен на изключване; и</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въвеждане на гаранции за осигуряване на ефективен равен достъп на ромите до общи мерки и качествени услуги в областта на образованието, заетостта, здравеопазването и жилищното настаняване; отчитане на специфичните потребности на ромите в контекста на реформите на обществената политика.</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3.2 </w:t>
      </w:r>
      <w:r>
        <w:rPr>
          <w:noProof/>
        </w:rPr>
        <w:tab/>
      </w:r>
      <w:r>
        <w:rPr>
          <w:rFonts w:ascii="Times New Roman" w:hAnsi="Times New Roman"/>
          <w:b/>
          <w:noProof/>
        </w:rPr>
        <w:t>Използване на фондовете на ЕС</w:t>
      </w:r>
    </w:p>
    <w:p>
      <w:pPr>
        <w:keepNext/>
        <w:keepLines/>
        <w:tabs>
          <w:tab w:val="left" w:pos="8931"/>
        </w:tabs>
        <w:spacing w:after="60"/>
        <w:ind w:right="43"/>
        <w:jc w:val="both"/>
        <w:rPr>
          <w:rFonts w:ascii="Times New Roman" w:hAnsi="Times New Roman" w:cs="Times New Roman"/>
          <w:bCs/>
          <w:noProof/>
        </w:rPr>
      </w:pPr>
      <w:r>
        <w:rPr>
          <w:rFonts w:ascii="Times New Roman" w:hAnsi="Times New Roman"/>
          <w:noProof/>
        </w:rPr>
        <w:t>През периода 2014—2020 г. държавите членки разпределиха общо 42,3 милиарда евро от финансовите средства от ЕСИФ за насърчаване на социалното приобщаване и за борба с бедността и дискриминацията, което даде възможност за действия, насочени към хората в неравностойно социално положение (включително към ромите</w:t>
      </w:r>
      <w:r>
        <w:rPr>
          <w:rFonts w:ascii="Times New Roman" w:hAnsi="Times New Roman"/>
          <w:i/>
          <w:noProof/>
        </w:rPr>
        <w:t xml:space="preserve">, </w:t>
      </w:r>
      <w:r>
        <w:rPr>
          <w:rFonts w:ascii="Times New Roman" w:hAnsi="Times New Roman"/>
          <w:noProof/>
        </w:rPr>
        <w:t xml:space="preserve">но и към други групи):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rPr>
      </w:pPr>
      <w:r>
        <w:rPr>
          <w:rFonts w:ascii="Times New Roman" w:hAnsi="Times New Roman"/>
          <w:noProof/>
        </w:rPr>
        <w:t xml:space="preserve">21,2 милиарда евро от ЕСФ, т.е. 25,6 % от общия бюджет на ЕСФ — много над изисквания минимум от 20 % съгласно Регламента;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rPr>
      </w:pPr>
      <w:r>
        <w:rPr>
          <w:rFonts w:ascii="Times New Roman" w:hAnsi="Times New Roman"/>
          <w:noProof/>
        </w:rPr>
        <w:t xml:space="preserve">11,9 милиарда евро от ЕФРР; и </w:t>
      </w:r>
    </w:p>
    <w:p>
      <w:pPr>
        <w:pStyle w:val="ListParagraph"/>
        <w:numPr>
          <w:ilvl w:val="0"/>
          <w:numId w:val="37"/>
        </w:numPr>
        <w:tabs>
          <w:tab w:val="left" w:pos="8931"/>
        </w:tabs>
        <w:spacing w:after="60"/>
        <w:ind w:left="425" w:right="45" w:hanging="425"/>
        <w:contextualSpacing w:val="0"/>
        <w:jc w:val="both"/>
        <w:rPr>
          <w:rFonts w:ascii="Times New Roman" w:hAnsi="Times New Roman" w:cs="Times New Roman"/>
          <w:bCs/>
          <w:noProof/>
        </w:rPr>
      </w:pPr>
      <w:r>
        <w:rPr>
          <w:rFonts w:ascii="Times New Roman" w:hAnsi="Times New Roman"/>
          <w:noProof/>
        </w:rPr>
        <w:t>9,2 милиарда евро от Европейския земеделски фонд за развитие на селските райони (ЕЗФРСР).</w:t>
      </w:r>
    </w:p>
    <w:p>
      <w:pPr>
        <w:tabs>
          <w:tab w:val="left" w:pos="8931"/>
        </w:tabs>
        <w:spacing w:after="120"/>
        <w:ind w:right="45"/>
        <w:jc w:val="both"/>
        <w:rPr>
          <w:rFonts w:ascii="Times New Roman" w:hAnsi="Times New Roman" w:cs="Times New Roman"/>
          <w:bCs/>
          <w:noProof/>
          <w:spacing w:val="-4"/>
        </w:rPr>
      </w:pPr>
      <w:r>
        <w:rPr>
          <w:rFonts w:ascii="Times New Roman" w:hAnsi="Times New Roman"/>
          <w:noProof/>
          <w:spacing w:val="-4"/>
        </w:rPr>
        <w:t xml:space="preserve">12 държави членки отделиха 1,5 милиарда евро (т.е. 3,5 % от общите разпределени средства за социално приобщаване) за приоритета, </w:t>
      </w:r>
      <w:r>
        <w:rPr>
          <w:rFonts w:ascii="Times New Roman" w:hAnsi="Times New Roman"/>
          <w:b/>
          <w:noProof/>
          <w:color w:val="000000"/>
          <w:spacing w:val="-4"/>
        </w:rPr>
        <w:t>изрично насочен към представителите на ромското население</w:t>
      </w:r>
      <w:r>
        <w:rPr>
          <w:rFonts w:ascii="Times New Roman" w:hAnsi="Times New Roman"/>
          <w:noProof/>
          <w:spacing w:val="-4"/>
        </w:rPr>
        <w:t xml:space="preserve">. Освен това 11 държави членки разпределиха общо 447 милиона евро за борба с дискриминацията.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tc>
          <w:tcPr>
            <w:tcW w:w="3096" w:type="dxa"/>
            <w:shd w:val="clear" w:color="auto" w:fill="E6E6E6"/>
          </w:tcPr>
          <w:p>
            <w:pPr>
              <w:keepNext/>
              <w:keepLines/>
              <w:tabs>
                <w:tab w:val="left" w:pos="8931"/>
              </w:tabs>
              <w:spacing w:after="240"/>
              <w:ind w:right="45"/>
              <w:jc w:val="both"/>
              <w:rPr>
                <w:rFonts w:ascii="Times New Roman" w:eastAsia="Calibri" w:hAnsi="Times New Roman" w:cs="Times New Roman"/>
                <w:b/>
                <w:noProof/>
                <w:spacing w:val="-6"/>
                <w:sz w:val="18"/>
                <w:szCs w:val="18"/>
              </w:rPr>
            </w:pPr>
            <w:r>
              <w:rPr>
                <w:rFonts w:ascii="Times New Roman" w:hAnsi="Times New Roman"/>
                <w:b/>
                <w:noProof/>
                <w:spacing w:val="-6"/>
              </w:rPr>
              <w:t>Инвестиционен приоритет (ИП)</w:t>
            </w:r>
          </w:p>
        </w:tc>
        <w:tc>
          <w:tcPr>
            <w:tcW w:w="3096" w:type="dxa"/>
            <w:shd w:val="clear" w:color="auto" w:fill="E6E6E6"/>
          </w:tcPr>
          <w:p>
            <w:pPr>
              <w:tabs>
                <w:tab w:val="left" w:pos="8931"/>
              </w:tabs>
              <w:spacing w:after="240"/>
              <w:ind w:right="43"/>
              <w:jc w:val="both"/>
              <w:rPr>
                <w:rFonts w:ascii="Times New Roman" w:eastAsia="Calibri" w:hAnsi="Times New Roman" w:cs="Times New Roman"/>
                <w:b/>
                <w:noProof/>
                <w:spacing w:val="-6"/>
                <w:sz w:val="18"/>
                <w:szCs w:val="18"/>
              </w:rPr>
            </w:pPr>
            <w:r>
              <w:rPr>
                <w:rFonts w:ascii="Times New Roman" w:hAnsi="Times New Roman"/>
                <w:b/>
                <w:noProof/>
                <w:spacing w:val="-6"/>
              </w:rPr>
              <w:t>Държави членки, избрали ИП</w:t>
            </w:r>
          </w:p>
        </w:tc>
        <w:tc>
          <w:tcPr>
            <w:tcW w:w="3096" w:type="dxa"/>
            <w:shd w:val="clear" w:color="auto" w:fill="E6E6E6"/>
          </w:tcPr>
          <w:p>
            <w:pPr>
              <w:tabs>
                <w:tab w:val="left" w:pos="8931"/>
              </w:tabs>
              <w:spacing w:after="240"/>
              <w:ind w:right="43"/>
              <w:jc w:val="both"/>
              <w:rPr>
                <w:rFonts w:ascii="Times New Roman" w:eastAsia="Calibri" w:hAnsi="Times New Roman" w:cs="Times New Roman"/>
                <w:b/>
                <w:noProof/>
                <w:spacing w:val="-6"/>
                <w:sz w:val="18"/>
                <w:szCs w:val="18"/>
              </w:rPr>
            </w:pPr>
            <w:r>
              <w:rPr>
                <w:rFonts w:ascii="Times New Roman" w:hAnsi="Times New Roman"/>
                <w:b/>
                <w:noProof/>
                <w:spacing w:val="-6"/>
              </w:rPr>
              <w:t>Разпределени финансови средства</w:t>
            </w:r>
          </w:p>
        </w:tc>
      </w:tr>
      <w:tr>
        <w:tc>
          <w:tcPr>
            <w:tcW w:w="3096" w:type="dxa"/>
            <w:shd w:val="clear" w:color="auto" w:fill="auto"/>
          </w:tcPr>
          <w:p>
            <w:pPr>
              <w:keepNext/>
              <w:keepLines/>
              <w:tabs>
                <w:tab w:val="left" w:pos="8931"/>
              </w:tabs>
              <w:spacing w:after="240"/>
              <w:ind w:right="45"/>
              <w:jc w:val="both"/>
              <w:rPr>
                <w:rFonts w:ascii="Times New Roman" w:eastAsia="Calibri" w:hAnsi="Times New Roman" w:cs="Times New Roman"/>
                <w:noProof/>
                <w:spacing w:val="-6"/>
                <w:sz w:val="18"/>
                <w:szCs w:val="18"/>
              </w:rPr>
            </w:pPr>
            <w:r>
              <w:rPr>
                <w:rFonts w:ascii="Times New Roman" w:hAnsi="Times New Roman"/>
                <w:noProof/>
                <w:spacing w:val="-6"/>
              </w:rPr>
              <w:t>Социално-икономическа интеграция</w:t>
            </w:r>
            <w:r>
              <w:rPr>
                <w:rFonts w:ascii="Times New Roman" w:hAnsi="Times New Roman"/>
                <w:noProof/>
                <w:spacing w:val="-6"/>
                <w:lang w:val="it-IT"/>
              </w:rPr>
              <w:t> </w:t>
            </w:r>
            <w:r>
              <w:rPr>
                <w:rFonts w:ascii="Times New Roman" w:hAnsi="Times New Roman"/>
                <w:noProof/>
                <w:spacing w:val="-6"/>
              </w:rPr>
              <w:t>на маргинализирани общности, като ромите</w:t>
            </w:r>
          </w:p>
        </w:tc>
        <w:tc>
          <w:tcPr>
            <w:tcW w:w="3096" w:type="dxa"/>
            <w:shd w:val="clear" w:color="auto" w:fill="auto"/>
          </w:tcPr>
          <w:p>
            <w:pPr>
              <w:tabs>
                <w:tab w:val="left" w:pos="8931"/>
              </w:tabs>
              <w:spacing w:after="240"/>
              <w:ind w:right="43"/>
              <w:jc w:val="both"/>
              <w:rPr>
                <w:rFonts w:ascii="Times New Roman" w:eastAsia="Calibri" w:hAnsi="Times New Roman" w:cs="Times New Roman"/>
                <w:noProof/>
                <w:spacing w:val="-6"/>
                <w:sz w:val="18"/>
                <w:szCs w:val="18"/>
              </w:rPr>
            </w:pPr>
            <w:r>
              <w:rPr>
                <w:rFonts w:ascii="Times New Roman" w:hAnsi="Times New Roman"/>
                <w:noProof/>
                <w:spacing w:val="-6"/>
              </w:rPr>
              <w:t xml:space="preserve">Австрия, Белгия, България, Чешка република, Испания, Франция, Гърция, Унгария, Италия, Полша, Румъния, Словашка република </w:t>
            </w:r>
          </w:p>
        </w:tc>
        <w:tc>
          <w:tcPr>
            <w:tcW w:w="3096" w:type="dxa"/>
            <w:shd w:val="clear" w:color="auto" w:fill="auto"/>
          </w:tcPr>
          <w:p>
            <w:pPr>
              <w:tabs>
                <w:tab w:val="left" w:pos="8931"/>
              </w:tabs>
              <w:spacing w:after="240"/>
              <w:ind w:right="43"/>
              <w:jc w:val="both"/>
              <w:rPr>
                <w:rFonts w:ascii="Times New Roman" w:eastAsia="Calibri" w:hAnsi="Times New Roman" w:cs="Times New Roman"/>
                <w:noProof/>
                <w:spacing w:val="-6"/>
                <w:sz w:val="18"/>
                <w:szCs w:val="18"/>
              </w:rPr>
            </w:pPr>
            <w:r>
              <w:rPr>
                <w:rFonts w:ascii="Times New Roman" w:hAnsi="Times New Roman"/>
                <w:noProof/>
                <w:spacing w:val="-6"/>
              </w:rPr>
              <w:t xml:space="preserve">1,5 милиарда евро </w:t>
            </w:r>
          </w:p>
          <w:p>
            <w:pPr>
              <w:tabs>
                <w:tab w:val="left" w:pos="8931"/>
              </w:tabs>
              <w:spacing w:after="240"/>
              <w:ind w:right="43"/>
              <w:jc w:val="both"/>
              <w:rPr>
                <w:rFonts w:ascii="Times New Roman" w:eastAsia="Calibri" w:hAnsi="Times New Roman" w:cs="Times New Roman"/>
                <w:noProof/>
                <w:spacing w:val="-6"/>
                <w:sz w:val="18"/>
                <w:szCs w:val="18"/>
              </w:rPr>
            </w:pPr>
            <w:r>
              <w:rPr>
                <w:rFonts w:ascii="Times New Roman" w:hAnsi="Times New Roman"/>
                <w:noProof/>
                <w:spacing w:val="-6"/>
              </w:rPr>
              <w:t>По-голямата</w:t>
            </w:r>
            <w:r>
              <w:rPr>
                <w:rFonts w:ascii="Times New Roman" w:hAnsi="Times New Roman"/>
                <w:noProof/>
                <w:spacing w:val="-6"/>
                <w:lang w:val="it-IT"/>
              </w:rPr>
              <w:t> </w:t>
            </w:r>
            <w:r>
              <w:rPr>
                <w:rFonts w:ascii="Times New Roman" w:hAnsi="Times New Roman"/>
                <w:noProof/>
                <w:spacing w:val="-6"/>
              </w:rPr>
              <w:t>част</w:t>
            </w:r>
            <w:r>
              <w:rPr>
                <w:rFonts w:ascii="Times New Roman" w:hAnsi="Times New Roman"/>
                <w:noProof/>
                <w:spacing w:val="-6"/>
                <w:lang w:val="it-IT"/>
              </w:rPr>
              <w:t> </w:t>
            </w:r>
            <w:r>
              <w:rPr>
                <w:rFonts w:ascii="Times New Roman" w:hAnsi="Times New Roman"/>
                <w:noProof/>
                <w:spacing w:val="-6"/>
              </w:rPr>
              <w:t>от финансирането (1,2 милиарда евро)</w:t>
            </w:r>
            <w:r>
              <w:rPr>
                <w:rFonts w:ascii="Times New Roman" w:hAnsi="Times New Roman"/>
                <w:noProof/>
                <w:spacing w:val="-6"/>
                <w:lang w:val="it-IT"/>
              </w:rPr>
              <w:t> </w:t>
            </w:r>
            <w:r>
              <w:rPr>
                <w:rFonts w:ascii="Times New Roman" w:hAnsi="Times New Roman"/>
                <w:noProof/>
                <w:spacing w:val="-6"/>
              </w:rPr>
              <w:t>е концентрирана в България, Чешката република, Унгария и Румъния.</w:t>
            </w:r>
          </w:p>
        </w:tc>
      </w:tr>
      <w:tr>
        <w:tc>
          <w:tcPr>
            <w:tcW w:w="3096" w:type="dxa"/>
            <w:shd w:val="clear" w:color="auto" w:fill="auto"/>
          </w:tcPr>
          <w:p>
            <w:pPr>
              <w:keepNext/>
              <w:keepLines/>
              <w:tabs>
                <w:tab w:val="left" w:pos="8931"/>
              </w:tabs>
              <w:spacing w:after="240"/>
              <w:ind w:right="45"/>
              <w:jc w:val="both"/>
              <w:rPr>
                <w:rFonts w:ascii="Times New Roman" w:eastAsia="Calibri" w:hAnsi="Times New Roman" w:cs="Times New Roman"/>
                <w:noProof/>
                <w:spacing w:val="-6"/>
                <w:sz w:val="18"/>
                <w:szCs w:val="18"/>
              </w:rPr>
            </w:pPr>
            <w:r>
              <w:rPr>
                <w:rFonts w:ascii="Times New Roman" w:hAnsi="Times New Roman"/>
                <w:noProof/>
                <w:spacing w:val="-6"/>
              </w:rPr>
              <w:t>Борба с всички форми на дискриминация</w:t>
            </w:r>
            <w:r>
              <w:rPr>
                <w:rFonts w:ascii="Times New Roman" w:hAnsi="Times New Roman"/>
                <w:noProof/>
                <w:spacing w:val="-6"/>
                <w:lang w:val="it-IT"/>
              </w:rPr>
              <w:t> </w:t>
            </w:r>
            <w:r>
              <w:rPr>
                <w:rFonts w:ascii="Times New Roman" w:hAnsi="Times New Roman"/>
                <w:noProof/>
                <w:spacing w:val="-6"/>
              </w:rPr>
              <w:t>и насърчаване на равните възможности</w:t>
            </w:r>
          </w:p>
        </w:tc>
        <w:tc>
          <w:tcPr>
            <w:tcW w:w="3096" w:type="dxa"/>
            <w:shd w:val="clear" w:color="auto" w:fill="auto"/>
          </w:tcPr>
          <w:p>
            <w:pPr>
              <w:tabs>
                <w:tab w:val="left" w:pos="8931"/>
              </w:tabs>
              <w:spacing w:after="240"/>
              <w:ind w:right="43"/>
              <w:jc w:val="both"/>
              <w:rPr>
                <w:rFonts w:ascii="Times New Roman" w:eastAsia="Calibri" w:hAnsi="Times New Roman" w:cs="Times New Roman"/>
                <w:noProof/>
                <w:spacing w:val="-6"/>
                <w:sz w:val="18"/>
                <w:szCs w:val="18"/>
              </w:rPr>
            </w:pPr>
            <w:r>
              <w:rPr>
                <w:rFonts w:ascii="Times New Roman" w:hAnsi="Times New Roman"/>
                <w:noProof/>
                <w:spacing w:val="-6"/>
              </w:rPr>
              <w:t>Белгия, Германия, Гърция, Испания, Ирландия, Кипър, Полша,</w:t>
            </w:r>
            <w:r>
              <w:rPr>
                <w:rFonts w:ascii="Times New Roman" w:hAnsi="Times New Roman"/>
                <w:noProof/>
                <w:spacing w:val="-6"/>
                <w:lang w:val="it-IT"/>
              </w:rPr>
              <w:t> </w:t>
            </w:r>
            <w:r>
              <w:rPr>
                <w:rFonts w:ascii="Times New Roman" w:hAnsi="Times New Roman"/>
                <w:noProof/>
                <w:spacing w:val="-6"/>
              </w:rPr>
              <w:t>Португалия, Словашка</w:t>
            </w:r>
            <w:r>
              <w:rPr>
                <w:rFonts w:ascii="Times New Roman" w:hAnsi="Times New Roman"/>
                <w:noProof/>
                <w:spacing w:val="-6"/>
                <w:lang w:val="it-IT"/>
              </w:rPr>
              <w:t> </w:t>
            </w:r>
            <w:r>
              <w:rPr>
                <w:rFonts w:ascii="Times New Roman" w:hAnsi="Times New Roman"/>
                <w:noProof/>
                <w:spacing w:val="-6"/>
              </w:rPr>
              <w:t>република, Франция, Чешка република</w:t>
            </w:r>
          </w:p>
        </w:tc>
        <w:tc>
          <w:tcPr>
            <w:tcW w:w="3096" w:type="dxa"/>
            <w:shd w:val="clear" w:color="auto" w:fill="auto"/>
          </w:tcPr>
          <w:p>
            <w:pPr>
              <w:tabs>
                <w:tab w:val="left" w:pos="8931"/>
              </w:tabs>
              <w:spacing w:after="240"/>
              <w:ind w:right="43"/>
              <w:jc w:val="both"/>
              <w:rPr>
                <w:rFonts w:ascii="Times New Roman" w:hAnsi="Times New Roman" w:cs="Times New Roman"/>
                <w:bCs/>
                <w:noProof/>
                <w:spacing w:val="-6"/>
                <w:sz w:val="18"/>
                <w:szCs w:val="18"/>
              </w:rPr>
            </w:pPr>
            <w:r>
              <w:rPr>
                <w:rFonts w:ascii="Times New Roman" w:hAnsi="Times New Roman"/>
                <w:noProof/>
                <w:spacing w:val="-6"/>
              </w:rPr>
              <w:t>447 милиона евро</w:t>
            </w:r>
          </w:p>
        </w:tc>
      </w:tr>
    </w:tbl>
    <w:p>
      <w:pPr>
        <w:tabs>
          <w:tab w:val="left" w:pos="8931"/>
        </w:tabs>
        <w:spacing w:after="120"/>
        <w:ind w:right="45"/>
        <w:jc w:val="both"/>
        <w:rPr>
          <w:rFonts w:ascii="Times New Roman" w:hAnsi="Times New Roman" w:cs="Times New Roman"/>
          <w:bCs/>
          <w:noProof/>
        </w:rPr>
      </w:pPr>
      <w:r>
        <w:rPr>
          <w:rFonts w:ascii="Times New Roman" w:hAnsi="Times New Roman"/>
          <w:noProof/>
        </w:rPr>
        <w:t xml:space="preserve">Други приоритети от значение за социалното приобщаване са активното приобщаване, достъпът до финансово достъпни, устойчиви и висококачествени услуги на приемлива цена и здравна и социална инфраструктура. Ромите могат да бъдат подпомогнати също така по цел „образование“ (напр. образование в ранна детска възраст и начални училища) и по цел „заетост“ (като приоритетите от значение тук включват достъп до пазара на труда и социално предприемачество). Няколко държави членки разчитат основно на фондовете на ЕС, за да прилагат мерки за интегриране, без да осъществяват национални инвестиции или адекватно наблюдение на въздействието на финансираните от ЕСИФ дейности и съответно докладване. </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rPr>
      </w:pPr>
      <w:r>
        <w:rPr>
          <w:rFonts w:ascii="Times New Roman" w:hAnsi="Times New Roman"/>
          <w:b/>
          <w:noProof/>
          <w:color w:val="1D1D1D"/>
        </w:rPr>
        <w:t>Приоритети, на които държавите членки следва да обърнат внимание:</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осигуряване на устойчиво национално финансиране за мерките за интегриране;</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измерване на въздействието на мерките за интегриране върху равнището на образование и равнището на заетост сред ромите, премахването на сегрегацията, достъпа до здравеопазване, жилищно настаняване и качествени услуги и съответно докладване; и</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bCs/>
          <w:noProof/>
        </w:rPr>
      </w:pPr>
      <w:r>
        <w:rPr>
          <w:rFonts w:ascii="Times New Roman" w:hAnsi="Times New Roman"/>
          <w:noProof/>
        </w:rPr>
        <w:t>използване на финансовите средства за периода 2014—2020 г. за подобряване, разширяване и увеличаване на инициативите с по-малък мащаб, които са се оказали успешни през периода 2007—2013 г.</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3.3 </w:t>
      </w:r>
      <w:r>
        <w:rPr>
          <w:noProof/>
        </w:rPr>
        <w:tab/>
      </w:r>
      <w:r>
        <w:rPr>
          <w:rFonts w:ascii="Times New Roman" w:hAnsi="Times New Roman"/>
          <w:b/>
          <w:noProof/>
        </w:rPr>
        <w:t>Борба с дискриминацията</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Държавите членки са въвели правни рамки, забраняващи дискриминацията, „езика на омразата“ и престъпленията от омраза, но </w:t>
      </w:r>
      <w:r>
        <w:rPr>
          <w:rFonts w:ascii="Times New Roman" w:hAnsi="Times New Roman"/>
          <w:b/>
          <w:noProof/>
        </w:rPr>
        <w:t>прилагането на законодателството на ЕС</w:t>
      </w:r>
      <w:r>
        <w:rPr>
          <w:rFonts w:ascii="Times New Roman" w:hAnsi="Times New Roman"/>
          <w:noProof/>
        </w:rPr>
        <w:t xml:space="preserve"> по отношение на ромите остава сериозно предизвикателство. Като цяло положението не се е подобрило през годините. „Езикът на омразата“ и расизмът срещу ромите продължават да съществуват и са широко разпространени във всички основни области. „Езикът на омразата“ и престъпленията от омраза продължават да засягат значително ромската общност.</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Липсата на напредък може да се обясни с няколко </w:t>
      </w:r>
      <w:r>
        <w:rPr>
          <w:rFonts w:ascii="Times New Roman" w:hAnsi="Times New Roman"/>
          <w:b/>
          <w:noProof/>
        </w:rPr>
        <w:t>предизвикателства, които продължават да са налице</w:t>
      </w:r>
      <w:r>
        <w:rPr>
          <w:rFonts w:ascii="Times New Roman" w:hAnsi="Times New Roman"/>
          <w:noProof/>
        </w:rPr>
        <w:t>, в това число:</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липса на политическа воля на национално, регионално и местно равнище за гарантиране на недискриминация и равно третиране;</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административни практики, които могат да доведат до дискриминационни практики или сегрегация;</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липса на данни;</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незадоволително докладване;</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 xml:space="preserve">оскъдност на установена съдебна практика; и </w:t>
      </w:r>
    </w:p>
    <w:p>
      <w:pPr>
        <w:pStyle w:val="ListParagraph"/>
        <w:numPr>
          <w:ilvl w:val="0"/>
          <w:numId w:val="44"/>
        </w:numPr>
        <w:tabs>
          <w:tab w:val="left" w:pos="8931"/>
        </w:tabs>
        <w:spacing w:after="60"/>
        <w:ind w:left="426" w:right="45" w:hanging="425"/>
        <w:contextualSpacing w:val="0"/>
        <w:jc w:val="both"/>
        <w:rPr>
          <w:rFonts w:ascii="Times New Roman" w:eastAsia="Times New Roman" w:hAnsi="Times New Roman" w:cs="Times New Roman"/>
          <w:noProof/>
        </w:rPr>
      </w:pPr>
      <w:r>
        <w:rPr>
          <w:rFonts w:ascii="Times New Roman" w:hAnsi="Times New Roman"/>
          <w:noProof/>
        </w:rPr>
        <w:t>недостатъчна защита на ромите — жертви на дискриминация и престъпления от омраза.</w:t>
      </w:r>
    </w:p>
    <w:p>
      <w:pPr>
        <w:tabs>
          <w:tab w:val="left" w:pos="8931"/>
        </w:tabs>
        <w:spacing w:after="120"/>
        <w:ind w:right="45"/>
        <w:jc w:val="both"/>
        <w:rPr>
          <w:rFonts w:ascii="Times New Roman" w:hAnsi="Times New Roman" w:cs="Times New Roman"/>
          <w:b/>
          <w:noProof/>
          <w:u w:val="single"/>
        </w:rPr>
      </w:pPr>
      <w:r>
        <w:rPr>
          <w:rFonts w:ascii="Times New Roman" w:hAnsi="Times New Roman"/>
          <w:noProof/>
          <w:color w:val="1D1D1D"/>
        </w:rPr>
        <w:t xml:space="preserve">Въпреки липсата на напредък следва да се посочат някои </w:t>
      </w:r>
      <w:r>
        <w:rPr>
          <w:rFonts w:ascii="Times New Roman" w:hAnsi="Times New Roman"/>
          <w:b/>
          <w:noProof/>
          <w:color w:val="1D1D1D"/>
        </w:rPr>
        <w:t>положителни тенденции</w:t>
      </w:r>
      <w:r>
        <w:rPr>
          <w:rFonts w:ascii="Times New Roman" w:hAnsi="Times New Roman"/>
          <w:noProof/>
          <w:color w:val="1D1D1D"/>
        </w:rPr>
        <w:t>:</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приемането на ново законодателство и/или важни законодателни изменения, които имат пряко въздействие върху ромите, и по-специално в областта на образованието (Хърватия, Чешка република, Гърция, Унгария, Румъния и Словашка република);</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по-голямо сътрудничество и работа в мрежа между основните участници, като национални звена за контакт по въпросите на ромите, органи по въпросите на равенството, юристи, държавни служители, полиция, доставчици на услуги (включително учители), общини и членове на ромските общности;</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усилия от страна на националните орган по въпросите на равенството за подкрепа на жертвите от ромски произход;</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превенция, повишаване на осведомеността, насърчаване на стандарти и дейности за борба с дискриминацията, с които </w:t>
      </w:r>
      <w:r>
        <w:rPr>
          <w:rFonts w:ascii="Times New Roman" w:hAnsi="Times New Roman" w:cs="Times New Roman"/>
          <w:noProof/>
        </w:rPr>
        <w:t>се насочва общественото внимание към положението на ромите, включително към възможната уязвимост на ромите да станат жертва на трафик на хора, насърчаване на най-добри практики за предотвратяване на престъпления от омраза, „език на омразата“ и отрицателни стереотипи; и</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прилагане на националната съдебна практика в областта на дискриминацията (въпреки че в много държави членки не се предприемат подходящи последващи действия във връзка със съдебните постановления и решения, с които се установяват случаи на дискриминация срещу ромите).</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Комисията подпомага усилията на държавите членки по редица начини, включително като предприема дейности за засилване на ролята на националните органи по въпросите на равенството и за насърчаване на събирането на данни относно равенството.</w:t>
      </w:r>
    </w:p>
    <w:p>
      <w:pPr>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rPr>
      </w:pPr>
      <w:r>
        <w:rPr>
          <w:rFonts w:ascii="Times New Roman" w:hAnsi="Times New Roman"/>
          <w:b/>
          <w:noProof/>
          <w:color w:val="1D1D1D"/>
        </w:rPr>
        <w:t>Приоритети, на които държавите членки следва да обърнат внимание:</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пълно транспониране и изпълнение на законодателството и гаранциите в областта на борбата с дискриминацията и расизма например чрез насоки, които да се прилагат на регионално и местно равнище;</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подкрепа за създаването и функционирането на ефективни и независими органи по въпросите на равенството; както и</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 xml:space="preserve">борба с антиромските настроения чрез конкретни мерки, насочени към преобладаващото население и заинтересованите страни от преобладаващото население, за предотвратяване на отрицателните стереотипи и стигматизацията на ромското общество, и подкрепа за гражданското общество. </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3.4 </w:t>
      </w:r>
      <w:r>
        <w:rPr>
          <w:noProof/>
        </w:rPr>
        <w:tab/>
      </w:r>
      <w:r>
        <w:rPr>
          <w:rFonts w:ascii="Times New Roman" w:hAnsi="Times New Roman"/>
          <w:b/>
          <w:noProof/>
        </w:rPr>
        <w:t xml:space="preserve">Участие на всички заинтересовани страни на национално равнище </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В резултат на насоките на Комисията държавите членки започнаха да установяват структурните предпоставки за успешното изпълнение на своите стратегии, включително за </w:t>
      </w:r>
      <w:r>
        <w:rPr>
          <w:rFonts w:ascii="Times New Roman" w:hAnsi="Times New Roman"/>
          <w:b/>
          <w:noProof/>
        </w:rPr>
        <w:t>координация и сътрудничество</w:t>
      </w:r>
      <w:r>
        <w:rPr>
          <w:rFonts w:ascii="Times New Roman" w:hAnsi="Times New Roman"/>
          <w:noProof/>
        </w:rPr>
        <w:t xml:space="preserve"> със съответните заинтересовани страни. Те започнаха да инвестират в действия за координация на вътрешните политики, стратегическо планиране и диалог със заинтересованите страни. В рамките на своите съответни административни структури те определиха национални звена за контакт по въпросите на ромите, които да координират политиките, свързани с ромите. Националните звена за контакт по въпросите на ромите се ангажират все повече с координацията и те допринасят за създаването на политики и използването на национални средства и средства от ЕС. Подобряването на техните човешки и финансови ресурси ще им позволи да изпълняват своите задачи по-ефективно. </w:t>
      </w:r>
    </w:p>
    <w:p>
      <w:pPr>
        <w:tabs>
          <w:tab w:val="left" w:pos="8931"/>
        </w:tabs>
        <w:spacing w:after="120"/>
        <w:ind w:right="45"/>
        <w:jc w:val="both"/>
        <w:rPr>
          <w:rFonts w:ascii="Times New Roman" w:eastAsia="Times New Roman" w:hAnsi="Times New Roman" w:cs="Times New Roman"/>
          <w:noProof/>
        </w:rPr>
      </w:pPr>
      <w:r>
        <w:rPr>
          <w:rFonts w:ascii="Times New Roman" w:hAnsi="Times New Roman"/>
          <w:noProof/>
        </w:rPr>
        <w:t xml:space="preserve">Повечето държави членки създадоха механизми за координация на усилията за приобщаване на ромите. Благодарение на финансовата подкрепа от ЕС за развитието на националните платформи за приобщаване на ромите структурите за водене на диалог се подобриха значително. Като цяло, до този момент 15 държави членки са се възползвали от това и са разработили национални процеси за консултация, организирани и ръководени от националните звена за контакт по въпросите на ромите. Въпреки това продължават да са налице важни пречки, като липса на капацитет и устойчиво финансиране, недостатъчно прозрачно и всеобхватно </w:t>
      </w:r>
      <w:r>
        <w:rPr>
          <w:rFonts w:ascii="Times New Roman" w:hAnsi="Times New Roman"/>
          <w:b/>
          <w:noProof/>
        </w:rPr>
        <w:t>участие на гражданското общество</w:t>
      </w:r>
      <w:r>
        <w:rPr>
          <w:rFonts w:ascii="Times New Roman" w:hAnsi="Times New Roman"/>
          <w:noProof/>
        </w:rPr>
        <w:t xml:space="preserve"> и </w:t>
      </w:r>
      <w:r>
        <w:rPr>
          <w:rFonts w:ascii="Times New Roman" w:hAnsi="Times New Roman"/>
          <w:b/>
          <w:noProof/>
        </w:rPr>
        <w:t xml:space="preserve">ограничен административен капацитет на местните органи </w:t>
      </w:r>
      <w:r>
        <w:rPr>
          <w:rFonts w:ascii="Times New Roman" w:hAnsi="Times New Roman"/>
          <w:noProof/>
        </w:rPr>
        <w:t xml:space="preserve">за прилагане на устойчиви интегрирани мерки. </w:t>
      </w:r>
    </w:p>
    <w:p>
      <w:pPr>
        <w:tabs>
          <w:tab w:val="left" w:pos="8931"/>
        </w:tabs>
        <w:spacing w:after="120"/>
        <w:ind w:right="45"/>
        <w:jc w:val="both"/>
        <w:rPr>
          <w:rFonts w:ascii="Times New Roman" w:eastAsia="Times New Roman" w:hAnsi="Times New Roman" w:cs="Times New Roman"/>
          <w:noProof/>
        </w:rPr>
      </w:pPr>
      <w:r>
        <w:rPr>
          <w:rFonts w:ascii="Times New Roman" w:hAnsi="Times New Roman"/>
          <w:b/>
          <w:noProof/>
        </w:rPr>
        <w:t>Ромските младежи</w:t>
      </w:r>
      <w:r>
        <w:rPr>
          <w:rFonts w:ascii="Times New Roman" w:hAnsi="Times New Roman"/>
          <w:noProof/>
        </w:rPr>
        <w:t xml:space="preserve"> биха могли да се насърчат още повече да участват активно при разработването на политики, които имат пряко въздействие върху тях. Въпреки че в повечето държави членки положението на децата и жените от ромски произход е обхванато от общите политики, необходими са също така и целенасочени действия.</w:t>
      </w:r>
    </w:p>
    <w:p>
      <w:pPr>
        <w:pStyle w:val="CommentText"/>
        <w:keepNext/>
        <w:keepLines/>
        <w:pBdr>
          <w:top w:val="single" w:sz="4" w:space="1" w:color="auto"/>
          <w:left w:val="single" w:sz="4" w:space="4" w:color="auto"/>
          <w:bottom w:val="single" w:sz="4" w:space="1" w:color="auto"/>
          <w:right w:val="single" w:sz="4" w:space="4" w:color="auto"/>
        </w:pBdr>
        <w:tabs>
          <w:tab w:val="left" w:pos="8931"/>
        </w:tabs>
        <w:spacing w:after="120"/>
        <w:ind w:right="45"/>
        <w:jc w:val="both"/>
        <w:rPr>
          <w:rFonts w:ascii="Times New Roman" w:hAnsi="Times New Roman" w:cs="Times New Roman"/>
          <w:bCs/>
          <w:noProof/>
        </w:rPr>
      </w:pPr>
      <w:r>
        <w:rPr>
          <w:rFonts w:ascii="Times New Roman" w:hAnsi="Times New Roman"/>
          <w:b/>
          <w:noProof/>
          <w:color w:val="1D1D1D"/>
        </w:rPr>
        <w:t>Приоритети, на които държавите членки да обърнат внимание:</w:t>
      </w:r>
    </w:p>
    <w:p>
      <w:pPr>
        <w:pStyle w:val="CommentText"/>
        <w:keepNext/>
        <w:keepLines/>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увеличаване на човешките и финансовите ресурси на националните звена за контакт по въпросите на ромите и засилване на тяхната координираща роля;</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noProof/>
        </w:rPr>
      </w:pPr>
      <w:r>
        <w:rPr>
          <w:rFonts w:ascii="Times New Roman" w:hAnsi="Times New Roman"/>
          <w:noProof/>
        </w:rPr>
        <w:t>насърчаване на изграждането на капацитет, устойчивото финансиране и прозрачното и пълноценното участие на ромите, гражданското общество и местните органи; и</w:t>
      </w:r>
    </w:p>
    <w:p>
      <w:pPr>
        <w:pStyle w:val="CommentText"/>
        <w:numPr>
          <w:ilvl w:val="0"/>
          <w:numId w:val="36"/>
        </w:numPr>
        <w:pBdr>
          <w:top w:val="single" w:sz="4" w:space="1" w:color="auto"/>
          <w:left w:val="single" w:sz="4" w:space="4" w:color="auto"/>
          <w:bottom w:val="single" w:sz="4" w:space="1" w:color="auto"/>
          <w:right w:val="single" w:sz="4" w:space="4" w:color="auto"/>
        </w:pBdr>
        <w:tabs>
          <w:tab w:val="left" w:pos="8931"/>
        </w:tabs>
        <w:spacing w:after="120"/>
        <w:ind w:left="426" w:right="45" w:hanging="426"/>
        <w:jc w:val="both"/>
        <w:rPr>
          <w:rFonts w:ascii="Times New Roman" w:hAnsi="Times New Roman" w:cs="Times New Roman"/>
          <w:bCs/>
          <w:noProof/>
        </w:rPr>
      </w:pPr>
      <w:r>
        <w:rPr>
          <w:rFonts w:ascii="Times New Roman" w:hAnsi="Times New Roman"/>
          <w:noProof/>
        </w:rPr>
        <w:t>овластяване на ромските младежи, деца и жени като активни участници в процеса на приобщаване.</w:t>
      </w:r>
    </w:p>
    <w:p>
      <w:pPr>
        <w:tabs>
          <w:tab w:val="left" w:pos="8931"/>
        </w:tabs>
        <w:spacing w:before="240" w:after="240"/>
        <w:ind w:left="567" w:right="45" w:hanging="567"/>
        <w:rPr>
          <w:rFonts w:ascii="Times New Roman" w:hAnsi="Times New Roman" w:cs="Times New Roman"/>
          <w:b/>
          <w:smallCaps/>
          <w:noProof/>
          <w:sz w:val="20"/>
          <w:szCs w:val="20"/>
        </w:rPr>
      </w:pPr>
      <w:r>
        <w:rPr>
          <w:rFonts w:ascii="Times New Roman" w:hAnsi="Times New Roman"/>
          <w:b/>
          <w:smallCaps/>
          <w:noProof/>
        </w:rPr>
        <w:t xml:space="preserve">4. </w:t>
      </w:r>
      <w:r>
        <w:rPr>
          <w:noProof/>
        </w:rPr>
        <w:tab/>
      </w:r>
      <w:r>
        <w:rPr>
          <w:rFonts w:ascii="Times New Roman" w:hAnsi="Times New Roman"/>
          <w:b/>
          <w:smallCaps/>
          <w:noProof/>
        </w:rPr>
        <w:t xml:space="preserve">Оценка на заинтересованите страни на постиженията и предизвикателствата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Комисията покани европейски и национални НПО, международни организации, експерти и национални звена за контакт по въпросите на ромите, да дадат своята оценка за основните силни и слаби страни на рамката на ЕС и да предложат начини за подобряването ѝ и приоритети за действие. Анализът на техните становища разкри силен консенсус относно постиженията, предизвикателствата и приоритетите на европейско и национално равнище, което показва, че заинтересованите страни оценяват предприетите до този момент мерки, но те биха желали да видят допълнителни реформи/постижения при преодоляването на предизвикателствата. </w:t>
      </w:r>
    </w:p>
    <w:p>
      <w:pPr>
        <w:keepNext/>
        <w:keepLines/>
        <w:tabs>
          <w:tab w:val="left" w:pos="8931"/>
        </w:tabs>
        <w:spacing w:before="120" w:after="240"/>
        <w:ind w:left="567" w:right="45" w:hanging="567"/>
        <w:jc w:val="both"/>
        <w:rPr>
          <w:rFonts w:ascii="Times New Roman" w:hAnsi="Times New Roman" w:cs="Times New Roman"/>
          <w:b/>
          <w:noProof/>
        </w:rPr>
      </w:pPr>
      <w:r>
        <w:rPr>
          <w:rFonts w:ascii="Times New Roman" w:hAnsi="Times New Roman"/>
          <w:b/>
          <w:noProof/>
        </w:rPr>
        <w:t xml:space="preserve">4.1 </w:t>
      </w:r>
      <w:r>
        <w:rPr>
          <w:noProof/>
        </w:rPr>
        <w:tab/>
      </w:r>
      <w:r>
        <w:rPr>
          <w:rFonts w:ascii="Times New Roman" w:hAnsi="Times New Roman"/>
          <w:b/>
          <w:noProof/>
        </w:rPr>
        <w:t xml:space="preserve">Постижения </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Налице е </w:t>
      </w:r>
      <w:r>
        <w:rPr>
          <w:rFonts w:ascii="Times New Roman" w:hAnsi="Times New Roman"/>
          <w:noProof/>
        </w:rPr>
        <w:t>широк</w:t>
      </w:r>
      <w:r>
        <w:rPr>
          <w:rFonts w:ascii="Times New Roman" w:hAnsi="Times New Roman"/>
          <w:noProof/>
          <w:color w:val="000000"/>
        </w:rPr>
        <w:t xml:space="preserve"> консенсус, че най-голямото постижение на рамката на ЕС е утвърждаването на приобщаването на ромите като приоритет в </w:t>
      </w:r>
      <w:r>
        <w:rPr>
          <w:rFonts w:ascii="Times New Roman" w:hAnsi="Times New Roman"/>
          <w:noProof/>
        </w:rPr>
        <w:t xml:space="preserve">европейските и националните политически програми, което създаде </w:t>
      </w:r>
      <w:r>
        <w:rPr>
          <w:rFonts w:ascii="Times New Roman" w:hAnsi="Times New Roman"/>
          <w:b/>
          <w:noProof/>
          <w:color w:val="000000"/>
        </w:rPr>
        <w:t>политически ангажимент</w:t>
      </w:r>
      <w:r>
        <w:rPr>
          <w:rFonts w:ascii="Times New Roman" w:hAnsi="Times New Roman"/>
          <w:noProof/>
          <w:color w:val="000000"/>
        </w:rPr>
        <w:t xml:space="preserve"> за конкретни широкомащабни и дългосрочни интегрирани действия</w:t>
      </w:r>
      <w:r>
        <w:rPr>
          <w:rFonts w:ascii="Times New Roman" w:hAnsi="Times New Roman"/>
          <w:noProof/>
        </w:rPr>
        <w:t xml:space="preserve">. Голяма част от заинтересованите страни считат, че годишното </w:t>
      </w:r>
      <w:r>
        <w:rPr>
          <w:rFonts w:ascii="Times New Roman" w:hAnsi="Times New Roman"/>
          <w:b/>
          <w:noProof/>
        </w:rPr>
        <w:t>наблюдение и докладване</w:t>
      </w:r>
      <w:r>
        <w:rPr>
          <w:rFonts w:ascii="Times New Roman" w:hAnsi="Times New Roman"/>
          <w:noProof/>
        </w:rPr>
        <w:t xml:space="preserve"> от страна на Комисията, целенасочените насоки на политиката за държавите членки, събирането на данни и въведеното наскоро задължение за докладване за държавите членки са от изключително значение за поддържането на този въпрос на дневния ред на политиката и за подобряването на разработването на политики въз основа на знания и обективни факти.</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Друг признат резултат е мобилизирането на основните </w:t>
      </w:r>
      <w:r>
        <w:rPr>
          <w:rFonts w:ascii="Times New Roman" w:hAnsi="Times New Roman"/>
          <w:b/>
          <w:noProof/>
        </w:rPr>
        <w:t xml:space="preserve">европейски правни и финансови инструменти и инструменти на политиката. </w:t>
      </w:r>
      <w:r>
        <w:rPr>
          <w:rFonts w:ascii="Times New Roman" w:hAnsi="Times New Roman"/>
          <w:noProof/>
          <w:color w:val="000000"/>
        </w:rPr>
        <w:t xml:space="preserve">Заинтересованите страни придават голямо значение на ангажимента на Комисията за засилване на </w:t>
      </w:r>
      <w:r>
        <w:rPr>
          <w:rFonts w:ascii="Times New Roman" w:hAnsi="Times New Roman"/>
          <w:b/>
          <w:noProof/>
        </w:rPr>
        <w:t>забраната за дискриминация</w:t>
      </w:r>
      <w:r>
        <w:rPr>
          <w:rFonts w:ascii="Times New Roman" w:hAnsi="Times New Roman"/>
          <w:noProof/>
          <w:color w:val="000000"/>
        </w:rPr>
        <w:t xml:space="preserve"> и на нейния стремеж към </w:t>
      </w:r>
      <w:r>
        <w:rPr>
          <w:rFonts w:ascii="Times New Roman" w:hAnsi="Times New Roman"/>
          <w:b/>
          <w:noProof/>
        </w:rPr>
        <w:t>приобщаваща реформа</w:t>
      </w:r>
      <w:r>
        <w:rPr>
          <w:rFonts w:ascii="Times New Roman" w:hAnsi="Times New Roman"/>
          <w:noProof/>
          <w:color w:val="000000"/>
        </w:rPr>
        <w:t xml:space="preserve"> на основните политики (чрез специфични за всяка държава препоръки в контекста на европейския семестър)</w:t>
      </w:r>
      <w:r>
        <w:rPr>
          <w:noProof/>
        </w:rPr>
        <w:t>.</w:t>
      </w:r>
      <w:r>
        <w:rPr>
          <w:rFonts w:ascii="Times New Roman" w:hAnsi="Times New Roman"/>
          <w:noProof/>
          <w:color w:val="000000"/>
        </w:rPr>
        <w:t xml:space="preserve"> За още по-важно се счита съгласуването на </w:t>
      </w:r>
      <w:r>
        <w:rPr>
          <w:rFonts w:ascii="Times New Roman" w:hAnsi="Times New Roman"/>
          <w:b/>
          <w:noProof/>
          <w:color w:val="000000"/>
        </w:rPr>
        <w:t>финансирането от ЕС</w:t>
      </w:r>
      <w:r>
        <w:rPr>
          <w:rFonts w:ascii="Times New Roman" w:hAnsi="Times New Roman"/>
          <w:noProof/>
          <w:color w:val="000000"/>
        </w:rPr>
        <w:t xml:space="preserve"> с приоритетите на политиката за периода 2014—2020 г. Най-голямо признание получават новият инвестиционен приоритет, насочен специално към ромите, свързаните предварителни условия и принципът на партньорство съгласно европейския кодекс на поведение.</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Признават се и усилията по разработването на европейски и национални </w:t>
      </w:r>
      <w:r>
        <w:rPr>
          <w:rFonts w:ascii="Times New Roman" w:hAnsi="Times New Roman"/>
          <w:b/>
          <w:noProof/>
          <w:color w:val="000000"/>
        </w:rPr>
        <w:t>координационни</w:t>
      </w:r>
      <w:r>
        <w:rPr>
          <w:rFonts w:ascii="Times New Roman" w:hAnsi="Times New Roman"/>
          <w:noProof/>
          <w:color w:val="000000"/>
        </w:rPr>
        <w:t xml:space="preserve"> </w:t>
      </w:r>
      <w:r>
        <w:rPr>
          <w:rFonts w:ascii="Times New Roman" w:hAnsi="Times New Roman"/>
          <w:b/>
          <w:noProof/>
          <w:color w:val="000000"/>
        </w:rPr>
        <w:t>структури</w:t>
      </w:r>
      <w:r>
        <w:rPr>
          <w:rFonts w:ascii="Times New Roman" w:hAnsi="Times New Roman"/>
          <w:noProof/>
          <w:color w:val="000000"/>
        </w:rPr>
        <w:t xml:space="preserve">, което дава възможност за участие на ромите, и сътрудничеството между заинтересованите страни. Приветства се определянето на национални звена за контакт по въпросите на ромите, които да координират разработването, междусекторното изпълнение и наблюдението на НСИР, както и тяхното все по-голямо участие при планирането и използването на ЕСИФ и общите политики. Други посочени силни страни са създадената през 2009 г. европейска платформа за приобщаване на ромите и създадените през 2015 г. национални платформи, както и ролята на органите по въпросите на равенството при борбата с дискриминация. </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На последно място, признава се фактът, че с времето рамката на ЕС беше адаптирана, за да отговори на възникващите приоритети и пропуски. По-специално на преден план изпъкват все по-широкото признание на равнище ЕС на явлението </w:t>
      </w:r>
      <w:r>
        <w:rPr>
          <w:rFonts w:ascii="Times New Roman" w:hAnsi="Times New Roman"/>
          <w:b/>
          <w:noProof/>
          <w:color w:val="000000"/>
        </w:rPr>
        <w:t>антиромски настроения</w:t>
      </w:r>
      <w:r>
        <w:rPr>
          <w:rFonts w:ascii="Times New Roman" w:hAnsi="Times New Roman"/>
          <w:noProof/>
          <w:color w:val="000000"/>
        </w:rPr>
        <w:t xml:space="preserve"> и разширяването на рамката с </w:t>
      </w:r>
      <w:r>
        <w:rPr>
          <w:rFonts w:ascii="Times New Roman" w:hAnsi="Times New Roman"/>
          <w:b/>
          <w:noProof/>
          <w:color w:val="000000"/>
        </w:rPr>
        <w:t>нови области</w:t>
      </w:r>
      <w:r>
        <w:rPr>
          <w:rFonts w:ascii="Times New Roman" w:hAnsi="Times New Roman"/>
          <w:noProof/>
          <w:color w:val="000000"/>
        </w:rPr>
        <w:t xml:space="preserve"> чрез препоръката на Съвета.</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По отношение на конкретните постижения на НСИР националните звена за контакт по въпросите на ромите подчертават напредъка по </w:t>
      </w:r>
      <w:r>
        <w:rPr>
          <w:rFonts w:ascii="Times New Roman" w:hAnsi="Times New Roman"/>
          <w:b/>
          <w:noProof/>
          <w:color w:val="000000"/>
        </w:rPr>
        <w:t>хоризонталните и структурните предпоставки</w:t>
      </w:r>
      <w:r>
        <w:rPr>
          <w:rFonts w:ascii="Times New Roman" w:hAnsi="Times New Roman"/>
          <w:noProof/>
          <w:color w:val="000000"/>
        </w:rPr>
        <w:t xml:space="preserve"> за изпълнението: </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преразглеждане на стратегиите за интегриране на ромите;</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включване на приобщаването на ромите в други области;</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изготвяне на местни планове за действие;</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по-голямо участие на местните органи;</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развитие на знанията (проучвания, насоки, обучение);</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признаване на ромското малцинство, език, култура и история;</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създаване на координационни структури;</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участие на ромите; както и </w:t>
      </w:r>
    </w:p>
    <w:p>
      <w:pPr>
        <w:pStyle w:val="ListParagraph"/>
        <w:numPr>
          <w:ilvl w:val="0"/>
          <w:numId w:val="39"/>
        </w:numPr>
        <w:tabs>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законодателна реформа. </w:t>
      </w:r>
    </w:p>
    <w:p>
      <w:pPr>
        <w:tabs>
          <w:tab w:val="left" w:pos="8931"/>
        </w:tabs>
        <w:spacing w:after="240"/>
        <w:ind w:left="66" w:right="43"/>
        <w:jc w:val="both"/>
        <w:rPr>
          <w:rFonts w:ascii="Times New Roman" w:eastAsia="Times New Roman" w:hAnsi="Times New Roman" w:cs="Times New Roman"/>
          <w:bCs/>
          <w:noProof/>
          <w:color w:val="000000"/>
        </w:rPr>
      </w:pPr>
      <w:r>
        <w:rPr>
          <w:rFonts w:ascii="Times New Roman" w:hAnsi="Times New Roman"/>
          <w:noProof/>
          <w:color w:val="000000"/>
        </w:rPr>
        <w:t>Много по-рядко се посочва конкретен напредък по отношение на положението на ромите.</w:t>
      </w:r>
    </w:p>
    <w:p>
      <w:pPr>
        <w:keepNext/>
        <w:keepLines/>
        <w:tabs>
          <w:tab w:val="left" w:pos="8931"/>
        </w:tabs>
        <w:spacing w:before="240" w:after="240"/>
        <w:ind w:left="567" w:right="45" w:hanging="567"/>
        <w:jc w:val="both"/>
        <w:rPr>
          <w:rFonts w:ascii="Times New Roman" w:hAnsi="Times New Roman" w:cs="Times New Roman"/>
          <w:b/>
          <w:noProof/>
        </w:rPr>
      </w:pPr>
      <w:r>
        <w:rPr>
          <w:rFonts w:ascii="Times New Roman" w:hAnsi="Times New Roman"/>
          <w:b/>
          <w:noProof/>
        </w:rPr>
        <w:t xml:space="preserve">4.2 </w:t>
      </w:r>
      <w:r>
        <w:rPr>
          <w:noProof/>
        </w:rPr>
        <w:tab/>
      </w:r>
      <w:r>
        <w:rPr>
          <w:rFonts w:ascii="Times New Roman" w:hAnsi="Times New Roman"/>
          <w:b/>
          <w:noProof/>
        </w:rPr>
        <w:t>Предизвикателства и приоритети</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Най-важното и основно предизвикателство и приоритет е все още ограниченото въздействие на рамката на ЕС върху подобряването на </w:t>
      </w:r>
      <w:r>
        <w:rPr>
          <w:rFonts w:ascii="Times New Roman" w:hAnsi="Times New Roman"/>
          <w:b/>
          <w:noProof/>
          <w:color w:val="000000"/>
        </w:rPr>
        <w:t>положението на ромите</w:t>
      </w:r>
      <w:r>
        <w:rPr>
          <w:rFonts w:ascii="Times New Roman" w:hAnsi="Times New Roman"/>
          <w:noProof/>
          <w:color w:val="000000"/>
        </w:rPr>
        <w:t xml:space="preserve">. Това често е свързано с външни фактори, като икономическата криза или тревожното нарастване на ксенофобията и появата на националистически, популистки политически движения. Други изтъкнати фактори са липсата на ангажимент и капацитет на местно равнище за изпълнение на мерки за интегриране и достъп до финансиране. </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Посочените предизвикателства подчертават продължаващото значение на </w:t>
      </w:r>
      <w:r>
        <w:rPr>
          <w:rFonts w:ascii="Times New Roman" w:hAnsi="Times New Roman"/>
          <w:b/>
          <w:noProof/>
          <w:color w:val="000000"/>
        </w:rPr>
        <w:t>основните области на политиката</w:t>
      </w:r>
      <w:r>
        <w:rPr>
          <w:rFonts w:ascii="Times New Roman" w:hAnsi="Times New Roman"/>
          <w:noProof/>
          <w:color w:val="000000"/>
        </w:rPr>
        <w:t xml:space="preserve">. Повечето заинтересовани страни поставят акцент върху образованието (по-специално образованието в ранна детска възраст и премахването на сегрегацията) и върху жилищното настаняване (по-специално принудителните изселвания и териториалната сегрегация). Посочват се също така преобразуването на подобренията, постигнати по отношение на пригодността за заетост, в реална трудова заетост и гарантирането на достъп до основни здравни услуги. Много заинтересовани страни от гражданското общество считат, че поставянето на по-голям акцент върху борбата с дискриминацията, и по-специално върху </w:t>
      </w:r>
      <w:r>
        <w:rPr>
          <w:rFonts w:ascii="Times New Roman" w:hAnsi="Times New Roman"/>
          <w:b/>
          <w:noProof/>
          <w:color w:val="000000"/>
        </w:rPr>
        <w:t>антиромските настроения</w:t>
      </w:r>
      <w:r>
        <w:rPr>
          <w:rFonts w:ascii="Times New Roman" w:hAnsi="Times New Roman"/>
          <w:noProof/>
          <w:color w:val="000000"/>
        </w:rPr>
        <w:t xml:space="preserve"> като първопричина за изключването на ромите, би било от полза за рамката на ЕС.</w:t>
      </w:r>
    </w:p>
    <w:p>
      <w:pPr>
        <w:tabs>
          <w:tab w:val="left" w:pos="8931"/>
        </w:tabs>
        <w:spacing w:after="120"/>
        <w:ind w:right="45"/>
        <w:jc w:val="both"/>
        <w:rPr>
          <w:rFonts w:ascii="Times New Roman" w:eastAsia="Times New Roman" w:hAnsi="Times New Roman" w:cs="Times New Roman"/>
          <w:bCs/>
          <w:noProof/>
          <w:color w:val="000000"/>
        </w:rPr>
      </w:pPr>
      <w:r>
        <w:rPr>
          <w:rFonts w:ascii="Times New Roman" w:hAnsi="Times New Roman"/>
          <w:noProof/>
          <w:color w:val="000000"/>
        </w:rPr>
        <w:t xml:space="preserve">Другите предизвикателства и приоритети в голяма степен се припокриват с постиженията. Заинтересованите страни посочват намаляването на </w:t>
      </w:r>
      <w:r>
        <w:rPr>
          <w:rFonts w:ascii="Times New Roman" w:hAnsi="Times New Roman"/>
          <w:b/>
          <w:noProof/>
          <w:color w:val="000000"/>
        </w:rPr>
        <w:t>политическата ангажираност</w:t>
      </w:r>
      <w:r>
        <w:rPr>
          <w:rFonts w:ascii="Times New Roman" w:hAnsi="Times New Roman"/>
          <w:noProof/>
          <w:color w:val="000000"/>
        </w:rPr>
        <w:t xml:space="preserve"> и изместването на вниманието на държавите членки от проблема с приобщаването на ромите поради нововъзникващи приоритети, като например бежанската криза. По отношение на докладването от страна на държавите членки те призовават за по-голяма прозрачност, доразвиване на гражданското общество и по-голяма ангажираност на гражданското общество в процеса на </w:t>
      </w:r>
      <w:r>
        <w:rPr>
          <w:rFonts w:ascii="Times New Roman" w:hAnsi="Times New Roman"/>
          <w:b/>
          <w:noProof/>
          <w:color w:val="000000"/>
        </w:rPr>
        <w:t>наблюдение</w:t>
      </w:r>
      <w:r>
        <w:rPr>
          <w:rFonts w:ascii="Times New Roman" w:hAnsi="Times New Roman"/>
          <w:noProof/>
          <w:color w:val="000000"/>
        </w:rPr>
        <w:t xml:space="preserve">, което следва да улесни също така и взаимното обучение. Те призовават да се обърне по-голямо внимание на </w:t>
      </w:r>
      <w:r>
        <w:rPr>
          <w:rFonts w:ascii="Times New Roman" w:hAnsi="Times New Roman"/>
          <w:b/>
          <w:noProof/>
          <w:color w:val="000000"/>
        </w:rPr>
        <w:t>борбата с дискриминацията</w:t>
      </w:r>
      <w:r>
        <w:rPr>
          <w:rFonts w:ascii="Times New Roman" w:hAnsi="Times New Roman"/>
          <w:noProof/>
          <w:color w:val="000000"/>
        </w:rPr>
        <w:t xml:space="preserve"> например чрез започване на повече производства за установяване на нарушение и чрез налагане на санкции на държавите членки, които не изпълняват своите задължения. Изразява се съжаление, че насочените към ромите насоки и общите насоки на политиката на Комисията, разработени в контекста на рамката на ЕС и стратегията „Европа 2020“, </w:t>
      </w:r>
      <w:r>
        <w:rPr>
          <w:rFonts w:ascii="Times New Roman" w:hAnsi="Times New Roman"/>
          <w:b/>
          <w:noProof/>
          <w:color w:val="000000"/>
        </w:rPr>
        <w:t>не могат да бъдат изпълнени</w:t>
      </w:r>
      <w:r>
        <w:rPr>
          <w:rFonts w:ascii="Times New Roman" w:hAnsi="Times New Roman"/>
          <w:noProof/>
          <w:color w:val="000000"/>
        </w:rPr>
        <w:t xml:space="preserve">. Отправят се призиви за по-ясно определена насоченост към ромите на действията по линия на европейски и национални програми, като „Гаранция за младежта“ и „Еразъм+“. Много заинтересовани страни изтъкват възможността за допълнителни подобрения при използването на </w:t>
      </w:r>
      <w:r>
        <w:rPr>
          <w:rFonts w:ascii="Times New Roman" w:hAnsi="Times New Roman"/>
          <w:b/>
          <w:noProof/>
          <w:color w:val="000000"/>
        </w:rPr>
        <w:t>ЕСИФ</w:t>
      </w:r>
      <w:r>
        <w:rPr>
          <w:rFonts w:ascii="Times New Roman" w:hAnsi="Times New Roman"/>
          <w:noProof/>
          <w:color w:val="000000"/>
        </w:rPr>
        <w:t xml:space="preserve"> и призовават за предоставянето на пряк достъп на НПО и на местните органи до фондовете, за по-добро изпълнение на предварителните</w:t>
      </w:r>
      <w:r>
        <w:rPr>
          <w:rFonts w:ascii="Times New Roman" w:hAnsi="Times New Roman"/>
          <w:i/>
          <w:noProof/>
          <w:color w:val="000000"/>
        </w:rPr>
        <w:t xml:space="preserve"> </w:t>
      </w:r>
      <w:r>
        <w:rPr>
          <w:rFonts w:ascii="Times New Roman" w:hAnsi="Times New Roman"/>
          <w:noProof/>
          <w:color w:val="000000"/>
        </w:rPr>
        <w:t xml:space="preserve">условия, за налагане на санкции за неспазване на принципа на партньорство, за по-добро наблюдение (чрез засилване на ролята на Комисията и на самите роми) и за действия за предотвратяване на неефективното използване на фондовете (напр. програми за обучение, които не водят до заетост) или на злоупотребата с тях (напр. проекти по линия на ЕСИФ, финансиращи сегрегирани заведения), включително чрез прозрачен механизъм за подаване на жалби. </w:t>
      </w:r>
    </w:p>
    <w:p>
      <w:pPr>
        <w:tabs>
          <w:tab w:val="left" w:pos="8931"/>
        </w:tabs>
        <w:spacing w:after="120"/>
        <w:ind w:right="43"/>
        <w:jc w:val="both"/>
        <w:rPr>
          <w:rFonts w:ascii="Times New Roman" w:eastAsia="Times New Roman" w:hAnsi="Times New Roman" w:cs="Times New Roman"/>
          <w:bCs/>
          <w:noProof/>
          <w:color w:val="000000"/>
          <w:spacing w:val="-2"/>
        </w:rPr>
      </w:pPr>
      <w:r>
        <w:rPr>
          <w:rFonts w:ascii="Times New Roman" w:hAnsi="Times New Roman"/>
          <w:noProof/>
          <w:color w:val="000000"/>
          <w:spacing w:val="-2"/>
        </w:rPr>
        <w:t xml:space="preserve">По отношение на координационните структури предизвикателствата включват мандата, капацитета и ресурсите на националните звена за контакт по въпросите на ромите, които макар да се развиват, са недостатъчни, недостатъчното </w:t>
      </w:r>
      <w:r>
        <w:rPr>
          <w:rFonts w:ascii="Times New Roman" w:hAnsi="Times New Roman"/>
          <w:b/>
          <w:noProof/>
          <w:color w:val="000000"/>
          <w:spacing w:val="-2"/>
        </w:rPr>
        <w:t>участие на ромите</w:t>
      </w:r>
      <w:r>
        <w:rPr>
          <w:rFonts w:ascii="Times New Roman" w:hAnsi="Times New Roman"/>
          <w:noProof/>
          <w:color w:val="000000"/>
          <w:spacing w:val="-2"/>
        </w:rPr>
        <w:t xml:space="preserve"> и необходимостта от гарантиране на по-прозрачно и приобщаващо участие, изграждане на капацитет и достъп до финансиране за </w:t>
      </w:r>
      <w:r>
        <w:rPr>
          <w:rFonts w:ascii="Times New Roman" w:hAnsi="Times New Roman"/>
          <w:b/>
          <w:noProof/>
          <w:color w:val="000000"/>
          <w:spacing w:val="-2"/>
        </w:rPr>
        <w:t>гражданското общество</w:t>
      </w:r>
      <w:r>
        <w:rPr>
          <w:rFonts w:ascii="Times New Roman" w:hAnsi="Times New Roman"/>
          <w:noProof/>
          <w:color w:val="000000"/>
          <w:spacing w:val="-2"/>
        </w:rPr>
        <w:t xml:space="preserve">. Различни заинтересовани страни призовават за по-нататъшна и по-гъвкава подкрепа за националните платформи по въпросите на ромите, която да обхване повече държави членки и да даде възможност за транснационално сътрудничество. Би могло да има и по-голяма координация между националните и европейските платформи по въпросите на ромите. По отношение на насочеността на рамката на ЕС и на НСИР някои заинтересовани страни критикуват акцентирането върху маргинализираните роми и препоръчват увеличаване на инвестициите в </w:t>
      </w:r>
      <w:r>
        <w:rPr>
          <w:rFonts w:ascii="Times New Roman" w:hAnsi="Times New Roman"/>
          <w:noProof/>
          <w:spacing w:val="-2"/>
        </w:rPr>
        <w:t>овластяването</w:t>
      </w:r>
      <w:r>
        <w:rPr>
          <w:rFonts w:ascii="Times New Roman" w:hAnsi="Times New Roman"/>
          <w:noProof/>
          <w:color w:val="000000"/>
          <w:spacing w:val="-2"/>
        </w:rPr>
        <w:t xml:space="preserve"> на </w:t>
      </w:r>
      <w:r>
        <w:rPr>
          <w:rFonts w:ascii="Times New Roman" w:hAnsi="Times New Roman"/>
          <w:b/>
          <w:noProof/>
          <w:color w:val="000000"/>
          <w:spacing w:val="-2"/>
        </w:rPr>
        <w:t>ромските младежи, жени и деца</w:t>
      </w:r>
      <w:r>
        <w:rPr>
          <w:rFonts w:ascii="Times New Roman" w:hAnsi="Times New Roman"/>
          <w:noProof/>
          <w:color w:val="000000"/>
          <w:spacing w:val="-2"/>
        </w:rPr>
        <w:t xml:space="preserve"> и, както и обръщане на повече внимание на мобилността на ромите в рамките на ЕС.</w:t>
      </w:r>
    </w:p>
    <w:p>
      <w:pPr>
        <w:keepNext/>
        <w:keepLines/>
        <w:tabs>
          <w:tab w:val="left" w:pos="8931"/>
        </w:tabs>
        <w:spacing w:before="240" w:after="240"/>
        <w:ind w:left="567" w:right="45" w:hanging="567"/>
        <w:jc w:val="both"/>
        <w:rPr>
          <w:rFonts w:ascii="Times New Roman" w:hAnsi="Times New Roman" w:cs="Times New Roman"/>
          <w:b/>
          <w:smallCaps/>
          <w:noProof/>
        </w:rPr>
      </w:pPr>
      <w:r>
        <w:rPr>
          <w:rFonts w:ascii="Times New Roman" w:hAnsi="Times New Roman"/>
          <w:b/>
          <w:smallCaps/>
          <w:noProof/>
        </w:rPr>
        <w:t xml:space="preserve">5. </w:t>
      </w:r>
      <w:r>
        <w:rPr>
          <w:noProof/>
        </w:rPr>
        <w:tab/>
      </w:r>
      <w:r>
        <w:rPr>
          <w:rFonts w:ascii="Times New Roman" w:hAnsi="Times New Roman"/>
          <w:b/>
          <w:smallCaps/>
          <w:noProof/>
        </w:rPr>
        <w:t>Приобщаване на ромите в процеса на разширяване</w:t>
      </w:r>
    </w:p>
    <w:p>
      <w:pPr>
        <w:tabs>
          <w:tab w:val="left" w:pos="8931"/>
        </w:tabs>
        <w:spacing w:after="120"/>
        <w:ind w:right="45"/>
        <w:jc w:val="both"/>
        <w:rPr>
          <w:rFonts w:ascii="Times New Roman" w:hAnsi="Times New Roman" w:cs="Times New Roman"/>
          <w:b/>
          <w:noProof/>
        </w:rPr>
      </w:pPr>
      <w:r>
        <w:rPr>
          <w:rFonts w:ascii="Times New Roman" w:hAnsi="Times New Roman"/>
          <w:noProof/>
        </w:rPr>
        <w:t>В рамката на ЕС се посочва, че целите за интегриране на ромите са приложими в еднаква сила и за държавите, обхванати от процеса на разширяване. Комисията включи интегрирането на ромите като основен приоритет в своята стратегия за разширяване.</w:t>
      </w:r>
      <w:r>
        <w:rPr>
          <w:rFonts w:ascii="Times New Roman" w:hAnsi="Times New Roman"/>
          <w:b/>
          <w:noProof/>
        </w:rPr>
        <w:t xml:space="preserve"> </w:t>
      </w:r>
    </w:p>
    <w:p>
      <w:pPr>
        <w:tabs>
          <w:tab w:val="left" w:pos="8931"/>
        </w:tabs>
        <w:spacing w:after="120"/>
        <w:ind w:right="45"/>
        <w:jc w:val="both"/>
        <w:rPr>
          <w:rFonts w:ascii="Times New Roman" w:hAnsi="Times New Roman" w:cs="Times New Roman"/>
          <w:noProof/>
        </w:rPr>
      </w:pPr>
      <w:r>
        <w:rPr>
          <w:rFonts w:ascii="Times New Roman" w:hAnsi="Times New Roman"/>
          <w:noProof/>
        </w:rPr>
        <w:t>Въпреки че от 2011 г. насам приобщаването на ромите присъства като приоритет в политическата програма в региона, обхванат от процеса на разширяване, е постигнат ограничен реален напредък. Повечето роми все още са подложени на многостранно социално изключване, по-специално в областта на образованието, заетостта, здравеопазването и жилищното настаняване. Проблемите с интеграцията, пред които бяха изправени вътрешно разселените роми след войните на Балканите, все още не са напълно разрешени, като в някои държави в последно време те се изостриха в резултат на нуждата да се намери решение на въпроса със завърналите се лица. В повечето държави липсата на документация за гражданското състояние все още поражда реални проблеми за някои роми.</w:t>
      </w:r>
    </w:p>
    <w:p>
      <w:pPr>
        <w:tabs>
          <w:tab w:val="left" w:pos="8931"/>
        </w:tabs>
        <w:spacing w:after="60"/>
        <w:ind w:right="45"/>
        <w:jc w:val="both"/>
        <w:rPr>
          <w:rFonts w:ascii="Times New Roman" w:hAnsi="Times New Roman" w:cs="Times New Roman"/>
          <w:noProof/>
        </w:rPr>
      </w:pPr>
      <w:r>
        <w:rPr>
          <w:rFonts w:ascii="Times New Roman" w:hAnsi="Times New Roman"/>
          <w:noProof/>
        </w:rPr>
        <w:t>Политиката на Комисията за насърчаване на интегрирането на ромите в региона, обхванат от процеса на разширяване, включваше:</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подпомагане на всички държави при разработването на </w:t>
      </w:r>
      <w:r>
        <w:rPr>
          <w:rFonts w:ascii="Times New Roman" w:hAnsi="Times New Roman"/>
          <w:b/>
          <w:noProof/>
        </w:rPr>
        <w:t>стратегия</w:t>
      </w:r>
      <w:r>
        <w:rPr>
          <w:rFonts w:ascii="Times New Roman" w:hAnsi="Times New Roman"/>
          <w:noProof/>
        </w:rPr>
        <w:t xml:space="preserve"> и </w:t>
      </w:r>
      <w:r>
        <w:rPr>
          <w:rFonts w:ascii="Times New Roman" w:hAnsi="Times New Roman"/>
          <w:b/>
          <w:noProof/>
        </w:rPr>
        <w:t>план за действие</w:t>
      </w:r>
      <w:r>
        <w:rPr>
          <w:rFonts w:ascii="Times New Roman" w:hAnsi="Times New Roman"/>
          <w:noProof/>
        </w:rPr>
        <w:t xml:space="preserve"> за интегриране на ромите и мониторинг на тяхното изпълнение;</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сътрудничество с правителството на всяка държава от Западните Балкани за организиране на </w:t>
      </w:r>
      <w:r>
        <w:rPr>
          <w:rFonts w:ascii="Times New Roman" w:hAnsi="Times New Roman"/>
          <w:b/>
          <w:noProof/>
        </w:rPr>
        <w:t>семинар</w:t>
      </w:r>
      <w:r>
        <w:rPr>
          <w:rFonts w:ascii="Times New Roman" w:hAnsi="Times New Roman"/>
          <w:noProof/>
        </w:rPr>
        <w:t xml:space="preserve"> относно интегрирането на ромите на всеки две години съвместно с публичните органи, гражданското общество и международните организации. Изпълнението на заключенията от семинара е обект на ежегоден мониторинг в съответните подкомитети в рамките на Споразумението за асоцииране; </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отреждане на централно място на интеграцията на ромите в процеса на разширяване чрез определяне на конкретни, свързани с ромите цели в основните политики, като </w:t>
      </w:r>
      <w:r>
        <w:rPr>
          <w:rFonts w:ascii="Times New Roman" w:hAnsi="Times New Roman"/>
          <w:b/>
          <w:noProof/>
        </w:rPr>
        <w:t>пътната карта за</w:t>
      </w:r>
      <w:r>
        <w:rPr>
          <w:rFonts w:ascii="Times New Roman" w:hAnsi="Times New Roman"/>
          <w:noProof/>
        </w:rPr>
        <w:t xml:space="preserve"> </w:t>
      </w:r>
      <w:r>
        <w:rPr>
          <w:rFonts w:ascii="Times New Roman" w:hAnsi="Times New Roman"/>
          <w:b/>
          <w:noProof/>
        </w:rPr>
        <w:t xml:space="preserve">либерализиране </w:t>
      </w:r>
      <w:r>
        <w:rPr>
          <w:rFonts w:ascii="Times New Roman" w:hAnsi="Times New Roman"/>
          <w:noProof/>
        </w:rPr>
        <w:t xml:space="preserve">на визовия режим и </w:t>
      </w:r>
      <w:r>
        <w:rPr>
          <w:rFonts w:ascii="Times New Roman" w:hAnsi="Times New Roman"/>
          <w:b/>
          <w:noProof/>
        </w:rPr>
        <w:t xml:space="preserve">преговорите по глава 23 </w:t>
      </w:r>
      <w:r>
        <w:rPr>
          <w:rFonts w:ascii="Times New Roman" w:hAnsi="Times New Roman"/>
          <w:noProof/>
        </w:rPr>
        <w:t>(съдебна власт и основни права); и</w:t>
      </w:r>
    </w:p>
    <w:p>
      <w:pPr>
        <w:pStyle w:val="ListParagraph"/>
        <w:numPr>
          <w:ilvl w:val="0"/>
          <w:numId w:val="22"/>
        </w:numPr>
        <w:tabs>
          <w:tab w:val="clear" w:pos="360"/>
          <w:tab w:val="num" w:pos="426"/>
          <w:tab w:val="left" w:pos="8931"/>
        </w:tabs>
        <w:spacing w:after="60"/>
        <w:ind w:left="426" w:right="45" w:hanging="425"/>
        <w:contextualSpacing w:val="0"/>
        <w:jc w:val="both"/>
        <w:rPr>
          <w:rFonts w:ascii="Times New Roman" w:hAnsi="Times New Roman" w:cs="Times New Roman"/>
          <w:noProof/>
        </w:rPr>
      </w:pPr>
      <w:r>
        <w:rPr>
          <w:rFonts w:ascii="Times New Roman" w:hAnsi="Times New Roman"/>
          <w:noProof/>
        </w:rPr>
        <w:t xml:space="preserve">мобилизиране на </w:t>
      </w:r>
      <w:r>
        <w:rPr>
          <w:rFonts w:ascii="Times New Roman" w:hAnsi="Times New Roman"/>
          <w:b/>
          <w:noProof/>
        </w:rPr>
        <w:t>финансиране</w:t>
      </w:r>
      <w:r>
        <w:rPr>
          <w:rFonts w:ascii="Times New Roman" w:hAnsi="Times New Roman"/>
          <w:noProof/>
        </w:rPr>
        <w:t xml:space="preserve"> от ЕС за приобщаване на ромите (По линия на инструмента за предприсъединителна помощ (ИПП I) за периода 2007—2013 г. Комисията разпредели значителни средства за приобщаването на ромите и възложи извършването на независима оценка за определяне на възможни подобрения за бъдещото финансиране. По линия на ИПП II (2014—2020 г.) тя планира да увеличи и да насочи по-добре финансирането, предназначено за приобщаване на ромите, като подобри сътрудничеството с международни организации.)</w:t>
      </w:r>
    </w:p>
    <w:p>
      <w:pPr>
        <w:tabs>
          <w:tab w:val="left" w:pos="8931"/>
        </w:tabs>
        <w:spacing w:after="120"/>
        <w:ind w:right="45"/>
        <w:jc w:val="both"/>
        <w:rPr>
          <w:rFonts w:ascii="Times New Roman" w:hAnsi="Times New Roman" w:cs="Times New Roman"/>
          <w:noProof/>
        </w:rPr>
      </w:pPr>
      <w:r>
        <w:rPr>
          <w:rFonts w:ascii="Times New Roman" w:hAnsi="Times New Roman"/>
          <w:noProof/>
        </w:rPr>
        <w:t>От 2016 г. всички държави, обхванати от процеса на разширяване, имат НСИР и планове за действие, като те са създали национални звена за контакт по въпросите на ромите и структури, които да отговарят за националните платформи по въпросите на ромите. Комисията е твърдо решена да продължи да подпомага заинтересованите страни в областта на приобщаването на ромите, като тя ще постави особен акцент върху участието на гражданското общество, сътрудничеството с други донори и подобряването на инструментите за мониторинг.</w:t>
      </w:r>
    </w:p>
    <w:p>
      <w:pPr>
        <w:keepNext/>
        <w:keepLines/>
        <w:tabs>
          <w:tab w:val="left" w:pos="8931"/>
        </w:tabs>
        <w:spacing w:before="240" w:after="240"/>
        <w:ind w:left="567" w:right="45" w:hanging="567"/>
        <w:jc w:val="both"/>
        <w:rPr>
          <w:rFonts w:ascii="Times New Roman" w:hAnsi="Times New Roman" w:cs="Times New Roman"/>
          <w:b/>
          <w:smallCaps/>
          <w:noProof/>
        </w:rPr>
      </w:pPr>
      <w:r>
        <w:rPr>
          <w:rFonts w:ascii="Times New Roman" w:hAnsi="Times New Roman"/>
          <w:b/>
          <w:smallCaps/>
          <w:noProof/>
        </w:rPr>
        <w:t xml:space="preserve">6. </w:t>
      </w:r>
      <w:r>
        <w:rPr>
          <w:noProof/>
        </w:rPr>
        <w:tab/>
      </w:r>
      <w:r>
        <w:rPr>
          <w:rFonts w:ascii="Times New Roman" w:hAnsi="Times New Roman"/>
          <w:b/>
          <w:smallCaps/>
          <w:noProof/>
        </w:rPr>
        <w:t>Заключения</w:t>
      </w:r>
    </w:p>
    <w:p>
      <w:pPr>
        <w:tabs>
          <w:tab w:val="left" w:pos="8931"/>
        </w:tabs>
        <w:spacing w:after="120"/>
        <w:ind w:right="45"/>
        <w:jc w:val="both"/>
        <w:rPr>
          <w:rFonts w:ascii="Times New Roman" w:hAnsi="Times New Roman" w:cs="Times New Roman"/>
          <w:noProof/>
        </w:rPr>
      </w:pPr>
      <w:r>
        <w:rPr>
          <w:rFonts w:ascii="Times New Roman" w:hAnsi="Times New Roman"/>
          <w:noProof/>
          <w:color w:val="000000"/>
        </w:rPr>
        <w:t xml:space="preserve">Настоящият преглед потвърди </w:t>
      </w:r>
      <w:r>
        <w:rPr>
          <w:rFonts w:ascii="Times New Roman" w:hAnsi="Times New Roman"/>
          <w:b/>
          <w:noProof/>
          <w:color w:val="000000"/>
        </w:rPr>
        <w:t>добавената стойност на рамката на ЕС</w:t>
      </w:r>
      <w:r>
        <w:rPr>
          <w:rFonts w:ascii="Times New Roman" w:hAnsi="Times New Roman"/>
          <w:noProof/>
          <w:color w:val="000000"/>
        </w:rPr>
        <w:t xml:space="preserve">, значимостта на целите на ЕС за </w:t>
      </w:r>
      <w:r>
        <w:rPr>
          <w:rFonts w:ascii="Times New Roman" w:hAnsi="Times New Roman"/>
          <w:noProof/>
        </w:rPr>
        <w:t>интегриране на</w:t>
      </w:r>
      <w:r>
        <w:rPr>
          <w:rFonts w:ascii="Times New Roman" w:hAnsi="Times New Roman"/>
          <w:noProof/>
          <w:color w:val="000000"/>
        </w:rPr>
        <w:t xml:space="preserve"> ромите и продължаващата необходимост от съчетаване на целенасочени и общи подходи</w:t>
      </w:r>
      <w:r>
        <w:rPr>
          <w:rFonts w:ascii="Times New Roman" w:hAnsi="Times New Roman"/>
          <w:noProof/>
        </w:rPr>
        <w:t>, при които целенасочените мерки могат да допринесат за премахване на пречките за ефективен равен достъп на ромите до права и услуги в областта на общите публични политики. Консултациите със заинтересованите лица потвърдиха, че те ценят наличието на европейски ангажимент въз основа на подобрена рамка на ЕС и виждат продължаваща необходимост от такъв ангажимент. Това важи със същата сила и за държавите, обхванати от процеса на разширяване.</w:t>
      </w:r>
    </w:p>
    <w:p>
      <w:pPr>
        <w:tabs>
          <w:tab w:val="left" w:pos="8931"/>
        </w:tabs>
        <w:spacing w:after="120"/>
        <w:ind w:right="45"/>
        <w:jc w:val="both"/>
        <w:rPr>
          <w:rFonts w:ascii="Times New Roman" w:hAnsi="Times New Roman" w:cs="Times New Roman"/>
          <w:noProof/>
        </w:rPr>
      </w:pPr>
      <w:r>
        <w:rPr>
          <w:rFonts w:ascii="Times New Roman" w:hAnsi="Times New Roman"/>
          <w:noProof/>
        </w:rPr>
        <w:t>В отговор на призива на Съвета да се предложи европейски стратегически подход към приобщаването на ромите за периода след 2020 г., освен настоящия преглед Комисията ще извърши задълбочена оценка на ефективността, ефикасността, съгласуваността, значимостта и добавената стойност на рамката на ЕС за НСИР, която ще обхване всички основни елементи на европейските и националните подходи към интегрирането на ромите, включително инструментите на политиката, правните и финансовите инструменти, които бяха съгласувани и мобилизирани след стартирането на рамката на ЕС през 2011 г. При оценката ще бъдат проучени допълнително начините за развитието на рамката на ЕС и резултатите ще бъдат използвани при планирането на целенасочени и общи инструменти на политиката правни и финансови инструменти на ЕС за периода след 2020 г.</w:t>
      </w:r>
    </w:p>
    <w:p>
      <w:pPr>
        <w:tabs>
          <w:tab w:val="left" w:pos="8931"/>
        </w:tabs>
        <w:spacing w:after="120"/>
        <w:ind w:right="45"/>
        <w:jc w:val="both"/>
        <w:rPr>
          <w:rFonts w:ascii="Times New Roman" w:hAnsi="Times New Roman" w:cs="Times New Roman"/>
          <w:noProof/>
        </w:rPr>
      </w:pPr>
      <w:r>
        <w:rPr>
          <w:rFonts w:ascii="Times New Roman" w:hAnsi="Times New Roman"/>
          <w:noProof/>
        </w:rPr>
        <w:t>Резултатите от настоящия преглед подчертават следните заключения като приоритети за засилване на изпълнението на рамката на ЕС:</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b/>
          <w:noProof/>
        </w:rPr>
        <w:t>ХОРИЗОНТАЛНИ ОБЛАСТИ</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b/>
          <w:noProof/>
        </w:rPr>
        <w:t xml:space="preserve">Засилване и разграничаване на акцента върху борбата с дискриминацията и борбата с антиромските настроения както в рамката на ЕС, така и в НСИР. </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b/>
          <w:noProof/>
        </w:rPr>
        <w:t>Насърчаване на участието на ромите и овластяването на ромските деца, младежи и жени.</w:t>
      </w:r>
    </w:p>
    <w:p>
      <w:pPr>
        <w:pStyle w:val="CommentText"/>
        <w:jc w:val="both"/>
        <w:rPr>
          <w:rFonts w:ascii="Times New Roman" w:eastAsia="Times New Roman" w:hAnsi="Times New Roman" w:cs="Times New Roman"/>
          <w:bCs/>
          <w:noProof/>
          <w:color w:val="000000"/>
        </w:rPr>
      </w:pPr>
      <w:r>
        <w:rPr>
          <w:rFonts w:ascii="Times New Roman" w:hAnsi="Times New Roman"/>
          <w:b/>
          <w:noProof/>
          <w:color w:val="000000"/>
        </w:rPr>
        <w:t>Антиромските настроения</w:t>
      </w:r>
      <w:r>
        <w:rPr>
          <w:rFonts w:ascii="Times New Roman" w:hAnsi="Times New Roman"/>
          <w:noProof/>
          <w:color w:val="000000"/>
        </w:rPr>
        <w:t xml:space="preserve"> надхвърлят рамките на правната концепция за дискриминация. Справянето с тях може да стане като отделна тематична област с конкретни мерки, като повишаване на осведомеността, </w:t>
      </w:r>
      <w:r>
        <w:rPr>
          <w:rFonts w:ascii="Times New Roman" w:hAnsi="Times New Roman"/>
          <w:noProof/>
        </w:rPr>
        <w:t>предоставяне на информация за взаимните ползи от приобщаването на ромите</w:t>
      </w:r>
      <w:r>
        <w:rPr>
          <w:rFonts w:ascii="Times New Roman" w:hAnsi="Times New Roman"/>
          <w:noProof/>
          <w:color w:val="000000"/>
        </w:rPr>
        <w:t xml:space="preserve"> и изграждане на междуетническа общност. Борбата с антиромските настроения следва да включва мерки за предотвратяване и противодействие на насочените към ромите престъпления от омраза и „език на омразата“, продиктувани от предразсъдъци. Същевременно тя може да се счита за хоризонтален приоритет, който да бъде постигнат чрез показатели или чрез насърчаване на участието на ромите във всички основни области на политиката. Проектът за наблюдение от страна на гражданското общество и подпомаганото от Комисията взаимно обучение между държавите членки и основните заинтересовани страни имат потенциал да създадат допълнителни предпоставки за осъществяване на действия в тази област. Борбата с антиромските настроения и стереотипите чрез действия, </w:t>
      </w:r>
      <w:r>
        <w:rPr>
          <w:rFonts w:ascii="Times New Roman" w:hAnsi="Times New Roman"/>
          <w:b/>
          <w:noProof/>
          <w:color w:val="000000"/>
        </w:rPr>
        <w:t>насочени към преобладаващото население</w:t>
      </w:r>
      <w:r>
        <w:rPr>
          <w:rFonts w:ascii="Times New Roman" w:hAnsi="Times New Roman"/>
          <w:noProof/>
          <w:color w:val="000000"/>
        </w:rPr>
        <w:t xml:space="preserve">, е </w:t>
      </w:r>
      <w:r>
        <w:rPr>
          <w:rFonts w:ascii="Times New Roman" w:hAnsi="Times New Roman"/>
          <w:noProof/>
        </w:rPr>
        <w:t xml:space="preserve">предварително условие за генериране на политическа воля и за успеха на всяка мярка за приобщаване на ромите.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С цел да се осигури тясна връзка между подходите за </w:t>
      </w:r>
      <w:r>
        <w:rPr>
          <w:rFonts w:ascii="Times New Roman" w:hAnsi="Times New Roman"/>
          <w:b/>
          <w:noProof/>
        </w:rPr>
        <w:t>борба с дискриминацията</w:t>
      </w:r>
      <w:r>
        <w:rPr>
          <w:rFonts w:ascii="Times New Roman" w:hAnsi="Times New Roman"/>
          <w:noProof/>
        </w:rPr>
        <w:t xml:space="preserve"> и подходите за социално приобщаване, докладването по международните механизми за защита на правата на човека би могло да допълва по-систематично наблюдението на дискриминацията и антиромските настроения по рамката на ЕС чрез по-тясно сътрудничество с организации като Съвета на Европа, Организацията на обединените нации и Организацията за сигурност и сътрудничество в Европа. Ще бъдат приветствани бъдещата работа на Агенцията на ЕС за основните права (FRA) за включването на показатели, основани на правата, в рамката за докладване, както и извършването на по-задълбочен анализ на борбата с дискриминацията и антиромските настроения във всяка област на рамката.</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С цел да се насърчи </w:t>
      </w:r>
      <w:r>
        <w:rPr>
          <w:rFonts w:ascii="Times New Roman" w:hAnsi="Times New Roman"/>
          <w:b/>
          <w:noProof/>
        </w:rPr>
        <w:t>участието на ромите</w:t>
      </w:r>
      <w:r>
        <w:rPr>
          <w:rFonts w:ascii="Times New Roman" w:hAnsi="Times New Roman"/>
          <w:noProof/>
        </w:rPr>
        <w:t xml:space="preserve"> следва да се допълнително да се овластят определени групи, които играят активна роля за подпомагане на интегрирането на ромите. Това включва прилагане на интегриран, основан на жизнения цикъл подход при мерките на политиката, насочени към ромските младежи, жени и деца, както и подобряване на тяхното участие във всички етапи на процеса на разработване на политики и на вземане на решения, които ги засягат.</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b/>
          <w:noProof/>
        </w:rPr>
        <w:t>СТРУКТУРНИ ОБЛАСТИ</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b/>
          <w:noProof/>
        </w:rPr>
        <w:t>Укрепване на партньорството и подпомагане на по-приобщаващи координационни структури</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b/>
          <w:noProof/>
        </w:rPr>
        <w:t>Утвърждаване на прозрачна система за докладване и наблюдение, с цел насърчаване на извличането на поуки за усъвършенстване на политиката</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before="120" w:after="120"/>
        <w:ind w:left="425" w:right="45" w:hanging="425"/>
        <w:contextualSpacing w:val="0"/>
        <w:jc w:val="both"/>
        <w:rPr>
          <w:rFonts w:ascii="Times New Roman" w:hAnsi="Times New Roman" w:cs="Times New Roman"/>
          <w:b/>
          <w:noProof/>
        </w:rPr>
      </w:pPr>
      <w:r>
        <w:rPr>
          <w:rFonts w:ascii="Times New Roman" w:hAnsi="Times New Roman"/>
          <w:b/>
          <w:noProof/>
        </w:rPr>
        <w:t>Подкрепа за независимото гражданско общество</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Форумите за </w:t>
      </w:r>
      <w:r>
        <w:rPr>
          <w:rFonts w:ascii="Times New Roman" w:hAnsi="Times New Roman"/>
          <w:b/>
          <w:noProof/>
        </w:rPr>
        <w:t>сътрудничество</w:t>
      </w:r>
      <w:r>
        <w:rPr>
          <w:rFonts w:ascii="Times New Roman" w:hAnsi="Times New Roman"/>
          <w:noProof/>
        </w:rPr>
        <w:t xml:space="preserve"> на европейско и национално равнище следва да се поддържат и да станат </w:t>
      </w:r>
      <w:r>
        <w:rPr>
          <w:rFonts w:ascii="Times New Roman" w:hAnsi="Times New Roman"/>
          <w:b/>
          <w:noProof/>
        </w:rPr>
        <w:t>по</w:t>
      </w:r>
      <w:r>
        <w:rPr>
          <w:rFonts w:ascii="Times New Roman" w:hAnsi="Times New Roman"/>
          <w:noProof/>
        </w:rPr>
        <w:t>-</w:t>
      </w:r>
      <w:r>
        <w:rPr>
          <w:rFonts w:ascii="Times New Roman" w:hAnsi="Times New Roman"/>
          <w:b/>
          <w:noProof/>
        </w:rPr>
        <w:t>прозрачни и приобщаващи</w:t>
      </w:r>
      <w:r>
        <w:rPr>
          <w:rFonts w:ascii="Times New Roman" w:hAnsi="Times New Roman"/>
          <w:noProof/>
        </w:rPr>
        <w:t>. Повече държави членки следва да създадат национални платформи по въпросите на ромите, с по-гъвкава подкрепа и по-тесни връзки с европейската платформа. Конкретни последващи действия в подкрепа на работата на групата на високо равнище на ЕС за борба с расизма, ксенофобията и други форми на нетърпимост биха могли да допринесат за по-добри ответни действия на национално равнище срещу „езика на омразата“ и престъпленията от омраза, насочени към ромите.</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Политическият ангажимент и отчетност в областта на интегрирането на ромите биха могли да се засилят чрез </w:t>
      </w:r>
      <w:r>
        <w:rPr>
          <w:rFonts w:ascii="Times New Roman" w:hAnsi="Times New Roman"/>
          <w:b/>
          <w:noProof/>
        </w:rPr>
        <w:t>по</w:t>
      </w:r>
      <w:r>
        <w:rPr>
          <w:rFonts w:ascii="Times New Roman" w:hAnsi="Times New Roman"/>
          <w:noProof/>
        </w:rPr>
        <w:t>-</w:t>
      </w:r>
      <w:r>
        <w:rPr>
          <w:rFonts w:ascii="Times New Roman" w:hAnsi="Times New Roman"/>
          <w:b/>
          <w:noProof/>
        </w:rPr>
        <w:t>прозрачно</w:t>
      </w:r>
      <w:r>
        <w:rPr>
          <w:rFonts w:ascii="Times New Roman" w:hAnsi="Times New Roman"/>
          <w:noProof/>
        </w:rPr>
        <w:t xml:space="preserve"> докладване на национално равнище, чрез по-голямо участие на гражданското общество в </w:t>
      </w:r>
      <w:r>
        <w:rPr>
          <w:rFonts w:ascii="Times New Roman" w:hAnsi="Times New Roman"/>
          <w:b/>
          <w:noProof/>
        </w:rPr>
        <w:t>докладването и мониторинга</w:t>
      </w:r>
      <w:r>
        <w:rPr>
          <w:rFonts w:ascii="Times New Roman" w:hAnsi="Times New Roman"/>
          <w:noProof/>
        </w:rPr>
        <w:t xml:space="preserve"> и чрез разработване на </w:t>
      </w:r>
      <w:r>
        <w:rPr>
          <w:rFonts w:ascii="Times New Roman" w:hAnsi="Times New Roman"/>
          <w:b/>
          <w:noProof/>
        </w:rPr>
        <w:t>инструмент за извличане на поуки за усъвършенстване на политиката</w:t>
      </w:r>
      <w:r>
        <w:rPr>
          <w:rFonts w:ascii="Times New Roman" w:hAnsi="Times New Roman"/>
          <w:noProof/>
        </w:rPr>
        <w:t xml:space="preserve"> за интегриране на ромите с цел да се предоставят насоки на политиката въз основа на обективни факти и да се подпомогне взаимното обучение. </w:t>
      </w:r>
    </w:p>
    <w:p>
      <w:pPr>
        <w:tabs>
          <w:tab w:val="left" w:pos="8931"/>
        </w:tabs>
        <w:spacing w:after="120"/>
        <w:ind w:right="45"/>
        <w:jc w:val="both"/>
        <w:rPr>
          <w:rFonts w:ascii="Times New Roman" w:hAnsi="Times New Roman" w:cs="Times New Roman"/>
          <w:noProof/>
        </w:rPr>
      </w:pPr>
      <w:r>
        <w:rPr>
          <w:rFonts w:ascii="Times New Roman" w:hAnsi="Times New Roman"/>
          <w:noProof/>
        </w:rPr>
        <w:t xml:space="preserve">Прякото финансиране от ЕС, включително по линия на програмата „Права, равенство и гражданство“, би могло да се използва в по-голяма степен за подпомагане на овластяването на местното </w:t>
      </w:r>
      <w:r>
        <w:rPr>
          <w:rFonts w:ascii="Times New Roman" w:hAnsi="Times New Roman"/>
          <w:b/>
          <w:noProof/>
        </w:rPr>
        <w:t>гражданско общество и изграждане на капацитет</w:t>
      </w:r>
      <w:r>
        <w:rPr>
          <w:rFonts w:ascii="Times New Roman" w:hAnsi="Times New Roman"/>
          <w:noProof/>
        </w:rPr>
        <w:t>, което ще подобри достъпа до фондовете, качеството на изпълнението и независимото наблюдение.</w:t>
      </w:r>
    </w:p>
    <w:p>
      <w:pPr>
        <w:pBdr>
          <w:top w:val="single" w:sz="4" w:space="1" w:color="auto"/>
          <w:left w:val="single" w:sz="4" w:space="4" w:color="auto"/>
          <w:bottom w:val="single" w:sz="4" w:space="1" w:color="auto"/>
          <w:right w:val="single" w:sz="4" w:space="4" w:color="auto"/>
        </w:pBdr>
        <w:shd w:val="clear" w:color="auto" w:fill="E6E6E6"/>
        <w:tabs>
          <w:tab w:val="left" w:pos="0"/>
        </w:tabs>
        <w:spacing w:after="120"/>
        <w:ind w:right="45"/>
        <w:jc w:val="both"/>
        <w:rPr>
          <w:rFonts w:ascii="Times New Roman" w:hAnsi="Times New Roman" w:cs="Times New Roman"/>
          <w:b/>
          <w:noProof/>
        </w:rPr>
      </w:pPr>
      <w:r>
        <w:rPr>
          <w:rFonts w:ascii="Times New Roman" w:hAnsi="Times New Roman"/>
          <w:b/>
          <w:noProof/>
        </w:rPr>
        <w:t xml:space="preserve">ОСНОВНИ ОБЛАСТИ НА ПОЛИТИКАТА И ИЗПОЛЗВАНЕ ПРАВНИ ИНСТРУМЕНТИ И ФИНАНСОВИ ИНСТРУМЕНТИ И ИНСТРУМЕНТИ НА ПОЛИТИКАТА  </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b/>
          <w:noProof/>
        </w:rPr>
        <w:t>Акцент върху ограничен брой основни области, които да бъдат обхванати чрез координирано използване на инструменти на политиката, правни и финансови инструменти за постигане на видими резултати.</w:t>
      </w:r>
    </w:p>
    <w:p>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360"/>
          <w:tab w:val="left" w:pos="8931"/>
        </w:tabs>
        <w:spacing w:after="120"/>
        <w:ind w:left="425" w:right="45" w:hanging="425"/>
        <w:contextualSpacing w:val="0"/>
        <w:jc w:val="both"/>
        <w:rPr>
          <w:rFonts w:ascii="Times New Roman" w:hAnsi="Times New Roman" w:cs="Times New Roman"/>
          <w:b/>
          <w:noProof/>
        </w:rPr>
      </w:pPr>
      <w:r>
        <w:rPr>
          <w:rFonts w:ascii="Times New Roman" w:hAnsi="Times New Roman"/>
          <w:b/>
          <w:noProof/>
        </w:rPr>
        <w:t>Гарантиране на по-ефективно използване на фондовете на ЕС и по-добър достъп до тях.</w:t>
      </w:r>
    </w:p>
    <w:p>
      <w:pPr>
        <w:tabs>
          <w:tab w:val="left" w:pos="8931"/>
        </w:tabs>
        <w:spacing w:after="120"/>
        <w:ind w:right="45"/>
        <w:jc w:val="both"/>
        <w:rPr>
          <w:rFonts w:ascii="Times New Roman" w:hAnsi="Times New Roman" w:cs="Times New Roman"/>
          <w:noProof/>
        </w:rPr>
      </w:pPr>
      <w:r>
        <w:rPr>
          <w:rFonts w:ascii="Times New Roman" w:hAnsi="Times New Roman"/>
          <w:noProof/>
        </w:rPr>
        <w:t>Целите на ЕС за интегриране на ромите, определени в основните области като образование, заетост, здравеопазване и жилищно настаняване продължават да бъдат значими; за да бъде гарантирано по-бързото подобряване на положението на ромските общности обаче, усилията следва да бъдат съсредоточени върху</w:t>
      </w:r>
      <w:r>
        <w:rPr>
          <w:rFonts w:ascii="Times New Roman" w:hAnsi="Times New Roman"/>
          <w:b/>
          <w:noProof/>
        </w:rPr>
        <w:t xml:space="preserve"> ограничен брой важни теми и цели</w:t>
      </w:r>
      <w:r>
        <w:rPr>
          <w:rFonts w:ascii="Times New Roman" w:hAnsi="Times New Roman"/>
          <w:noProof/>
        </w:rPr>
        <w:t xml:space="preserve">, което да позволи комбинирано използване и съгласувано наблюдение на специалните и общите инструменти на политиката, правни и финансови инструменти. Определянето на ограничен брой конкретни национални количествени цели с показатели за избрани приобщаващи реформи и важни целенасочени мерки по всяка област би могло да допринесе за фокусирането на действията и за постигане на по-голямо въздействие. </w:t>
      </w:r>
    </w:p>
    <w:p>
      <w:pPr>
        <w:tabs>
          <w:tab w:val="left" w:pos="8931"/>
        </w:tabs>
        <w:spacing w:after="120"/>
        <w:ind w:right="43"/>
        <w:jc w:val="both"/>
        <w:rPr>
          <w:rFonts w:ascii="Times New Roman" w:hAnsi="Times New Roman" w:cs="Times New Roman"/>
          <w:noProof/>
        </w:rPr>
      </w:pPr>
      <w:r>
        <w:rPr>
          <w:rFonts w:ascii="Times New Roman" w:hAnsi="Times New Roman"/>
          <w:noProof/>
        </w:rPr>
        <w:t>По-доброто съгласуване на приобщаващите реформи на общите политики с приоритетите за интегриране на ромите по НСИР и достъпът до ЕСИФ в определени области, заедно с подобрените условия и принципа на партньорство, биха могли да допринесат за съсредоточаване на усилията и за постигане на видими резултати.</w:t>
      </w:r>
    </w:p>
    <w:p>
      <w:pPr>
        <w:tabs>
          <w:tab w:val="left" w:pos="8931"/>
        </w:tabs>
        <w:spacing w:after="120"/>
        <w:ind w:right="43"/>
        <w:jc w:val="both"/>
        <w:rPr>
          <w:rFonts w:ascii="Times New Roman" w:hAnsi="Times New Roman" w:cs="Times New Roman"/>
          <w:noProof/>
        </w:rPr>
      </w:pPr>
    </w:p>
    <w:sectPr>
      <w:headerReference w:type="even" r:id="rId18"/>
      <w:headerReference w:type="default" r:id="rId19"/>
      <w:footerReference w:type="even" r:id="rId20"/>
      <w:footerReference w:type="default" r:id="rId21"/>
      <w:headerReference w:type="first" r:id="rId22"/>
      <w:footerReference w:type="first" r:id="rId23"/>
      <w:pgSz w:w="11900" w:h="16840"/>
      <w:pgMar w:top="1440" w:right="843"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Fonts w:ascii="Times New Roman" w:hAnsi="Times New Roman" w:cs="Times New Roman"/>
        <w:sz w:val="22"/>
        <w:szCs w:val="22"/>
      </w:rPr>
    </w:pPr>
    <w:r>
      <w:rPr>
        <w:rStyle w:val="PageNumber"/>
        <w:rFonts w:ascii="Times New Roman" w:hAnsi="Times New Roman" w:cs="Times New Roman"/>
        <w:sz w:val="22"/>
        <w:szCs w:val="22"/>
      </w:rPr>
      <w:fldChar w:fldCharType="begin"/>
    </w:r>
    <w:r>
      <w:rPr>
        <w:rStyle w:val="PageNumber"/>
        <w:rFonts w:ascii="Times New Roman" w:hAnsi="Times New Roman" w:cs="Times New Roman"/>
        <w:sz w:val="22"/>
        <w:szCs w:val="22"/>
      </w:rPr>
      <w:instrText xml:space="preserve">PAGE  </w:instrText>
    </w:r>
    <w:r>
      <w:rPr>
        <w:rStyle w:val="PageNumber"/>
        <w:rFonts w:ascii="Times New Roman" w:hAnsi="Times New Roman" w:cs="Times New Roman"/>
        <w:sz w:val="22"/>
        <w:szCs w:val="22"/>
      </w:rPr>
      <w:fldChar w:fldCharType="separate"/>
    </w:r>
    <w:r>
      <w:rPr>
        <w:rStyle w:val="PageNumber"/>
        <w:rFonts w:ascii="Times New Roman" w:hAnsi="Times New Roman" w:cs="Times New Roman"/>
        <w:noProof/>
        <w:sz w:val="22"/>
        <w:szCs w:val="22"/>
      </w:rPr>
      <w:t>2</w:t>
    </w:r>
    <w:r>
      <w:rPr>
        <w:rStyle w:val="PageNumber"/>
        <w:rFonts w:ascii="Times New Roman" w:hAnsi="Times New Roman" w:cs="Times New Roman"/>
        <w:sz w:val="22"/>
        <w:szCs w:val="22"/>
      </w:rP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widowControl w:val="0"/>
        <w:autoSpaceDE w:val="0"/>
        <w:autoSpaceDN w:val="0"/>
        <w:adjustRightInd w:val="0"/>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В съответствие с терминологията на европейските институции и международните организации понятието „роми“ се използва в настоящия документ за назоваване на редица различни групи (напр. роми, синти, кале, цигани, романичели, бояши, ашкали, гюпти, йениш, дом, лом, ром, абдал) и включва „пътуващи хора“, без да се отричат особеностите на тези групи.</w:t>
      </w:r>
    </w:p>
  </w:footnote>
  <w:footnote w:id="2">
    <w:p>
      <w:pPr>
        <w:widowControl w:val="0"/>
        <w:autoSpaceDE w:val="0"/>
        <w:autoSpaceDN w:val="0"/>
        <w:adjustRightInd w:val="0"/>
        <w:ind w:left="284" w:hanging="284"/>
        <w:jc w:val="both"/>
        <w:rPr>
          <w:rFonts w:ascii="Times New Roman" w:eastAsia="Times New Roman" w:hAnsi="Times New Roman" w:cs="Times New Roman"/>
          <w:bCs/>
          <w:color w:val="000000"/>
          <w:sz w:val="20"/>
          <w:szCs w:val="20"/>
          <w:lang w:val="it-IT" w:eastAsia="en-GB"/>
        </w:rPr>
      </w:pPr>
      <w:r>
        <w:rPr>
          <w:rStyle w:val="FootnoteReference"/>
          <w:rFonts w:ascii="Times New Roman" w:hAnsi="Times New Roman"/>
          <w:sz w:val="20"/>
        </w:rPr>
        <w:footnoteRef/>
      </w:r>
      <w:r>
        <w:rPr>
          <w:rFonts w:ascii="Times New Roman" w:hAnsi="Times New Roman"/>
          <w:color w:val="000000"/>
          <w:sz w:val="20"/>
        </w:rPr>
        <w:t xml:space="preserve"> </w:t>
      </w:r>
      <w:r>
        <w:tab/>
      </w:r>
      <w:hyperlink r:id="rId1">
        <w:r>
          <w:rPr>
            <w:rFonts w:ascii="Times New Roman" w:hAnsi="Times New Roman"/>
            <w:color w:val="000000"/>
            <w:sz w:val="20"/>
          </w:rPr>
          <w:t>2010/2276(INI)</w:t>
        </w:r>
      </w:hyperlink>
    </w:p>
  </w:footnote>
  <w:footnote w:id="3">
    <w:p>
      <w:pPr>
        <w:widowControl w:val="0"/>
        <w:autoSpaceDE w:val="0"/>
        <w:autoSpaceDN w:val="0"/>
        <w:adjustRightInd w:val="0"/>
        <w:ind w:left="284" w:hanging="284"/>
        <w:jc w:val="both"/>
        <w:rPr>
          <w:rFonts w:ascii="Times New Roman" w:eastAsia="Times New Roman" w:hAnsi="Times New Roman" w:cs="Times New Roman"/>
          <w:bCs/>
          <w:color w:val="000000"/>
          <w:sz w:val="20"/>
          <w:szCs w:val="20"/>
          <w:lang w:val="it-IT" w:eastAsia="en-GB"/>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000000"/>
          <w:sz w:val="20"/>
        </w:rPr>
        <w:t>COM(2011) 133</w:t>
      </w:r>
    </w:p>
  </w:footnote>
  <w:footnote w:id="4">
    <w:p>
      <w:pPr>
        <w:widowControl w:val="0"/>
        <w:autoSpaceDE w:val="0"/>
        <w:autoSpaceDN w:val="0"/>
        <w:adjustRightInd w:val="0"/>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EUCO 23/11, EPSCO 106665/11. В съответствие със заключенията на Съвета всички държави членки бяха призовани „да подготвят, актуализират или развият своите национални стратегии за приобщаване на ромите </w:t>
      </w:r>
      <w:r>
        <w:rPr>
          <w:rFonts w:ascii="Times New Roman" w:hAnsi="Times New Roman"/>
          <w:i/>
          <w:sz w:val="20"/>
        </w:rPr>
        <w:t>или интегрирани пакети от мерки на политиката</w:t>
      </w:r>
      <w:r>
        <w:rPr>
          <w:rFonts w:ascii="Times New Roman" w:hAnsi="Times New Roman"/>
          <w:sz w:val="20"/>
        </w:rPr>
        <w:t xml:space="preserve"> в рамките на своите по-широки политики за социално приобщаване“. До 2012 г. всички държави членки, с изключение на Малта, представиха стратегии или интегрирани пакети от мерки на политиката. Понятията „национални стратегии за интегриране на ромите“ и „стратегия“ включват също и интегрирани пакети от мерки на политиката.</w:t>
      </w:r>
    </w:p>
  </w:footnote>
  <w:footnote w:id="5">
    <w:p>
      <w:pPr>
        <w:widowControl w:val="0"/>
        <w:autoSpaceDE w:val="0"/>
        <w:autoSpaceDN w:val="0"/>
        <w:adjustRightInd w:val="0"/>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ОВ C 378</w:t>
      </w:r>
    </w:p>
  </w:footnote>
  <w:footnote w:id="6">
    <w:p>
      <w:pPr>
        <w:pStyle w:val="Default"/>
        <w:ind w:left="284" w:hanging="284"/>
        <w:jc w:val="both"/>
        <w:rPr>
          <w:rFonts w:ascii="Times New Roman" w:eastAsiaTheme="minorHAnsi" w:hAnsi="Times New Roman" w:cs="Times New Roman"/>
          <w:spacing w:val="-1"/>
          <w:sz w:val="20"/>
          <w:szCs w:val="20"/>
        </w:rPr>
      </w:pPr>
      <w:r>
        <w:rPr>
          <w:rStyle w:val="FootnoteReference"/>
          <w:rFonts w:ascii="Times New Roman" w:hAnsi="Times New Roman"/>
          <w:color w:val="auto"/>
          <w:sz w:val="20"/>
        </w:rPr>
        <w:footnoteRef/>
      </w:r>
      <w:r>
        <w:rPr>
          <w:rStyle w:val="FootnoteReference"/>
          <w:rFonts w:ascii="Times New Roman" w:hAnsi="Times New Roman"/>
          <w:color w:val="auto"/>
          <w:sz w:val="20"/>
        </w:rPr>
        <w:t xml:space="preserve"> </w:t>
      </w:r>
      <w:r>
        <w:tab/>
      </w:r>
      <w:r>
        <w:rPr>
          <w:rFonts w:ascii="Times New Roman" w:hAnsi="Times New Roman"/>
          <w:spacing w:val="-1"/>
          <w:sz w:val="20"/>
        </w:rPr>
        <w:t>14294/16</w:t>
      </w:r>
    </w:p>
  </w:footnote>
  <w:footnote w:id="7">
    <w:p>
      <w:pPr>
        <w:pStyle w:val="FootnoteText"/>
        <w:ind w:left="284" w:hanging="284"/>
        <w:jc w:val="both"/>
        <w:rPr>
          <w:rFonts w:ascii="Times New Roman" w:hAnsi="Times New Roman" w:cs="Times New Roman"/>
          <w:sz w:val="20"/>
          <w:szCs w:val="20"/>
        </w:rPr>
      </w:pPr>
      <w:r>
        <w:rPr>
          <w:rStyle w:val="FootnoteReference"/>
          <w:rFonts w:eastAsiaTheme="minorEastAsia"/>
        </w:rPr>
        <w:footnoteRef/>
      </w:r>
      <w:r>
        <w:rPr>
          <w:rStyle w:val="FootnoteReference"/>
          <w:rFonts w:eastAsiaTheme="minorEastAsia"/>
        </w:rPr>
        <w:t xml:space="preserve"> </w:t>
      </w:r>
      <w:r>
        <w:tab/>
      </w:r>
      <w:r>
        <w:rPr>
          <w:rFonts w:ascii="Times New Roman" w:hAnsi="Times New Roman"/>
          <w:sz w:val="20"/>
        </w:rPr>
        <w:t>2000/43/EC, 2008/913/JHA</w:t>
      </w:r>
    </w:p>
  </w:footnote>
  <w:footnote w:id="8">
    <w:p>
      <w:pPr>
        <w:pStyle w:val="FootnoteTex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Словашка република, Унгария, Чешка република.</w:t>
      </w:r>
    </w:p>
  </w:footnote>
  <w:footnote w:id="9">
    <w:p>
      <w:pPr>
        <w:widowControl w:val="0"/>
        <w:autoSpaceDE w:val="0"/>
        <w:autoSpaceDN w:val="0"/>
        <w:adjustRightInd w:val="0"/>
        <w:ind w:left="284" w:hanging="284"/>
        <w:jc w:val="both"/>
        <w:rPr>
          <w:rFonts w:ascii="Times New Roman" w:eastAsiaTheme="minorHAnsi" w:hAnsi="Times New Roman" w:cs="Times New Roman"/>
          <w:color w:val="000000"/>
          <w:spacing w:val="-1"/>
          <w:sz w:val="20"/>
          <w:szCs w:val="20"/>
        </w:rPr>
      </w:pPr>
      <w:r>
        <w:rPr>
          <w:rStyle w:val="FootnoteReference"/>
          <w:rFonts w:ascii="Times New Roman" w:hAnsi="Times New Roman"/>
          <w:sz w:val="20"/>
        </w:rPr>
        <w:footnoteRef/>
      </w:r>
      <w:r>
        <w:rPr>
          <w:rFonts w:ascii="Times New Roman" w:hAnsi="Times New Roman"/>
          <w:sz w:val="20"/>
        </w:rPr>
        <w:t xml:space="preserve"> </w:t>
      </w:r>
      <w:r>
        <w:tab/>
      </w:r>
      <w:hyperlink r:id="rId2">
        <w:r>
          <w:rPr>
            <w:rFonts w:ascii="Times New Roman" w:eastAsiaTheme="minorHAnsi" w:hAnsi="Times New Roman"/>
            <w:color w:val="000000"/>
            <w:spacing w:val="-1"/>
            <w:sz w:val="20"/>
          </w:rPr>
          <w:t>2015/2615(RSP)</w:t>
        </w:r>
      </w:hyperlink>
    </w:p>
  </w:footnote>
  <w:footnote w:id="10">
    <w:p>
      <w:pPr>
        <w:pStyle w:val="FootnoteText"/>
        <w:jc w:val="both"/>
        <w:rPr>
          <w:lang w:val="hu-HU"/>
        </w:rPr>
      </w:pPr>
      <w:r>
        <w:rPr>
          <w:rStyle w:val="FootnoteReference"/>
        </w:rPr>
        <w:footnoteRef/>
      </w:r>
      <w:r>
        <w:t xml:space="preserve"> </w:t>
      </w:r>
      <w:r>
        <w:rPr>
          <w:rStyle w:val="FootnoteReference"/>
          <w:rFonts w:ascii="Times New Roman" w:eastAsiaTheme="minorEastAsia" w:hAnsi="Times New Roman"/>
          <w:sz w:val="18"/>
        </w:rPr>
        <w:t xml:space="preserve"> </w:t>
      </w:r>
      <w:hyperlink r:id="rId3">
        <w:r>
          <w:rPr>
            <w:rStyle w:val="Hyperlink"/>
            <w:rFonts w:ascii="Times New Roman" w:hAnsi="Times New Roman"/>
            <w:sz w:val="20"/>
          </w:rPr>
          <w:t>www.antigypsyism.eu</w:t>
        </w:r>
      </w:hyperlink>
    </w:p>
  </w:footnote>
  <w:footnote w:id="11">
    <w:p>
      <w:pPr>
        <w:pStyle w:val="Titreobjet"/>
        <w:spacing w:before="0" w:after="0"/>
        <w:ind w:left="284" w:hanging="284"/>
        <w:jc w:val="both"/>
        <w:rPr>
          <w:rFonts w:eastAsiaTheme="minorHAnsi"/>
          <w:b w:val="0"/>
          <w:sz w:val="20"/>
          <w:szCs w:val="20"/>
        </w:rPr>
      </w:pPr>
      <w:r>
        <w:rPr>
          <w:rStyle w:val="FootnoteReference"/>
          <w:b w:val="0"/>
          <w:color w:val="000000" w:themeColor="text1"/>
          <w:sz w:val="20"/>
        </w:rPr>
        <w:footnoteRef/>
      </w:r>
      <w:r>
        <w:rPr>
          <w:color w:val="000000" w:themeColor="text1"/>
          <w:sz w:val="20"/>
        </w:rPr>
        <w:t xml:space="preserve"> </w:t>
      </w:r>
      <w:r>
        <w:tab/>
      </w:r>
      <w:r>
        <w:rPr>
          <w:b w:val="0"/>
          <w:noProof/>
          <w:color w:val="000000" w:themeColor="text1"/>
          <w:sz w:val="20"/>
        </w:rPr>
        <w:t>Стратегията на</w:t>
      </w:r>
      <w:r>
        <w:rPr>
          <w:b w:val="0"/>
          <w:i/>
          <w:noProof/>
          <w:color w:val="000000" w:themeColor="text1"/>
          <w:sz w:val="20"/>
        </w:rPr>
        <w:t xml:space="preserve"> ЕС за премахване на трафика на хора за периода 2012—2016 г.</w:t>
      </w:r>
      <w:r>
        <w:rPr>
          <w:b w:val="0"/>
          <w:noProof/>
          <w:color w:val="000000" w:themeColor="text1"/>
          <w:sz w:val="20"/>
        </w:rPr>
        <w:t xml:space="preserve"> (COM(2012) 286 final) доведе до съответните резултати, като</w:t>
      </w:r>
      <w:r>
        <w:rPr>
          <w:rFonts w:eastAsiaTheme="minorHAnsi"/>
          <w:b w:val="0"/>
          <w:sz w:val="20"/>
        </w:rPr>
        <w:t xml:space="preserve"> проведеното през 2015 г. проучване на групите, изложени на голям риск от трафик на хора, и</w:t>
      </w:r>
      <w:r>
        <w:rPr>
          <w:rStyle w:val="Strong"/>
          <w:rFonts w:eastAsiaTheme="minorHAnsi"/>
          <w:color w:val="000000" w:themeColor="text1"/>
          <w:sz w:val="20"/>
        </w:rPr>
        <w:t xml:space="preserve"> </w:t>
      </w:r>
      <w:r>
        <w:rPr>
          <w:rFonts w:eastAsiaTheme="minorHAnsi"/>
          <w:b w:val="0"/>
          <w:i/>
          <w:sz w:val="20"/>
        </w:rPr>
        <w:t xml:space="preserve">Доклада относно напредъка в борбата с трафика на хора </w:t>
      </w:r>
      <w:r>
        <w:rPr>
          <w:rFonts w:eastAsiaTheme="minorHAnsi"/>
          <w:b w:val="0"/>
          <w:sz w:val="20"/>
        </w:rPr>
        <w:t>(COM(2016) 267 final и SWD(2016) 159 final).</w:t>
      </w:r>
      <w:r>
        <w:rPr>
          <w:rStyle w:val="Strong"/>
          <w:color w:val="000000" w:themeColor="text1"/>
          <w:sz w:val="20"/>
        </w:rPr>
        <w:t xml:space="preserve"> </w:t>
      </w:r>
    </w:p>
  </w:footnote>
  <w:footnote w:id="12">
    <w:p>
      <w:pPr>
        <w:pStyle w:val="FootnoteText"/>
        <w:jc w:val="both"/>
        <w:rPr>
          <w:rFonts w:ascii="Times New Roman" w:hAnsi="Times New Roman" w:cs="Times New Roman"/>
          <w:sz w:val="20"/>
          <w:szCs w:val="20"/>
          <w:lang w:val="hu-HU"/>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България, Румъния, Словашка република, Унгария, Чешка република.</w:t>
      </w:r>
    </w:p>
  </w:footnote>
  <w:footnote w:id="13">
    <w:p>
      <w:pPr>
        <w:pStyle w:val="FootnoteText"/>
        <w:jc w:val="both"/>
        <w:rPr>
          <w:rFonts w:ascii="Times New Roman" w:hAnsi="Times New Roman" w:cs="Times New Roman"/>
          <w:sz w:val="20"/>
          <w:szCs w:val="20"/>
          <w:lang w:val="hu-HU"/>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noProof/>
          <w:sz w:val="20"/>
          <w:szCs w:val="20"/>
        </w:rPr>
        <w:t>Пак там</w:t>
      </w:r>
      <w:r>
        <w:rPr>
          <w:rFonts w:ascii="Times New Roman" w:hAnsi="Times New Roman" w:cs="Times New Roman"/>
          <w:sz w:val="20"/>
          <w:szCs w:val="20"/>
        </w:rPr>
        <w:t xml:space="preserve"> — Насочването се извършва по време на процеса на подбор, като се отдава приоритет на проекти, които са насочени към разрешаването на проблеми на маргинализирани групи в селските райони, основно по мярка 7 „Основни услуги и обновяване на селата в селските райони“ и по мярка 19 „Водено от общностите местно развитие“.</w:t>
      </w:r>
    </w:p>
  </w:footnote>
  <w:footnote w:id="14">
    <w:p>
      <w:pPr>
        <w:pStyle w:val="Plain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EN 2016, № 14</w:t>
      </w:r>
    </w:p>
  </w:footnote>
  <w:footnote w:id="15">
    <w:p>
      <w:pPr>
        <w:pStyle w:val="Footnote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2011/C 191/01</w:t>
      </w:r>
    </w:p>
  </w:footnote>
  <w:footnote w:id="16">
    <w:p>
      <w:pPr>
        <w:pStyle w:val="FootnoteText"/>
        <w:jc w:val="both"/>
        <w:rPr>
          <w:lang w:val="hu-HU"/>
        </w:rPr>
      </w:pPr>
      <w:r>
        <w:rPr>
          <w:rStyle w:val="FootnoteReference"/>
        </w:rPr>
        <w:footnoteRef/>
      </w:r>
      <w:r>
        <w:t xml:space="preserve"> </w:t>
      </w:r>
      <w:r>
        <w:rPr>
          <w:rFonts w:ascii="Times New Roman" w:hAnsi="Times New Roman"/>
          <w:sz w:val="20"/>
        </w:rPr>
        <w:t>17.3.2015 г., неофициална среща на министрите на образованието на държавите от ЕС.</w:t>
      </w:r>
    </w:p>
  </w:footnote>
  <w:footnote w:id="17">
    <w:p>
      <w:pPr>
        <w:pStyle w:val="Footnote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Доклад относно здравето на ромите от 2014 г.</w:t>
      </w:r>
    </w:p>
  </w:footnote>
  <w:footnote w:id="18">
    <w:p>
      <w:pPr>
        <w:pStyle w:val="FootnoteText"/>
        <w:ind w:left="284" w:hanging="284"/>
        <w:jc w:val="both"/>
        <w:rPr>
          <w:rFonts w:ascii="Times New Roman" w:hAnsi="Times New Roman" w:cs="Times New Roman"/>
          <w:sz w:val="20"/>
          <w:szCs w:val="20"/>
        </w:rPr>
      </w:pPr>
      <w:r>
        <w:rPr>
          <w:rStyle w:val="FootnoteReference"/>
          <w:rFonts w:ascii="Times New Roman" w:hAnsi="Times New Roman"/>
          <w:color w:val="000000" w:themeColor="text1"/>
          <w:sz w:val="20"/>
        </w:rPr>
        <w:footnoteRef/>
      </w:r>
      <w:r>
        <w:rPr>
          <w:rFonts w:ascii="Times New Roman" w:hAnsi="Times New Roman"/>
          <w:color w:val="000000" w:themeColor="text1"/>
          <w:sz w:val="20"/>
        </w:rPr>
        <w:t xml:space="preserve"> </w:t>
      </w:r>
      <w:r>
        <w:tab/>
      </w:r>
      <w:r>
        <w:rPr>
          <w:rFonts w:ascii="Times New Roman" w:hAnsi="Times New Roman"/>
          <w:color w:val="000000" w:themeColor="text1"/>
          <w:sz w:val="20"/>
        </w:rPr>
        <w:t>Въз основа на пилотното проучване на положението на ромите, проведено през 2011 г. от Агенцията на Европейския съюз за основните права (FRA), и проведеното през 2016 г. второ проучване на положението на малцинствата и дискриминацията в Европейския съюз (EU</w:t>
      </w:r>
      <w:r>
        <w:noBreakHyphen/>
      </w:r>
      <w:r>
        <w:rPr>
          <w:rFonts w:ascii="Times New Roman" w:hAnsi="Times New Roman"/>
          <w:color w:val="000000" w:themeColor="text1"/>
          <w:sz w:val="20"/>
        </w:rPr>
        <w:t>MIDIS II), вж. работния документ на службите на Комисията (SWD) в приложението.</w:t>
      </w:r>
    </w:p>
  </w:footnote>
  <w:footnote w:id="19">
    <w:p>
      <w:pPr>
        <w:pStyle w:val="FootnoteTex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000000" w:themeColor="text1"/>
          <w:spacing w:val="-1"/>
          <w:sz w:val="20"/>
        </w:rPr>
        <w:t>EU</w:t>
      </w:r>
      <w:r>
        <w:noBreakHyphen/>
      </w:r>
      <w:r>
        <w:rPr>
          <w:rFonts w:ascii="Times New Roman" w:hAnsi="Times New Roman"/>
          <w:color w:val="000000" w:themeColor="text1"/>
          <w:spacing w:val="-1"/>
          <w:sz w:val="20"/>
        </w:rPr>
        <w:t>MIDIS II (избрани констатации).</w:t>
      </w:r>
    </w:p>
  </w:footnote>
  <w:footnote w:id="20">
    <w:p>
      <w:pPr>
        <w:pStyle w:val="FootnoteText"/>
        <w:ind w:left="284" w:hanging="284"/>
        <w:jc w:val="both"/>
        <w:rPr>
          <w:rFonts w:ascii="Times New Roman" w:hAnsi="Times New Roman" w:cs="Times New Roman"/>
          <w:color w:val="000000" w:themeColor="text1"/>
          <w:spacing w:val="-1"/>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color w:val="000000" w:themeColor="text1"/>
          <w:spacing w:val="-1"/>
          <w:sz w:val="20"/>
        </w:rPr>
        <w:t>Пак 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F7F"/>
    <w:multiLevelType w:val="hybridMultilevel"/>
    <w:tmpl w:val="3FD666E4"/>
    <w:lvl w:ilvl="0" w:tplc="0809000D">
      <w:start w:val="1"/>
      <w:numFmt w:val="bullet"/>
      <w:lvlText w:val=""/>
      <w:lvlJc w:val="left"/>
      <w:pPr>
        <w:ind w:left="-980" w:hanging="360"/>
      </w:pPr>
      <w:rPr>
        <w:rFonts w:ascii="Wingdings" w:hAnsi="Wingdings" w:hint="default"/>
      </w:rPr>
    </w:lvl>
    <w:lvl w:ilvl="1" w:tplc="08090003" w:tentative="1">
      <w:start w:val="1"/>
      <w:numFmt w:val="bullet"/>
      <w:lvlText w:val="o"/>
      <w:lvlJc w:val="left"/>
      <w:pPr>
        <w:ind w:left="-260" w:hanging="360"/>
      </w:pPr>
      <w:rPr>
        <w:rFonts w:ascii="Courier New" w:hAnsi="Courier New" w:cs="Courier New" w:hint="default"/>
      </w:rPr>
    </w:lvl>
    <w:lvl w:ilvl="2" w:tplc="08090005" w:tentative="1">
      <w:start w:val="1"/>
      <w:numFmt w:val="bullet"/>
      <w:lvlText w:val=""/>
      <w:lvlJc w:val="left"/>
      <w:pPr>
        <w:ind w:left="460" w:hanging="360"/>
      </w:pPr>
      <w:rPr>
        <w:rFonts w:ascii="Wingdings" w:hAnsi="Wingdings" w:hint="default"/>
      </w:rPr>
    </w:lvl>
    <w:lvl w:ilvl="3" w:tplc="08090001" w:tentative="1">
      <w:start w:val="1"/>
      <w:numFmt w:val="bullet"/>
      <w:lvlText w:val=""/>
      <w:lvlJc w:val="left"/>
      <w:pPr>
        <w:ind w:left="1180" w:hanging="360"/>
      </w:pPr>
      <w:rPr>
        <w:rFonts w:ascii="Symbol" w:hAnsi="Symbol" w:hint="default"/>
      </w:rPr>
    </w:lvl>
    <w:lvl w:ilvl="4" w:tplc="08090003" w:tentative="1">
      <w:start w:val="1"/>
      <w:numFmt w:val="bullet"/>
      <w:lvlText w:val="o"/>
      <w:lvlJc w:val="left"/>
      <w:pPr>
        <w:ind w:left="1900" w:hanging="360"/>
      </w:pPr>
      <w:rPr>
        <w:rFonts w:ascii="Courier New" w:hAnsi="Courier New" w:cs="Courier New" w:hint="default"/>
      </w:rPr>
    </w:lvl>
    <w:lvl w:ilvl="5" w:tplc="08090005" w:tentative="1">
      <w:start w:val="1"/>
      <w:numFmt w:val="bullet"/>
      <w:lvlText w:val=""/>
      <w:lvlJc w:val="left"/>
      <w:pPr>
        <w:ind w:left="2620" w:hanging="360"/>
      </w:pPr>
      <w:rPr>
        <w:rFonts w:ascii="Wingdings" w:hAnsi="Wingdings" w:hint="default"/>
      </w:rPr>
    </w:lvl>
    <w:lvl w:ilvl="6" w:tplc="08090001" w:tentative="1">
      <w:start w:val="1"/>
      <w:numFmt w:val="bullet"/>
      <w:lvlText w:val=""/>
      <w:lvlJc w:val="left"/>
      <w:pPr>
        <w:ind w:left="3340" w:hanging="360"/>
      </w:pPr>
      <w:rPr>
        <w:rFonts w:ascii="Symbol" w:hAnsi="Symbol" w:hint="default"/>
      </w:rPr>
    </w:lvl>
    <w:lvl w:ilvl="7" w:tplc="08090003" w:tentative="1">
      <w:start w:val="1"/>
      <w:numFmt w:val="bullet"/>
      <w:lvlText w:val="o"/>
      <w:lvlJc w:val="left"/>
      <w:pPr>
        <w:ind w:left="4060" w:hanging="360"/>
      </w:pPr>
      <w:rPr>
        <w:rFonts w:ascii="Courier New" w:hAnsi="Courier New" w:cs="Courier New" w:hint="default"/>
      </w:rPr>
    </w:lvl>
    <w:lvl w:ilvl="8" w:tplc="08090005" w:tentative="1">
      <w:start w:val="1"/>
      <w:numFmt w:val="bullet"/>
      <w:lvlText w:val=""/>
      <w:lvlJc w:val="left"/>
      <w:pPr>
        <w:ind w:left="4780" w:hanging="360"/>
      </w:pPr>
      <w:rPr>
        <w:rFonts w:ascii="Wingdings" w:hAnsi="Wingdings" w:hint="default"/>
      </w:rPr>
    </w:lvl>
  </w:abstractNum>
  <w:abstractNum w:abstractNumId="1">
    <w:nsid w:val="03FC1C8D"/>
    <w:multiLevelType w:val="hybridMultilevel"/>
    <w:tmpl w:val="030674A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3421F"/>
    <w:multiLevelType w:val="hybridMultilevel"/>
    <w:tmpl w:val="BBFAF87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802589"/>
    <w:multiLevelType w:val="hybridMultilevel"/>
    <w:tmpl w:val="6CD243F4"/>
    <w:lvl w:ilvl="0" w:tplc="0409000F">
      <w:start w:val="1"/>
      <w:numFmt w:val="decimal"/>
      <w:lvlText w:val="%1."/>
      <w:lvlJc w:val="left"/>
      <w:pPr>
        <w:ind w:left="720" w:hanging="360"/>
      </w:pPr>
      <w:rPr>
        <w:rFonts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965F0"/>
    <w:multiLevelType w:val="hybridMultilevel"/>
    <w:tmpl w:val="062641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BD20DB"/>
    <w:multiLevelType w:val="hybridMultilevel"/>
    <w:tmpl w:val="CB9826B0"/>
    <w:lvl w:ilvl="0" w:tplc="A2EE1C2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C824E2"/>
    <w:multiLevelType w:val="hybridMultilevel"/>
    <w:tmpl w:val="3B686214"/>
    <w:lvl w:ilvl="0" w:tplc="04090001">
      <w:start w:val="1"/>
      <w:numFmt w:val="bullet"/>
      <w:lvlText w:val=""/>
      <w:lvlJc w:val="left"/>
      <w:pPr>
        <w:tabs>
          <w:tab w:val="num" w:pos="720"/>
        </w:tabs>
        <w:ind w:left="720" w:hanging="360"/>
      </w:pPr>
      <w:rPr>
        <w:rFonts w:ascii="Symbol" w:hAnsi="Symbol" w:hint="default"/>
      </w:rPr>
    </w:lvl>
    <w:lvl w:ilvl="1" w:tplc="2B68A26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DD7E15"/>
    <w:multiLevelType w:val="hybridMultilevel"/>
    <w:tmpl w:val="A324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BE6D4D"/>
    <w:multiLevelType w:val="hybridMultilevel"/>
    <w:tmpl w:val="F190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DC7F87"/>
    <w:multiLevelType w:val="hybridMultilevel"/>
    <w:tmpl w:val="568A57B4"/>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643102"/>
    <w:multiLevelType w:val="hybridMultilevel"/>
    <w:tmpl w:val="AB7C69DC"/>
    <w:lvl w:ilvl="0" w:tplc="6B74B19C">
      <w:start w:val="1"/>
      <w:numFmt w:val="bullet"/>
      <w:lvlText w:val="•"/>
      <w:lvlJc w:val="left"/>
      <w:pPr>
        <w:ind w:left="360" w:hanging="360"/>
      </w:pPr>
      <w:rPr>
        <w:rFonts w:ascii="Times" w:hAnsi="Time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153CBB"/>
    <w:multiLevelType w:val="hybridMultilevel"/>
    <w:tmpl w:val="29DE7906"/>
    <w:lvl w:ilvl="0" w:tplc="B896F8E4">
      <w:start w:val="1"/>
      <w:numFmt w:val="bullet"/>
      <w:lvlText w:val=""/>
      <w:lvlJc w:val="left"/>
      <w:pPr>
        <w:ind w:left="851" w:hanging="360"/>
      </w:pPr>
      <w:rPr>
        <w:rFonts w:ascii="Wingdings" w:hAnsi="Wingdings" w:hint="default"/>
        <w:sz w:val="24"/>
        <w:u w:val="none"/>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2">
    <w:nsid w:val="1BE43F79"/>
    <w:multiLevelType w:val="hybridMultilevel"/>
    <w:tmpl w:val="E242ACD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B136EA"/>
    <w:multiLevelType w:val="hybridMultilevel"/>
    <w:tmpl w:val="BE54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915BE9"/>
    <w:multiLevelType w:val="hybridMultilevel"/>
    <w:tmpl w:val="7578E8AE"/>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870F7B"/>
    <w:multiLevelType w:val="hybridMultilevel"/>
    <w:tmpl w:val="48FE92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D5F4D1C"/>
    <w:multiLevelType w:val="hybridMultilevel"/>
    <w:tmpl w:val="F990929A"/>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041825"/>
    <w:multiLevelType w:val="hybridMultilevel"/>
    <w:tmpl w:val="F990B2F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F23887"/>
    <w:multiLevelType w:val="hybridMultilevel"/>
    <w:tmpl w:val="9B7674D4"/>
    <w:lvl w:ilvl="0" w:tplc="3CF2A4B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014BAE"/>
    <w:multiLevelType w:val="hybridMultilevel"/>
    <w:tmpl w:val="3E385B84"/>
    <w:lvl w:ilvl="0" w:tplc="2B68A268">
      <w:start w:val="3"/>
      <w:numFmt w:val="bullet"/>
      <w:lvlText w:val="-"/>
      <w:lvlJc w:val="left"/>
      <w:pPr>
        <w:ind w:left="360" w:hanging="360"/>
      </w:pPr>
      <w:rPr>
        <w:rFonts w:ascii="Times New Roman" w:eastAsia="Times New Roman" w:hAnsi="Times New Roman" w:cs="Times New Roman" w:hint="default"/>
      </w:rPr>
    </w:lvl>
    <w:lvl w:ilvl="1" w:tplc="2B68A268">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996CE0"/>
    <w:multiLevelType w:val="hybridMultilevel"/>
    <w:tmpl w:val="2864F130"/>
    <w:lvl w:ilvl="0" w:tplc="08090001">
      <w:start w:val="1"/>
      <w:numFmt w:val="bullet"/>
      <w:lvlText w:val=""/>
      <w:lvlJc w:val="left"/>
      <w:pPr>
        <w:ind w:left="-65" w:hanging="360"/>
      </w:pPr>
      <w:rPr>
        <w:rFonts w:ascii="Symbol" w:hAnsi="Symbol"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21">
    <w:nsid w:val="3F3D356A"/>
    <w:multiLevelType w:val="hybridMultilevel"/>
    <w:tmpl w:val="BB368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1362FE"/>
    <w:multiLevelType w:val="hybridMultilevel"/>
    <w:tmpl w:val="EE88612E"/>
    <w:lvl w:ilvl="0" w:tplc="B896F8E4">
      <w:start w:val="1"/>
      <w:numFmt w:val="bullet"/>
      <w:lvlText w:val=""/>
      <w:lvlJc w:val="left"/>
      <w:pPr>
        <w:ind w:left="785" w:hanging="360"/>
      </w:pPr>
      <w:rPr>
        <w:rFonts w:ascii="Wingdings" w:hAnsi="Wingdings" w:hint="default"/>
        <w:sz w:val="24"/>
        <w:u w:val="no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nsid w:val="441807F7"/>
    <w:multiLevelType w:val="hybridMultilevel"/>
    <w:tmpl w:val="5BEA93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9D62F4"/>
    <w:multiLevelType w:val="hybridMultilevel"/>
    <w:tmpl w:val="04BC1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5A45EFA"/>
    <w:multiLevelType w:val="hybridMultilevel"/>
    <w:tmpl w:val="EC52A160"/>
    <w:lvl w:ilvl="0" w:tplc="3DF2C38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nsid w:val="48FB00AB"/>
    <w:multiLevelType w:val="hybridMultilevel"/>
    <w:tmpl w:val="BD86460E"/>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nsid w:val="4BD61FE7"/>
    <w:multiLevelType w:val="hybridMultilevel"/>
    <w:tmpl w:val="5008B0E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115BD4"/>
    <w:multiLevelType w:val="hybridMultilevel"/>
    <w:tmpl w:val="B9046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E74A76"/>
    <w:multiLevelType w:val="hybridMultilevel"/>
    <w:tmpl w:val="9B42A436"/>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nsid w:val="4F9C4E7A"/>
    <w:multiLevelType w:val="hybridMultilevel"/>
    <w:tmpl w:val="DBEED978"/>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171BFB"/>
    <w:multiLevelType w:val="hybridMultilevel"/>
    <w:tmpl w:val="6B063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45C26F7"/>
    <w:multiLevelType w:val="hybridMultilevel"/>
    <w:tmpl w:val="F6D27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4725469"/>
    <w:multiLevelType w:val="hybridMultilevel"/>
    <w:tmpl w:val="20DA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6CB6BA5"/>
    <w:multiLevelType w:val="multilevel"/>
    <w:tmpl w:val="5BEA93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5">
    <w:nsid w:val="57D432B9"/>
    <w:multiLevelType w:val="hybridMultilevel"/>
    <w:tmpl w:val="3D7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2E48A0"/>
    <w:multiLevelType w:val="hybridMultilevel"/>
    <w:tmpl w:val="E336202A"/>
    <w:lvl w:ilvl="0" w:tplc="34B0C576">
      <w:start w:val="1"/>
      <w:numFmt w:val="bullet"/>
      <w:lvlText w:val=""/>
      <w:lvlJc w:val="left"/>
      <w:pPr>
        <w:ind w:left="360" w:hanging="360"/>
      </w:pPr>
      <w:rPr>
        <w:rFonts w:ascii="Symbol" w:hAnsi="Symbol"/>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37">
    <w:nsid w:val="5E8D091E"/>
    <w:multiLevelType w:val="hybridMultilevel"/>
    <w:tmpl w:val="0040F94A"/>
    <w:lvl w:ilvl="0" w:tplc="04090001">
      <w:start w:val="1"/>
      <w:numFmt w:val="bullet"/>
      <w:lvlText w:val=""/>
      <w:lvlJc w:val="left"/>
      <w:pPr>
        <w:ind w:left="-492" w:hanging="360"/>
      </w:pPr>
      <w:rPr>
        <w:rFonts w:ascii="Symbol" w:hAnsi="Symbol" w:hint="default"/>
      </w:rPr>
    </w:lvl>
    <w:lvl w:ilvl="1" w:tplc="04090003">
      <w:start w:val="1"/>
      <w:numFmt w:val="bullet"/>
      <w:lvlText w:val="o"/>
      <w:lvlJc w:val="left"/>
      <w:pPr>
        <w:ind w:left="228" w:hanging="360"/>
      </w:pPr>
      <w:rPr>
        <w:rFonts w:ascii="Courier New" w:hAnsi="Courier New" w:hint="default"/>
      </w:rPr>
    </w:lvl>
    <w:lvl w:ilvl="2" w:tplc="04090005" w:tentative="1">
      <w:start w:val="1"/>
      <w:numFmt w:val="bullet"/>
      <w:lvlText w:val=""/>
      <w:lvlJc w:val="left"/>
      <w:pPr>
        <w:ind w:left="948" w:hanging="360"/>
      </w:pPr>
      <w:rPr>
        <w:rFonts w:ascii="Wingdings" w:hAnsi="Wingdings" w:hint="default"/>
      </w:rPr>
    </w:lvl>
    <w:lvl w:ilvl="3" w:tplc="04090001" w:tentative="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hint="default"/>
      </w:rPr>
    </w:lvl>
    <w:lvl w:ilvl="8" w:tplc="04090005" w:tentative="1">
      <w:start w:val="1"/>
      <w:numFmt w:val="bullet"/>
      <w:lvlText w:val=""/>
      <w:lvlJc w:val="left"/>
      <w:pPr>
        <w:ind w:left="5268" w:hanging="360"/>
      </w:pPr>
      <w:rPr>
        <w:rFonts w:ascii="Wingdings" w:hAnsi="Wingdings" w:hint="default"/>
      </w:rPr>
    </w:lvl>
  </w:abstractNum>
  <w:abstractNum w:abstractNumId="38">
    <w:nsid w:val="5F477F2A"/>
    <w:multiLevelType w:val="hybridMultilevel"/>
    <w:tmpl w:val="A92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015B45"/>
    <w:multiLevelType w:val="hybridMultilevel"/>
    <w:tmpl w:val="48868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556345A"/>
    <w:multiLevelType w:val="hybridMultilevel"/>
    <w:tmpl w:val="20D603BA"/>
    <w:lvl w:ilvl="0" w:tplc="0809000B">
      <w:start w:val="1"/>
      <w:numFmt w:val="bullet"/>
      <w:lvlText w:val=""/>
      <w:lvlJc w:val="left"/>
      <w:pPr>
        <w:ind w:left="360" w:hanging="360"/>
      </w:pPr>
      <w:rPr>
        <w:rFonts w:ascii="Wingdings" w:hAnsi="Wingdings" w:hint="default"/>
      </w:rPr>
    </w:lvl>
    <w:lvl w:ilvl="1" w:tplc="C1CC2A1E">
      <w:start w:val="1"/>
      <w:numFmt w:val="bullet"/>
      <w:lvlText w:val="o"/>
      <w:lvlJc w:val="left"/>
      <w:pPr>
        <w:ind w:left="1080" w:hanging="360"/>
      </w:pPr>
      <w:rPr>
        <w:rFonts w:ascii="Courier New" w:hAnsi="Courier New"/>
      </w:rPr>
    </w:lvl>
    <w:lvl w:ilvl="2" w:tplc="3E20E666">
      <w:start w:val="1"/>
      <w:numFmt w:val="bullet"/>
      <w:lvlText w:val=""/>
      <w:lvlJc w:val="left"/>
      <w:pPr>
        <w:ind w:left="1800" w:hanging="360"/>
      </w:pPr>
      <w:rPr>
        <w:rFonts w:ascii="Wingdings" w:hAnsi="Wingdings"/>
      </w:rPr>
    </w:lvl>
    <w:lvl w:ilvl="3" w:tplc="6520145C">
      <w:start w:val="1"/>
      <w:numFmt w:val="bullet"/>
      <w:lvlText w:val=""/>
      <w:lvlJc w:val="left"/>
      <w:pPr>
        <w:ind w:left="2520" w:hanging="360"/>
      </w:pPr>
      <w:rPr>
        <w:rFonts w:ascii="Symbol" w:hAnsi="Symbol"/>
      </w:rPr>
    </w:lvl>
    <w:lvl w:ilvl="4" w:tplc="70585698">
      <w:start w:val="1"/>
      <w:numFmt w:val="bullet"/>
      <w:lvlText w:val="o"/>
      <w:lvlJc w:val="left"/>
      <w:pPr>
        <w:ind w:left="3240" w:hanging="360"/>
      </w:pPr>
      <w:rPr>
        <w:rFonts w:ascii="Courier New" w:hAnsi="Courier New"/>
      </w:rPr>
    </w:lvl>
    <w:lvl w:ilvl="5" w:tplc="74F2F030">
      <w:start w:val="1"/>
      <w:numFmt w:val="bullet"/>
      <w:lvlText w:val=""/>
      <w:lvlJc w:val="left"/>
      <w:pPr>
        <w:ind w:left="3960" w:hanging="360"/>
      </w:pPr>
      <w:rPr>
        <w:rFonts w:ascii="Wingdings" w:hAnsi="Wingdings"/>
      </w:rPr>
    </w:lvl>
    <w:lvl w:ilvl="6" w:tplc="F36E47D8">
      <w:start w:val="1"/>
      <w:numFmt w:val="bullet"/>
      <w:lvlText w:val=""/>
      <w:lvlJc w:val="left"/>
      <w:pPr>
        <w:ind w:left="4680" w:hanging="360"/>
      </w:pPr>
      <w:rPr>
        <w:rFonts w:ascii="Symbol" w:hAnsi="Symbol"/>
      </w:rPr>
    </w:lvl>
    <w:lvl w:ilvl="7" w:tplc="9DA68196">
      <w:start w:val="1"/>
      <w:numFmt w:val="bullet"/>
      <w:lvlText w:val="o"/>
      <w:lvlJc w:val="left"/>
      <w:pPr>
        <w:ind w:left="5400" w:hanging="360"/>
      </w:pPr>
      <w:rPr>
        <w:rFonts w:ascii="Courier New" w:hAnsi="Courier New"/>
      </w:rPr>
    </w:lvl>
    <w:lvl w:ilvl="8" w:tplc="E5767058">
      <w:start w:val="1"/>
      <w:numFmt w:val="bullet"/>
      <w:lvlText w:val=""/>
      <w:lvlJc w:val="left"/>
      <w:pPr>
        <w:ind w:left="6120" w:hanging="360"/>
      </w:pPr>
      <w:rPr>
        <w:rFonts w:ascii="Wingdings" w:hAnsi="Wingdings"/>
      </w:rPr>
    </w:lvl>
  </w:abstractNum>
  <w:abstractNum w:abstractNumId="41">
    <w:nsid w:val="766E2042"/>
    <w:multiLevelType w:val="hybridMultilevel"/>
    <w:tmpl w:val="3D5A2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7831D74"/>
    <w:multiLevelType w:val="hybridMultilevel"/>
    <w:tmpl w:val="4F943112"/>
    <w:lvl w:ilvl="0" w:tplc="6B74B19C">
      <w:start w:val="1"/>
      <w:numFmt w:val="bullet"/>
      <w:lvlText w:val="•"/>
      <w:lvlJc w:val="left"/>
      <w:pPr>
        <w:ind w:left="360" w:hanging="360"/>
      </w:pPr>
      <w:rPr>
        <w:rFonts w:ascii="Times" w:hAns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CF7693D"/>
    <w:multiLevelType w:val="hybridMultilevel"/>
    <w:tmpl w:val="234C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FBB0136"/>
    <w:multiLevelType w:val="hybridMultilevel"/>
    <w:tmpl w:val="FB3E1ACA"/>
    <w:lvl w:ilvl="0" w:tplc="DDBACED8">
      <w:start w:val="1"/>
      <w:numFmt w:val="bullet"/>
      <w:lvlText w:val="٠"/>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3"/>
  </w:num>
  <w:num w:numId="4">
    <w:abstractNumId w:val="33"/>
  </w:num>
  <w:num w:numId="5">
    <w:abstractNumId w:val="15"/>
  </w:num>
  <w:num w:numId="6">
    <w:abstractNumId w:val="29"/>
  </w:num>
  <w:num w:numId="7">
    <w:abstractNumId w:val="1"/>
  </w:num>
  <w:num w:numId="8">
    <w:abstractNumId w:val="6"/>
  </w:num>
  <w:num w:numId="9">
    <w:abstractNumId w:val="8"/>
  </w:num>
  <w:num w:numId="10">
    <w:abstractNumId w:val="35"/>
  </w:num>
  <w:num w:numId="11">
    <w:abstractNumId w:val="24"/>
  </w:num>
  <w:num w:numId="12">
    <w:abstractNumId w:val="18"/>
  </w:num>
  <w:num w:numId="13">
    <w:abstractNumId w:val="27"/>
  </w:num>
  <w:num w:numId="14">
    <w:abstractNumId w:val="5"/>
  </w:num>
  <w:num w:numId="15">
    <w:abstractNumId w:val="21"/>
  </w:num>
  <w:num w:numId="16">
    <w:abstractNumId w:val="37"/>
  </w:num>
  <w:num w:numId="17">
    <w:abstractNumId w:val="36"/>
  </w:num>
  <w:num w:numId="18">
    <w:abstractNumId w:val="44"/>
  </w:num>
  <w:num w:numId="19">
    <w:abstractNumId w:val="41"/>
  </w:num>
  <w:num w:numId="20">
    <w:abstractNumId w:val="3"/>
  </w:num>
  <w:num w:numId="21">
    <w:abstractNumId w:val="19"/>
  </w:num>
  <w:num w:numId="22">
    <w:abstractNumId w:val="4"/>
  </w:num>
  <w:num w:numId="23">
    <w:abstractNumId w:val="38"/>
  </w:num>
  <w:num w:numId="24">
    <w:abstractNumId w:val="28"/>
  </w:num>
  <w:num w:numId="25">
    <w:abstractNumId w:val="42"/>
  </w:num>
  <w:num w:numId="26">
    <w:abstractNumId w:val="10"/>
  </w:num>
  <w:num w:numId="27">
    <w:abstractNumId w:val="23"/>
  </w:num>
  <w:num w:numId="28">
    <w:abstractNumId w:val="43"/>
  </w:num>
  <w:num w:numId="29">
    <w:abstractNumId w:val="31"/>
  </w:num>
  <w:num w:numId="30">
    <w:abstractNumId w:val="39"/>
  </w:num>
  <w:num w:numId="31">
    <w:abstractNumId w:val="13"/>
  </w:num>
  <w:num w:numId="32">
    <w:abstractNumId w:val="12"/>
  </w:num>
  <w:num w:numId="33">
    <w:abstractNumId w:val="25"/>
  </w:num>
  <w:num w:numId="34">
    <w:abstractNumId w:val="26"/>
  </w:num>
  <w:num w:numId="35">
    <w:abstractNumId w:val="11"/>
  </w:num>
  <w:num w:numId="36">
    <w:abstractNumId w:val="40"/>
  </w:num>
  <w:num w:numId="37">
    <w:abstractNumId w:val="2"/>
  </w:num>
  <w:num w:numId="38">
    <w:abstractNumId w:val="30"/>
  </w:num>
  <w:num w:numId="39">
    <w:abstractNumId w:val="9"/>
  </w:num>
  <w:num w:numId="40">
    <w:abstractNumId w:val="14"/>
  </w:num>
  <w:num w:numId="41">
    <w:abstractNumId w:val="17"/>
  </w:num>
  <w:num w:numId="42">
    <w:abstractNumId w:val="0"/>
  </w:num>
  <w:num w:numId="43">
    <w:abstractNumId w:val="20"/>
  </w:num>
  <w:num w:numId="44">
    <w:abstractNumId w:val="22"/>
  </w:num>
  <w:num w:numId="45">
    <w:abstractNumId w:val="1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289AA45B5644FBA9C087094429367A4"/>
    <w:docVar w:name="LW_CROSSREFERENCE" w:val="{SWD(2017) 286 final}"/>
    <w:docVar w:name="LW_DocType" w:val="NORMAL"/>
    <w:docVar w:name="LW_EMISSION" w:val="30.8.2017"/>
    <w:docVar w:name="LW_EMISSION_ISODATE" w:val="2017-08-30"/>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58"/>
    <w:docVar w:name="LW_REF.INTERNE" w:val="&lt;UNUSED&gt;"/>
    <w:docVar w:name="LW_SOUS.TITRE.OBJ.CP" w:val="&lt;UNUSED&gt;"/>
    <w:docVar w:name="LW_SUPERTITRE" w:val="&lt;UNUSED&gt;"/>
    <w:docVar w:name="LW_TITRE.OBJ.CP" w:val="M\u1077?\u1078?\u1076?\u1080?\u1085?\u1077?\u1085? \u1087?\u1088?\u1077?\u1075?\u1083?\u1077?\u1076? \u1085?\u1072? \u1088?\u1072?\u1084?\u1082?\u1072?\u1090?\u1072? \u1085?\u1072? \u1045?\u1057? \u1079?\u1072? \u1085?\u1072?\u1094?\u1080?\u1086?\u1085?\u1072?\u1083?\u1085?\u1080? \u1089?\u1090?\u1088?\u1072?\u1090?\u1077?\u1075?\u1080?\u1080? \u1079?\u1072? \u1080?\u1085?\u1090?\u1077?\u1075?\u1088?\u1080?\u1088?\u1072?\u1085?\u1077? \u1085?\u1072? \u1088?\u1086?\u1084?\u1080?\u1090?\u1077? "/>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bg-BG"/>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bg-BG"/>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bg-BG"/>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bg-BG"/>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bg-BG"/>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bg-BG"/>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bg-BG"/>
    </w:rPr>
  </w:style>
  <w:style w:type="table" w:styleId="TableGrid">
    <w:name w:val="Table Grid"/>
    <w:basedOn w:val="TableNormal"/>
    <w:uiPriority w:val="5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bg-BG"/>
    </w:rPr>
  </w:style>
  <w:style w:type="character" w:customStyle="1" w:styleId="apple-converted-space">
    <w:name w:val="apple-converted-space"/>
    <w:basedOn w:val="DefaultParagraphFont"/>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bCs/>
      <w:smallCaps/>
    </w:rPr>
  </w:style>
  <w:style w:type="character" w:customStyle="1" w:styleId="FooterCoverPageChar">
    <w:name w:val="Footer Cover Page Char"/>
    <w:basedOn w:val="DefaultParagraphFont"/>
    <w:link w:val="FooterCoverPage"/>
    <w:rPr>
      <w:rFonts w:ascii="Times New Roman" w:hAnsi="Times New Roman" w:cs="Times New Roman"/>
      <w:bCs/>
      <w:smallCaps/>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bCs/>
      <w:smallCaps/>
    </w:rPr>
  </w:style>
  <w:style w:type="character" w:customStyle="1" w:styleId="HeaderCoverPageChar">
    <w:name w:val="Header Cover Page Char"/>
    <w:basedOn w:val="DefaultParagraphFont"/>
    <w:link w:val="HeaderCoverPage"/>
    <w:rPr>
      <w:rFonts w:ascii="Times New Roman" w:hAnsi="Times New Roman" w:cs="Times New Roman"/>
      <w:bCs/>
      <w:smallCaps/>
    </w:rPr>
  </w:style>
  <w:style w:type="paragraph" w:customStyle="1" w:styleId="Typedudocument">
    <w:name w:val="Type du document"/>
    <w:basedOn w:val="Normal"/>
    <w:next w:val="Titreobjet"/>
    <w:pPr>
      <w:spacing w:before="360"/>
      <w:jc w:val="center"/>
    </w:pPr>
    <w:rPr>
      <w:rFonts w:ascii="Times New Roman" w:eastAsiaTheme="minorHAnsi" w:hAnsi="Times New Roman" w:cs="Times New Roman"/>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spacing w:after="160" w:line="259" w:lineRule="auto"/>
      <w:jc w:val="both"/>
      <w:outlineLvl w:val="1"/>
    </w:pPr>
    <w:rPr>
      <w:rFonts w:ascii="Garamond" w:eastAsiaTheme="minorHAnsi" w:hAnsi="Garamond"/>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bg-BG"/>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lang w:val="bg-BG"/>
    </w:rPr>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lang w:val="bg-BG"/>
    </w:rPr>
  </w:style>
  <w:style w:type="paragraph" w:customStyle="1" w:styleId="Briefingsp">
    <w:name w:val="Briefing sp"/>
    <w:basedOn w:val="Normal"/>
    <w:autoRedefine/>
    <w:qFormat/>
    <w:pPr>
      <w:tabs>
        <w:tab w:val="left" w:pos="8931"/>
      </w:tabs>
      <w:spacing w:after="240"/>
      <w:ind w:left="851" w:right="45" w:hanging="425"/>
      <w:jc w:val="both"/>
    </w:pPr>
    <w:rPr>
      <w:rFonts w:ascii="Garamond" w:eastAsia="Calibri" w:hAnsi="Garamond" w:cs="Times New Roman"/>
      <w:iCs/>
      <w:spacing w:val="-2"/>
      <w:sz w:val="28"/>
      <w:szCs w:val="28"/>
    </w:rPr>
  </w:style>
  <w:style w:type="character" w:styleId="FootnoteReference">
    <w:name w:val="footnote reference"/>
    <w:aliases w:val="Footnotes refss,Footnote Refernece,Footnote Refernece + (Latein) Arial,10 pt,Blau,Footnote symbol,Footnote reference number,note TESI,nota pié di pagina,Footnote Reference Superscript,Appel note de bas de p.,callout,4_G,FR,BVI fnr"/>
    <w:basedOn w:val="DefaultParagraphFont"/>
    <w:link w:val="FootnoteReferneceChar"/>
    <w:uiPriority w:val="99"/>
    <w:unhideWhenUsed/>
    <w:qFormat/>
    <w:rPr>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t"/>
    <w:basedOn w:val="Normal"/>
    <w:link w:val="FootnoteTextChar"/>
    <w:unhideWhenUsed/>
    <w:rPr>
      <w:rFonts w:eastAsiaTheme="minorHAnsi"/>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t Char"/>
    <w:basedOn w:val="DefaultParagraphFont"/>
    <w:link w:val="FootnoteText"/>
    <w:rPr>
      <w:rFonts w:eastAsiaTheme="minorHAnsi"/>
      <w:lang w:val="bg-BG"/>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pPr>
      <w:spacing w:before="240" w:after="160" w:line="240" w:lineRule="exact"/>
    </w:pPr>
    <w:rPr>
      <w:vertAlign w:val="superscript"/>
    </w:rPr>
  </w:style>
  <w:style w:type="paragraph" w:styleId="CommentText">
    <w:name w:val="annotation text"/>
    <w:basedOn w:val="Normal"/>
    <w:link w:val="CommentTextChar"/>
    <w:uiPriority w:val="99"/>
    <w:unhideWhenUsed/>
    <w:pPr>
      <w:spacing w:after="200"/>
    </w:pPr>
    <w:rPr>
      <w:rFonts w:eastAsiaTheme="minorHAnsi"/>
    </w:rPr>
  </w:style>
  <w:style w:type="character" w:customStyle="1" w:styleId="CommentTextChar">
    <w:name w:val="Comment Text Char"/>
    <w:basedOn w:val="DefaultParagraphFont"/>
    <w:link w:val="CommentText"/>
    <w:uiPriority w:val="99"/>
    <w:rPr>
      <w:rFonts w:eastAsiaTheme="minorHAnsi"/>
      <w:lang w:val="bg-BG"/>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8"/>
      <w:szCs w:val="18"/>
    </w:rPr>
  </w:style>
  <w:style w:type="paragraph" w:customStyle="1" w:styleId="Default">
    <w:name w:val="Default"/>
    <w:pPr>
      <w:widowControl w:val="0"/>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Pr>
      <w:rFonts w:ascii="Garamond" w:eastAsiaTheme="minorHAnsi" w:hAnsi="Garamond"/>
      <w:b/>
      <w:i/>
      <w:szCs w:val="22"/>
      <w:lang w:val="bg-BG"/>
    </w:rPr>
  </w:style>
  <w:style w:type="paragraph" w:styleId="PlainText">
    <w:name w:val="Plain Text"/>
    <w:basedOn w:val="Normal"/>
    <w:link w:val="PlainTextChar"/>
    <w:uiPriority w:val="99"/>
    <w:unhideWhenUsed/>
    <w:rPr>
      <w:rFonts w:ascii="Calibri" w:eastAsiaTheme="minorHAnsi" w:hAnsi="Calibri" w:cs="Consolas"/>
      <w:sz w:val="22"/>
      <w:szCs w:val="21"/>
    </w:rPr>
  </w:style>
  <w:style w:type="character" w:customStyle="1" w:styleId="PlainTextChar">
    <w:name w:val="Plain Text Char"/>
    <w:basedOn w:val="DefaultParagraphFont"/>
    <w:link w:val="PlainText"/>
    <w:uiPriority w:val="99"/>
    <w:rPr>
      <w:rFonts w:ascii="Calibri" w:eastAsiaTheme="minorHAnsi" w:hAnsi="Calibri" w:cs="Consolas"/>
      <w:sz w:val="22"/>
      <w:szCs w:val="21"/>
      <w:lang w:val="bg-BG"/>
    </w:rPr>
  </w:style>
  <w:style w:type="table" w:styleId="TableGrid">
    <w:name w:val="Table Grid"/>
    <w:basedOn w:val="TableNormal"/>
    <w:uiPriority w:val="5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Titreobjet">
    <w:name w:val="Titre objet"/>
    <w:basedOn w:val="Normal"/>
    <w:next w:val="Normal"/>
    <w:pPr>
      <w:spacing w:before="360" w:after="360"/>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sz w:val="20"/>
      <w:szCs w:val="20"/>
    </w:rPr>
  </w:style>
  <w:style w:type="character" w:customStyle="1" w:styleId="CommentSubjectChar">
    <w:name w:val="Comment Subject Char"/>
    <w:basedOn w:val="CommentTextChar"/>
    <w:link w:val="CommentSubject"/>
    <w:uiPriority w:val="99"/>
    <w:semiHidden/>
    <w:rPr>
      <w:rFonts w:eastAsiaTheme="minorHAnsi"/>
      <w:b/>
      <w:bCs/>
      <w:sz w:val="20"/>
      <w:szCs w:val="20"/>
      <w:lang w:val="bg-BG"/>
    </w:rPr>
  </w:style>
  <w:style w:type="character" w:customStyle="1" w:styleId="apple-converted-space">
    <w:name w:val="apple-converted-space"/>
    <w:basedOn w:val="DefaultParagraphFont"/>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bCs/>
      <w:smallCaps/>
    </w:rPr>
  </w:style>
  <w:style w:type="character" w:customStyle="1" w:styleId="FooterCoverPageChar">
    <w:name w:val="Footer Cover Page Char"/>
    <w:basedOn w:val="DefaultParagraphFont"/>
    <w:link w:val="FooterCoverPage"/>
    <w:rPr>
      <w:rFonts w:ascii="Times New Roman" w:hAnsi="Times New Roman" w:cs="Times New Roman"/>
      <w:bCs/>
      <w:smallCaps/>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bCs/>
      <w:smallCaps/>
    </w:rPr>
  </w:style>
  <w:style w:type="character" w:customStyle="1" w:styleId="HeaderCoverPageChar">
    <w:name w:val="Header Cover Page Char"/>
    <w:basedOn w:val="DefaultParagraphFont"/>
    <w:link w:val="HeaderCoverPage"/>
    <w:rPr>
      <w:rFonts w:ascii="Times New Roman" w:hAnsi="Times New Roman" w:cs="Times New Roman"/>
      <w:bCs/>
      <w:smallCaps/>
    </w:rPr>
  </w:style>
  <w:style w:type="paragraph" w:customStyle="1" w:styleId="Typedudocument">
    <w:name w:val="Type du document"/>
    <w:basedOn w:val="Normal"/>
    <w:next w:val="Titreobjet"/>
    <w:pPr>
      <w:spacing w:before="360"/>
      <w:jc w:val="center"/>
    </w:pPr>
    <w:rPr>
      <w:rFonts w:ascii="Times New Roman" w:eastAsiaTheme="minorHAnsi" w:hAnsi="Times New Roman" w:cs="Times New Roma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4802">
      <w:bodyDiv w:val="1"/>
      <w:marLeft w:val="0"/>
      <w:marRight w:val="0"/>
      <w:marTop w:val="0"/>
      <w:marBottom w:val="0"/>
      <w:divBdr>
        <w:top w:val="none" w:sz="0" w:space="0" w:color="auto"/>
        <w:left w:val="none" w:sz="0" w:space="0" w:color="auto"/>
        <w:bottom w:val="none" w:sz="0" w:space="0" w:color="auto"/>
        <w:right w:val="none" w:sz="0" w:space="0" w:color="auto"/>
      </w:divBdr>
    </w:div>
    <w:div w:id="1865053271">
      <w:bodyDiv w:val="1"/>
      <w:marLeft w:val="0"/>
      <w:marRight w:val="0"/>
      <w:marTop w:val="0"/>
      <w:marBottom w:val="0"/>
      <w:divBdr>
        <w:top w:val="none" w:sz="0" w:space="0" w:color="auto"/>
        <w:left w:val="none" w:sz="0" w:space="0" w:color="auto"/>
        <w:bottom w:val="none" w:sz="0" w:space="0" w:color="auto"/>
        <w:right w:val="none" w:sz="0" w:space="0" w:color="auto"/>
      </w:divBdr>
    </w:div>
    <w:div w:id="1888444821">
      <w:bodyDiv w:val="1"/>
      <w:marLeft w:val="0"/>
      <w:marRight w:val="0"/>
      <w:marTop w:val="0"/>
      <w:marBottom w:val="0"/>
      <w:divBdr>
        <w:top w:val="none" w:sz="0" w:space="0" w:color="auto"/>
        <w:left w:val="none" w:sz="0" w:space="0" w:color="auto"/>
        <w:bottom w:val="none" w:sz="0" w:space="0" w:color="auto"/>
        <w:right w:val="none" w:sz="0" w:space="0" w:color="auto"/>
      </w:divBdr>
    </w:div>
    <w:div w:id="1964577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ta.consilium.europa.eu/doc/document/ST-14294-2016-INIT/bg/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antigypsyism.eu/" TargetMode="External"/><Relationship Id="rId2" Type="http://schemas.openxmlformats.org/officeDocument/2006/relationships/hyperlink" Target="http://www.europarl.europa.eu/oeil/popups/ficheprocedure.do?lang=en&amp;reference=2015/2615(RSP)" TargetMode="External"/><Relationship Id="rId1" Type="http://schemas.openxmlformats.org/officeDocument/2006/relationships/hyperlink" Target="http://www.europarl.europa.eu/oeil/popups/ficheprocedure.do?lang=en&amp;reference=2010/2276(IN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Целенасочени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Образование</c:v>
                </c:pt>
                <c:pt idx="1">
                  <c:v>Заетост</c:v>
                </c:pt>
                <c:pt idx="2">
                  <c:v>Здравеопазване</c:v>
                </c:pt>
                <c:pt idx="3">
                  <c:v>Жилищно настаняване</c:v>
                </c:pt>
                <c:pt idx="4">
                  <c:v>Борба с дискриминацията</c:v>
                </c:pt>
              </c:strCache>
            </c:strRef>
          </c:cat>
          <c:val>
            <c:numRef>
              <c:f>Sheet1!$B$2:$B$6</c:f>
              <c:numCache>
                <c:formatCode>General</c:formatCode>
                <c:ptCount val="5"/>
                <c:pt idx="0">
                  <c:v>163</c:v>
                </c:pt>
                <c:pt idx="1">
                  <c:v>58</c:v>
                </c:pt>
                <c:pt idx="2">
                  <c:v>36</c:v>
                </c:pt>
                <c:pt idx="3">
                  <c:v>31</c:v>
                </c:pt>
                <c:pt idx="4">
                  <c:v>72</c:v>
                </c:pt>
              </c:numCache>
            </c:numRef>
          </c:val>
        </c:ser>
        <c:ser>
          <c:idx val="1"/>
          <c:order val="1"/>
          <c:tx>
            <c:strRef>
              <c:f>Sheet1!$C$1</c:f>
              <c:strCache>
                <c:ptCount val="1"/>
                <c:pt idx="0">
                  <c:v>Общи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Sheet1!$A$2:$A$6</c:f>
              <c:strCache>
                <c:ptCount val="5"/>
                <c:pt idx="0">
                  <c:v>Образование</c:v>
                </c:pt>
                <c:pt idx="1">
                  <c:v>Заетост</c:v>
                </c:pt>
                <c:pt idx="2">
                  <c:v>Здравеопазване</c:v>
                </c:pt>
                <c:pt idx="3">
                  <c:v>Жилищно настаняване</c:v>
                </c:pt>
                <c:pt idx="4">
                  <c:v>Борба с дискриминацията</c:v>
                </c:pt>
              </c:strCache>
            </c:strRef>
          </c:cat>
          <c:val>
            <c:numRef>
              <c:f>Sheet1!$C$2:$C$6</c:f>
              <c:numCache>
                <c:formatCode>General</c:formatCode>
                <c:ptCount val="5"/>
                <c:pt idx="0">
                  <c:v>115</c:v>
                </c:pt>
                <c:pt idx="1">
                  <c:v>88</c:v>
                </c:pt>
                <c:pt idx="2">
                  <c:v>57</c:v>
                </c:pt>
                <c:pt idx="3">
                  <c:v>44</c:v>
                </c:pt>
                <c:pt idx="4">
                  <c:v>66</c:v>
                </c:pt>
              </c:numCache>
            </c:numRef>
          </c:val>
        </c:ser>
        <c:dLbls>
          <c:showLegendKey val="0"/>
          <c:showVal val="1"/>
          <c:showCatName val="0"/>
          <c:showSerName val="0"/>
          <c:showPercent val="0"/>
          <c:showBubbleSize val="0"/>
        </c:dLbls>
        <c:gapWidth val="95"/>
        <c:overlap val="100"/>
        <c:axId val="34744576"/>
        <c:axId val="34758656"/>
      </c:barChart>
      <c:catAx>
        <c:axId val="34744576"/>
        <c:scaling>
          <c:orientation val="maxMin"/>
        </c:scaling>
        <c:delete val="0"/>
        <c:axPos val="l"/>
        <c:numFmt formatCode="General" sourceLinked="0"/>
        <c:majorTickMark val="none"/>
        <c:minorTickMark val="none"/>
        <c:tickLblPos val="nextTo"/>
        <c:crossAx val="34758656"/>
        <c:crosses val="autoZero"/>
        <c:auto val="1"/>
        <c:lblAlgn val="ctr"/>
        <c:lblOffset val="100"/>
        <c:noMultiLvlLbl val="0"/>
      </c:catAx>
      <c:valAx>
        <c:axId val="34758656"/>
        <c:scaling>
          <c:orientation val="minMax"/>
        </c:scaling>
        <c:delete val="1"/>
        <c:axPos val="t"/>
        <c:numFmt formatCode="General" sourceLinked="1"/>
        <c:majorTickMark val="none"/>
        <c:minorTickMark val="none"/>
        <c:tickLblPos val="nextTo"/>
        <c:crossAx val="34744576"/>
        <c:crosses val="autoZero"/>
        <c:crossBetween val="between"/>
      </c:valAx>
    </c:plotArea>
    <c:legend>
      <c:legendPos val="t"/>
      <c:overlay val="0"/>
    </c:legend>
    <c:plotVisOnly val="1"/>
    <c:dispBlanksAs val="gap"/>
    <c:showDLblsOverMax val="0"/>
  </c:chart>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169D-BB77-4C41-9FCB-487FE5A4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23</Pages>
  <Words>8675</Words>
  <Characters>52750</Characters>
  <Application>Microsoft Office Word</Application>
  <DocSecurity>0</DocSecurity>
  <Lines>925</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2017-06-18T18:43:00Z</cp:lastPrinted>
  <dcterms:created xsi:type="dcterms:W3CDTF">2017-07-25T08:34:00Z</dcterms:created>
  <dcterms:modified xsi:type="dcterms:W3CDTF">2017-08-28T10:16:00Z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