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53" w:rsidRDefault="00D978F2">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CC1802EADDE47558A6CFBAAB3DF0CDD" style="width:451pt;height:417.05pt">
            <v:imagedata r:id="rId9" o:title=""/>
          </v:shape>
        </w:pict>
      </w:r>
      <w:bookmarkEnd w:id="1"/>
    </w:p>
    <w:bookmarkEnd w:id="0"/>
    <w:p w:rsidR="00500553" w:rsidRDefault="00500553">
      <w:pPr>
        <w:pStyle w:val="Pagedecouverture"/>
        <w:rPr>
          <w:noProof/>
        </w:rPr>
        <w:sectPr w:rsidR="0050055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00553" w:rsidRDefault="00500553">
      <w:pPr>
        <w:pStyle w:val="NoSpacing"/>
        <w:spacing w:line="276" w:lineRule="auto"/>
        <w:rPr>
          <w:rFonts w:ascii="Times New Roman" w:hAnsi="Times New Roman" w:cs="Times New Roman"/>
          <w:noProof/>
          <w:sz w:val="21"/>
          <w:szCs w:val="21"/>
        </w:rPr>
      </w:pPr>
    </w:p>
    <w:p w:rsidR="00500553" w:rsidRDefault="00D978F2">
      <w:pPr>
        <w:pStyle w:val="NoSpacing"/>
        <w:spacing w:line="276" w:lineRule="auto"/>
        <w:jc w:val="center"/>
        <w:rPr>
          <w:rFonts w:ascii="Times New Roman" w:hAnsi="Times New Roman" w:cs="Times New Roman"/>
          <w:b/>
          <w:noProof/>
          <w:sz w:val="24"/>
          <w:szCs w:val="21"/>
        </w:rPr>
      </w:pPr>
      <w:r>
        <w:rPr>
          <w:rFonts w:ascii="Times New Roman" w:hAnsi="Times New Roman" w:cs="Times New Roman"/>
          <w:b/>
          <w:noProof/>
          <w:sz w:val="24"/>
          <w:szCs w:val="21"/>
        </w:rPr>
        <w:t>TABLE OF CONTENTS</w:t>
      </w:r>
    </w:p>
    <w:p w:rsidR="00500553" w:rsidRDefault="00500553">
      <w:pPr>
        <w:pStyle w:val="NoSpacing"/>
        <w:spacing w:line="276" w:lineRule="auto"/>
        <w:rPr>
          <w:rFonts w:ascii="Times New Roman" w:hAnsi="Times New Roman" w:cs="Times New Roman"/>
          <w:noProof/>
          <w:sz w:val="21"/>
          <w:szCs w:val="21"/>
        </w:rPr>
      </w:pPr>
    </w:p>
    <w:p w:rsidR="00500553" w:rsidRDefault="00D978F2">
      <w:pPr>
        <w:pStyle w:val="TOC1"/>
        <w:rPr>
          <w:rFonts w:asciiTheme="minorHAnsi" w:eastAsiaTheme="minorEastAsia" w:hAnsiTheme="minorHAnsi" w:cstheme="minorBidi"/>
          <w:b w:val="0"/>
          <w:lang w:eastAsia="en-GB"/>
        </w:rPr>
      </w:pPr>
      <w:r>
        <w:fldChar w:fldCharType="begin"/>
      </w:r>
      <w:r>
        <w:instrText xml:space="preserve"> TOC \o "1-2" \h \z \u </w:instrText>
      </w:r>
      <w:r>
        <w:fldChar w:fldCharType="separate"/>
      </w:r>
      <w:hyperlink w:anchor="_Toc489427629" w:history="1">
        <w:r>
          <w:rPr>
            <w:rStyle w:val="Hyperlink"/>
          </w:rPr>
          <w:t xml:space="preserve">LIST OF ABBREVIATIONS </w:t>
        </w:r>
        <w:r>
          <w:rPr>
            <w:rStyle w:val="Hyperlink"/>
          </w:rPr>
          <w:t>AND ACRONYMS</w:t>
        </w:r>
        <w:r>
          <w:rPr>
            <w:webHidden/>
          </w:rPr>
          <w:tab/>
        </w:r>
        <w:r>
          <w:rPr>
            <w:webHidden/>
          </w:rPr>
          <w:fldChar w:fldCharType="begin"/>
        </w:r>
        <w:r>
          <w:rPr>
            <w:webHidden/>
          </w:rPr>
          <w:instrText xml:space="preserve"> PAGEREF _Toc489427629 \h </w:instrText>
        </w:r>
        <w:r>
          <w:rPr>
            <w:webHidden/>
          </w:rPr>
        </w:r>
        <w:r>
          <w:rPr>
            <w:webHidden/>
          </w:rPr>
          <w:fldChar w:fldCharType="separate"/>
        </w:r>
        <w:r>
          <w:rPr>
            <w:webHidden/>
          </w:rPr>
          <w:t>4</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30" w:history="1">
        <w:r>
          <w:rPr>
            <w:rStyle w:val="Hyperlink"/>
          </w:rPr>
          <w:t>1</w:t>
        </w:r>
        <w:r>
          <w:rPr>
            <w:rFonts w:asciiTheme="minorHAnsi" w:eastAsiaTheme="minorEastAsia" w:hAnsiTheme="minorHAnsi" w:cstheme="minorBidi"/>
            <w:b w:val="0"/>
            <w:lang w:eastAsia="en-GB"/>
          </w:rPr>
          <w:tab/>
        </w:r>
        <w:r>
          <w:rPr>
            <w:rStyle w:val="Hyperlink"/>
          </w:rPr>
          <w:t>INTRODUCTION</w:t>
        </w:r>
        <w:r>
          <w:rPr>
            <w:webHidden/>
          </w:rPr>
          <w:tab/>
        </w:r>
        <w:r>
          <w:rPr>
            <w:webHidden/>
          </w:rPr>
          <w:fldChar w:fldCharType="begin"/>
        </w:r>
        <w:r>
          <w:rPr>
            <w:webHidden/>
          </w:rPr>
          <w:instrText xml:space="preserve"> PAGEREF _Toc489427630 \h </w:instrText>
        </w:r>
        <w:r>
          <w:rPr>
            <w:webHidden/>
          </w:rPr>
        </w:r>
        <w:r>
          <w:rPr>
            <w:webHidden/>
          </w:rPr>
          <w:fldChar w:fldCharType="separate"/>
        </w:r>
        <w:r>
          <w:rPr>
            <w:webHidden/>
          </w:rPr>
          <w:t>5</w:t>
        </w:r>
        <w:r>
          <w:rPr>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31" w:history="1">
        <w:r>
          <w:rPr>
            <w:rStyle w:val="Hyperlink"/>
            <w:rFonts w:ascii="Times New Roman" w:hAnsi="Times New Roman" w:cs="Times New Roman"/>
            <w:noProof/>
          </w:rPr>
          <w:t>1.1</w:t>
        </w:r>
        <w:r>
          <w:rPr>
            <w:rFonts w:eastAsiaTheme="minorEastAsia"/>
            <w:noProof/>
            <w:lang w:eastAsia="en-GB"/>
          </w:rPr>
          <w:tab/>
        </w:r>
        <w:r>
          <w:rPr>
            <w:rStyle w:val="Hyperlink"/>
            <w:rFonts w:ascii="Times New Roman" w:hAnsi="Times New Roman" w:cs="Times New Roman"/>
            <w:noProof/>
          </w:rPr>
          <w:t>Purpose of the evaluation</w:t>
        </w:r>
        <w:r>
          <w:rPr>
            <w:noProof/>
            <w:webHidden/>
          </w:rPr>
          <w:tab/>
        </w:r>
        <w:r>
          <w:rPr>
            <w:noProof/>
            <w:webHidden/>
          </w:rPr>
          <w:fldChar w:fldCharType="begin"/>
        </w:r>
        <w:r>
          <w:rPr>
            <w:noProof/>
            <w:webHidden/>
          </w:rPr>
          <w:instrText xml:space="preserve"> PAGEREF _Toc489427631 \h </w:instrText>
        </w:r>
        <w:r>
          <w:rPr>
            <w:noProof/>
            <w:webHidden/>
          </w:rPr>
        </w:r>
        <w:r>
          <w:rPr>
            <w:noProof/>
            <w:webHidden/>
          </w:rPr>
          <w:fldChar w:fldCharType="separate"/>
        </w:r>
        <w:r>
          <w:rPr>
            <w:noProof/>
            <w:webHidden/>
          </w:rPr>
          <w:t>5</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32" w:history="1">
        <w:r>
          <w:rPr>
            <w:rStyle w:val="Hyperlink"/>
            <w:rFonts w:ascii="Times New Roman" w:hAnsi="Times New Roman" w:cs="Times New Roman"/>
            <w:noProof/>
          </w:rPr>
          <w:t>1.2</w:t>
        </w:r>
        <w:r>
          <w:rPr>
            <w:rFonts w:eastAsiaTheme="minorEastAsia"/>
            <w:noProof/>
            <w:lang w:eastAsia="en-GB"/>
          </w:rPr>
          <w:tab/>
        </w:r>
        <w:r>
          <w:rPr>
            <w:rStyle w:val="Hyperlink"/>
            <w:rFonts w:ascii="Times New Roman" w:hAnsi="Times New Roman" w:cs="Times New Roman"/>
            <w:noProof/>
          </w:rPr>
          <w:t>Scope of the evaluation</w:t>
        </w:r>
        <w:r>
          <w:rPr>
            <w:noProof/>
            <w:webHidden/>
          </w:rPr>
          <w:tab/>
        </w:r>
        <w:r>
          <w:rPr>
            <w:noProof/>
            <w:webHidden/>
          </w:rPr>
          <w:fldChar w:fldCharType="begin"/>
        </w:r>
        <w:r>
          <w:rPr>
            <w:noProof/>
            <w:webHidden/>
          </w:rPr>
          <w:instrText xml:space="preserve"> PAGEREF _Toc489427632 \h </w:instrText>
        </w:r>
        <w:r>
          <w:rPr>
            <w:noProof/>
            <w:webHidden/>
          </w:rPr>
        </w:r>
        <w:r>
          <w:rPr>
            <w:noProof/>
            <w:webHidden/>
          </w:rPr>
          <w:fldChar w:fldCharType="separate"/>
        </w:r>
        <w:r>
          <w:rPr>
            <w:noProof/>
            <w:webHidden/>
          </w:rPr>
          <w:t>6</w:t>
        </w:r>
        <w:r>
          <w:rPr>
            <w:noProof/>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33" w:history="1">
        <w:r>
          <w:rPr>
            <w:rStyle w:val="Hyperlink"/>
          </w:rPr>
          <w:t>2</w:t>
        </w:r>
        <w:r>
          <w:rPr>
            <w:rFonts w:asciiTheme="minorHAnsi" w:eastAsiaTheme="minorEastAsia" w:hAnsiTheme="minorHAnsi" w:cstheme="minorBidi"/>
            <w:b w:val="0"/>
            <w:lang w:eastAsia="en-GB"/>
          </w:rPr>
          <w:tab/>
        </w:r>
        <w:r>
          <w:rPr>
            <w:rStyle w:val="Hyperlink"/>
          </w:rPr>
          <w:t>BACKGROUND TO THE INITIATIVE</w:t>
        </w:r>
        <w:r>
          <w:rPr>
            <w:webHidden/>
          </w:rPr>
          <w:tab/>
        </w:r>
        <w:r>
          <w:rPr>
            <w:webHidden/>
          </w:rPr>
          <w:fldChar w:fldCharType="begin"/>
        </w:r>
        <w:r>
          <w:rPr>
            <w:webHidden/>
          </w:rPr>
          <w:instrText xml:space="preserve"> PAGEREF _Toc489427633 \h </w:instrText>
        </w:r>
        <w:r>
          <w:rPr>
            <w:webHidden/>
          </w:rPr>
        </w:r>
        <w:r>
          <w:rPr>
            <w:webHidden/>
          </w:rPr>
          <w:fldChar w:fldCharType="separate"/>
        </w:r>
        <w:r>
          <w:rPr>
            <w:webHidden/>
          </w:rPr>
          <w:t>6</w:t>
        </w:r>
        <w:r>
          <w:rPr>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34" w:history="1">
        <w:r>
          <w:rPr>
            <w:rStyle w:val="Hyperlink"/>
            <w:rFonts w:ascii="Times New Roman" w:hAnsi="Times New Roman" w:cs="Times New Roman"/>
            <w:noProof/>
          </w:rPr>
          <w:t>2.1</w:t>
        </w:r>
        <w:r>
          <w:rPr>
            <w:rFonts w:eastAsiaTheme="minorEastAsia"/>
            <w:noProof/>
            <w:lang w:eastAsia="en-GB"/>
          </w:rPr>
          <w:tab/>
        </w:r>
        <w:r>
          <w:rPr>
            <w:rStyle w:val="Hyperlink"/>
            <w:rFonts w:ascii="Times New Roman" w:hAnsi="Times New Roman" w:cs="Times New Roman"/>
            <w:noProof/>
          </w:rPr>
          <w:t>Baseline</w:t>
        </w:r>
        <w:r>
          <w:rPr>
            <w:noProof/>
            <w:webHidden/>
          </w:rPr>
          <w:tab/>
        </w:r>
        <w:r>
          <w:rPr>
            <w:noProof/>
            <w:webHidden/>
          </w:rPr>
          <w:fldChar w:fldCharType="begin"/>
        </w:r>
        <w:r>
          <w:rPr>
            <w:noProof/>
            <w:webHidden/>
          </w:rPr>
          <w:instrText xml:space="preserve"> PAGEREF _Toc489427634 \h </w:instrText>
        </w:r>
        <w:r>
          <w:rPr>
            <w:noProof/>
            <w:webHidden/>
          </w:rPr>
        </w:r>
        <w:r>
          <w:rPr>
            <w:noProof/>
            <w:webHidden/>
          </w:rPr>
          <w:fldChar w:fldCharType="separate"/>
        </w:r>
        <w:r>
          <w:rPr>
            <w:noProof/>
            <w:webHidden/>
          </w:rPr>
          <w:t>6</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35" w:history="1">
        <w:r>
          <w:rPr>
            <w:rStyle w:val="Hyperlink"/>
            <w:rFonts w:ascii="Times New Roman" w:hAnsi="Times New Roman" w:cs="Times New Roman"/>
            <w:noProof/>
          </w:rPr>
          <w:t>2.2</w:t>
        </w:r>
        <w:r>
          <w:rPr>
            <w:rFonts w:eastAsiaTheme="minorEastAsia"/>
            <w:noProof/>
            <w:lang w:eastAsia="en-GB"/>
          </w:rPr>
          <w:tab/>
        </w:r>
        <w:r>
          <w:rPr>
            <w:rStyle w:val="Hyperlink"/>
            <w:rFonts w:ascii="Times New Roman" w:hAnsi="Times New Roman" w:cs="Times New Roman"/>
            <w:noProof/>
          </w:rPr>
          <w:t>Description of the initiative and its objectives</w:t>
        </w:r>
        <w:r>
          <w:rPr>
            <w:noProof/>
            <w:webHidden/>
          </w:rPr>
          <w:tab/>
        </w:r>
        <w:r>
          <w:rPr>
            <w:noProof/>
            <w:webHidden/>
          </w:rPr>
          <w:fldChar w:fldCharType="begin"/>
        </w:r>
        <w:r>
          <w:rPr>
            <w:noProof/>
            <w:webHidden/>
          </w:rPr>
          <w:instrText xml:space="preserve"> PAGEREF _Toc489427635 \h </w:instrText>
        </w:r>
        <w:r>
          <w:rPr>
            <w:noProof/>
            <w:webHidden/>
          </w:rPr>
        </w:r>
        <w:r>
          <w:rPr>
            <w:noProof/>
            <w:webHidden/>
          </w:rPr>
          <w:fldChar w:fldCharType="separate"/>
        </w:r>
        <w:r>
          <w:rPr>
            <w:noProof/>
            <w:webHidden/>
          </w:rPr>
          <w:t>7</w:t>
        </w:r>
        <w:r>
          <w:rPr>
            <w:noProof/>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36" w:history="1">
        <w:r>
          <w:rPr>
            <w:rStyle w:val="Hyperlink"/>
          </w:rPr>
          <w:t>3</w:t>
        </w:r>
        <w:r>
          <w:rPr>
            <w:rFonts w:asciiTheme="minorHAnsi" w:eastAsiaTheme="minorEastAsia" w:hAnsiTheme="minorHAnsi" w:cstheme="minorBidi"/>
            <w:b w:val="0"/>
            <w:lang w:eastAsia="en-GB"/>
          </w:rPr>
          <w:tab/>
        </w:r>
        <w:r>
          <w:rPr>
            <w:rStyle w:val="Hyperlink"/>
          </w:rPr>
          <w:t>EVALUATION QUESTIONS</w:t>
        </w:r>
        <w:r>
          <w:rPr>
            <w:webHidden/>
          </w:rPr>
          <w:tab/>
        </w:r>
        <w:r>
          <w:rPr>
            <w:webHidden/>
          </w:rPr>
          <w:fldChar w:fldCharType="begin"/>
        </w:r>
        <w:r>
          <w:rPr>
            <w:webHidden/>
          </w:rPr>
          <w:instrText xml:space="preserve"> PAGEREF _Toc489427636 \h </w:instrText>
        </w:r>
        <w:r>
          <w:rPr>
            <w:webHidden/>
          </w:rPr>
        </w:r>
        <w:r>
          <w:rPr>
            <w:webHidden/>
          </w:rPr>
          <w:fldChar w:fldCharType="separate"/>
        </w:r>
        <w:r>
          <w:rPr>
            <w:webHidden/>
          </w:rPr>
          <w:t>10</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37" w:history="1">
        <w:r>
          <w:rPr>
            <w:rStyle w:val="Hyperlink"/>
          </w:rPr>
          <w:t>4</w:t>
        </w:r>
        <w:r>
          <w:rPr>
            <w:rFonts w:asciiTheme="minorHAnsi" w:eastAsiaTheme="minorEastAsia" w:hAnsiTheme="minorHAnsi" w:cstheme="minorBidi"/>
            <w:b w:val="0"/>
            <w:lang w:eastAsia="en-GB"/>
          </w:rPr>
          <w:tab/>
        </w:r>
        <w:r>
          <w:rPr>
            <w:rStyle w:val="Hyperlink"/>
          </w:rPr>
          <w:t>METH</w:t>
        </w:r>
        <w:r>
          <w:rPr>
            <w:rStyle w:val="Hyperlink"/>
          </w:rPr>
          <w:t>OD</w:t>
        </w:r>
        <w:r>
          <w:rPr>
            <w:webHidden/>
          </w:rPr>
          <w:tab/>
        </w:r>
        <w:r>
          <w:rPr>
            <w:webHidden/>
          </w:rPr>
          <w:fldChar w:fldCharType="begin"/>
        </w:r>
        <w:r>
          <w:rPr>
            <w:webHidden/>
          </w:rPr>
          <w:instrText xml:space="preserve"> PAGEREF _Toc489427637 \h </w:instrText>
        </w:r>
        <w:r>
          <w:rPr>
            <w:webHidden/>
          </w:rPr>
        </w:r>
        <w:r>
          <w:rPr>
            <w:webHidden/>
          </w:rPr>
          <w:fldChar w:fldCharType="separate"/>
        </w:r>
        <w:r>
          <w:rPr>
            <w:webHidden/>
          </w:rPr>
          <w:t>11</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38" w:history="1">
        <w:r>
          <w:rPr>
            <w:rStyle w:val="Hyperlink"/>
          </w:rPr>
          <w:t>5</w:t>
        </w:r>
        <w:r>
          <w:rPr>
            <w:rFonts w:asciiTheme="minorHAnsi" w:eastAsiaTheme="minorEastAsia" w:hAnsiTheme="minorHAnsi" w:cstheme="minorBidi"/>
            <w:b w:val="0"/>
            <w:lang w:eastAsia="en-GB"/>
          </w:rPr>
          <w:tab/>
        </w:r>
        <w:r>
          <w:rPr>
            <w:rStyle w:val="Hyperlink"/>
          </w:rPr>
          <w:t>IMPLEMENTATION STATE OF PLAY</w:t>
        </w:r>
        <w:r>
          <w:rPr>
            <w:webHidden/>
          </w:rPr>
          <w:tab/>
        </w:r>
        <w:r>
          <w:rPr>
            <w:webHidden/>
          </w:rPr>
          <w:fldChar w:fldCharType="begin"/>
        </w:r>
        <w:r>
          <w:rPr>
            <w:webHidden/>
          </w:rPr>
          <w:instrText xml:space="preserve"> PAGEREF _Toc489427638 \h </w:instrText>
        </w:r>
        <w:r>
          <w:rPr>
            <w:webHidden/>
          </w:rPr>
        </w:r>
        <w:r>
          <w:rPr>
            <w:webHidden/>
          </w:rPr>
          <w:fldChar w:fldCharType="separate"/>
        </w:r>
        <w:r>
          <w:rPr>
            <w:webHidden/>
          </w:rPr>
          <w:t>13</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39" w:history="1">
        <w:r>
          <w:rPr>
            <w:rStyle w:val="Hyperlink"/>
          </w:rPr>
          <w:t>6</w:t>
        </w:r>
        <w:r>
          <w:rPr>
            <w:rFonts w:asciiTheme="minorHAnsi" w:eastAsiaTheme="minorEastAsia" w:hAnsiTheme="minorHAnsi" w:cstheme="minorBidi"/>
            <w:b w:val="0"/>
            <w:lang w:eastAsia="en-GB"/>
          </w:rPr>
          <w:tab/>
        </w:r>
        <w:r>
          <w:rPr>
            <w:rStyle w:val="Hyperlink"/>
          </w:rPr>
          <w:t>ANSWERS TO THE EVALUATION QUESTIONS</w:t>
        </w:r>
        <w:r>
          <w:rPr>
            <w:webHidden/>
          </w:rPr>
          <w:tab/>
        </w:r>
        <w:r>
          <w:rPr>
            <w:webHidden/>
          </w:rPr>
          <w:fldChar w:fldCharType="begin"/>
        </w:r>
        <w:r>
          <w:rPr>
            <w:webHidden/>
          </w:rPr>
          <w:instrText xml:space="preserve"> PAGEREF _Toc489427639 \h </w:instrText>
        </w:r>
        <w:r>
          <w:rPr>
            <w:webHidden/>
          </w:rPr>
        </w:r>
        <w:r>
          <w:rPr>
            <w:webHidden/>
          </w:rPr>
          <w:fldChar w:fldCharType="separate"/>
        </w:r>
        <w:r>
          <w:rPr>
            <w:webHidden/>
          </w:rPr>
          <w:t>19</w:t>
        </w:r>
        <w:r>
          <w:rPr>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40" w:history="1">
        <w:r>
          <w:rPr>
            <w:rStyle w:val="Hyperlink"/>
            <w:rFonts w:ascii="Times New Roman" w:hAnsi="Times New Roman" w:cs="Times New Roman"/>
            <w:noProof/>
          </w:rPr>
          <w:t>6.1</w:t>
        </w:r>
        <w:r>
          <w:rPr>
            <w:rFonts w:eastAsiaTheme="minorEastAsia"/>
            <w:noProof/>
            <w:lang w:eastAsia="en-GB"/>
          </w:rPr>
          <w:tab/>
        </w:r>
        <w:r>
          <w:rPr>
            <w:rStyle w:val="Hyperlink"/>
            <w:rFonts w:ascii="Times New Roman" w:hAnsi="Times New Roman" w:cs="Times New Roman"/>
            <w:noProof/>
          </w:rPr>
          <w:t>Relevance</w:t>
        </w:r>
        <w:r>
          <w:rPr>
            <w:noProof/>
            <w:webHidden/>
          </w:rPr>
          <w:tab/>
        </w:r>
        <w:r>
          <w:rPr>
            <w:noProof/>
            <w:webHidden/>
          </w:rPr>
          <w:fldChar w:fldCharType="begin"/>
        </w:r>
        <w:r>
          <w:rPr>
            <w:noProof/>
            <w:webHidden/>
          </w:rPr>
          <w:instrText xml:space="preserve"> PAGEREF _Toc489427640 \h </w:instrText>
        </w:r>
        <w:r>
          <w:rPr>
            <w:noProof/>
            <w:webHidden/>
          </w:rPr>
        </w:r>
        <w:r>
          <w:rPr>
            <w:noProof/>
            <w:webHidden/>
          </w:rPr>
          <w:fldChar w:fldCharType="separate"/>
        </w:r>
        <w:r>
          <w:rPr>
            <w:noProof/>
            <w:webHidden/>
          </w:rPr>
          <w:t>19</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41" w:history="1">
        <w:r>
          <w:rPr>
            <w:rStyle w:val="Hyperlink"/>
            <w:rFonts w:ascii="Times New Roman" w:hAnsi="Times New Roman" w:cs="Times New Roman"/>
            <w:noProof/>
          </w:rPr>
          <w:t>6.2</w:t>
        </w:r>
        <w:r>
          <w:rPr>
            <w:rFonts w:eastAsiaTheme="minorEastAsia"/>
            <w:noProof/>
            <w:lang w:eastAsia="en-GB"/>
          </w:rPr>
          <w:tab/>
        </w:r>
        <w:r>
          <w:rPr>
            <w:rStyle w:val="Hyperlink"/>
            <w:rFonts w:ascii="Times New Roman" w:hAnsi="Times New Roman" w:cs="Times New Roman"/>
            <w:noProof/>
          </w:rPr>
          <w:t>Effectiven</w:t>
        </w:r>
        <w:r>
          <w:rPr>
            <w:rStyle w:val="Hyperlink"/>
            <w:rFonts w:ascii="Times New Roman" w:hAnsi="Times New Roman" w:cs="Times New Roman"/>
            <w:noProof/>
          </w:rPr>
          <w:t>ess</w:t>
        </w:r>
        <w:r>
          <w:rPr>
            <w:noProof/>
            <w:webHidden/>
          </w:rPr>
          <w:tab/>
        </w:r>
        <w:r>
          <w:rPr>
            <w:noProof/>
            <w:webHidden/>
          </w:rPr>
          <w:fldChar w:fldCharType="begin"/>
        </w:r>
        <w:r>
          <w:rPr>
            <w:noProof/>
            <w:webHidden/>
          </w:rPr>
          <w:instrText xml:space="preserve"> PAGEREF _Toc489427641 \h </w:instrText>
        </w:r>
        <w:r>
          <w:rPr>
            <w:noProof/>
            <w:webHidden/>
          </w:rPr>
        </w:r>
        <w:r>
          <w:rPr>
            <w:noProof/>
            <w:webHidden/>
          </w:rPr>
          <w:fldChar w:fldCharType="separate"/>
        </w:r>
        <w:r>
          <w:rPr>
            <w:noProof/>
            <w:webHidden/>
          </w:rPr>
          <w:t>22</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42" w:history="1">
        <w:r>
          <w:rPr>
            <w:rStyle w:val="Hyperlink"/>
            <w:rFonts w:ascii="Times New Roman" w:hAnsi="Times New Roman" w:cs="Times New Roman"/>
            <w:noProof/>
          </w:rPr>
          <w:t>6.3</w:t>
        </w:r>
        <w:r>
          <w:rPr>
            <w:rFonts w:eastAsiaTheme="minorEastAsia"/>
            <w:noProof/>
            <w:lang w:eastAsia="en-GB"/>
          </w:rPr>
          <w:tab/>
        </w:r>
        <w:r>
          <w:rPr>
            <w:rStyle w:val="Hyperlink"/>
            <w:rFonts w:ascii="Times New Roman" w:hAnsi="Times New Roman" w:cs="Times New Roman"/>
            <w:noProof/>
          </w:rPr>
          <w:t>Efficiency</w:t>
        </w:r>
        <w:r>
          <w:rPr>
            <w:noProof/>
            <w:webHidden/>
          </w:rPr>
          <w:tab/>
        </w:r>
        <w:r>
          <w:rPr>
            <w:noProof/>
            <w:webHidden/>
          </w:rPr>
          <w:fldChar w:fldCharType="begin"/>
        </w:r>
        <w:r>
          <w:rPr>
            <w:noProof/>
            <w:webHidden/>
          </w:rPr>
          <w:instrText xml:space="preserve"> PAGEREF _Toc489427642 \h </w:instrText>
        </w:r>
        <w:r>
          <w:rPr>
            <w:noProof/>
            <w:webHidden/>
          </w:rPr>
        </w:r>
        <w:r>
          <w:rPr>
            <w:noProof/>
            <w:webHidden/>
          </w:rPr>
          <w:fldChar w:fldCharType="separate"/>
        </w:r>
        <w:r>
          <w:rPr>
            <w:noProof/>
            <w:webHidden/>
          </w:rPr>
          <w:t>30</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43" w:history="1">
        <w:r>
          <w:rPr>
            <w:rStyle w:val="Hyperlink"/>
            <w:rFonts w:ascii="Times New Roman" w:hAnsi="Times New Roman" w:cs="Times New Roman"/>
            <w:noProof/>
          </w:rPr>
          <w:t>6.4</w:t>
        </w:r>
        <w:r>
          <w:rPr>
            <w:rFonts w:eastAsiaTheme="minorEastAsia"/>
            <w:noProof/>
            <w:lang w:eastAsia="en-GB"/>
          </w:rPr>
          <w:tab/>
        </w:r>
        <w:r>
          <w:rPr>
            <w:rStyle w:val="Hyperlink"/>
            <w:rFonts w:ascii="Times New Roman" w:hAnsi="Times New Roman" w:cs="Times New Roman"/>
            <w:noProof/>
          </w:rPr>
          <w:t>Coherence</w:t>
        </w:r>
        <w:r>
          <w:rPr>
            <w:noProof/>
            <w:webHidden/>
          </w:rPr>
          <w:tab/>
        </w:r>
        <w:r>
          <w:rPr>
            <w:noProof/>
            <w:webHidden/>
          </w:rPr>
          <w:fldChar w:fldCharType="begin"/>
        </w:r>
        <w:r>
          <w:rPr>
            <w:noProof/>
            <w:webHidden/>
          </w:rPr>
          <w:instrText xml:space="preserve"> PAGEREF _Toc489427643 \h </w:instrText>
        </w:r>
        <w:r>
          <w:rPr>
            <w:noProof/>
            <w:webHidden/>
          </w:rPr>
        </w:r>
        <w:r>
          <w:rPr>
            <w:noProof/>
            <w:webHidden/>
          </w:rPr>
          <w:fldChar w:fldCharType="separate"/>
        </w:r>
        <w:r>
          <w:rPr>
            <w:noProof/>
            <w:webHidden/>
          </w:rPr>
          <w:t>31</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44" w:history="1">
        <w:r>
          <w:rPr>
            <w:rStyle w:val="Hyperlink"/>
            <w:rFonts w:ascii="Times New Roman" w:hAnsi="Times New Roman" w:cs="Times New Roman"/>
            <w:noProof/>
          </w:rPr>
          <w:t>6.5</w:t>
        </w:r>
        <w:r>
          <w:rPr>
            <w:rFonts w:eastAsiaTheme="minorEastAsia"/>
            <w:noProof/>
            <w:lang w:eastAsia="en-GB"/>
          </w:rPr>
          <w:tab/>
        </w:r>
        <w:r>
          <w:rPr>
            <w:rStyle w:val="Hyperlink"/>
            <w:rFonts w:ascii="Times New Roman" w:hAnsi="Times New Roman" w:cs="Times New Roman"/>
            <w:noProof/>
          </w:rPr>
          <w:t>EU Added Value</w:t>
        </w:r>
        <w:r>
          <w:rPr>
            <w:noProof/>
            <w:webHidden/>
          </w:rPr>
          <w:tab/>
        </w:r>
        <w:r>
          <w:rPr>
            <w:noProof/>
            <w:webHidden/>
          </w:rPr>
          <w:fldChar w:fldCharType="begin"/>
        </w:r>
        <w:r>
          <w:rPr>
            <w:noProof/>
            <w:webHidden/>
          </w:rPr>
          <w:instrText xml:space="preserve"> PAGEREF _Toc489427644 \h </w:instrText>
        </w:r>
        <w:r>
          <w:rPr>
            <w:noProof/>
            <w:webHidden/>
          </w:rPr>
        </w:r>
        <w:r>
          <w:rPr>
            <w:noProof/>
            <w:webHidden/>
          </w:rPr>
          <w:fldChar w:fldCharType="separate"/>
        </w:r>
        <w:r>
          <w:rPr>
            <w:noProof/>
            <w:webHidden/>
          </w:rPr>
          <w:t>35</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45" w:history="1">
        <w:r>
          <w:rPr>
            <w:rStyle w:val="Hyperlink"/>
            <w:rFonts w:ascii="Times New Roman" w:hAnsi="Times New Roman" w:cs="Times New Roman"/>
            <w:noProof/>
          </w:rPr>
          <w:t>6.6</w:t>
        </w:r>
        <w:r>
          <w:rPr>
            <w:rFonts w:eastAsiaTheme="minorEastAsia"/>
            <w:noProof/>
            <w:lang w:eastAsia="en-GB"/>
          </w:rPr>
          <w:tab/>
        </w:r>
        <w:r>
          <w:rPr>
            <w:rStyle w:val="Hyperlink"/>
            <w:rFonts w:ascii="Times New Roman" w:hAnsi="Times New Roman" w:cs="Times New Roman"/>
            <w:noProof/>
          </w:rPr>
          <w:t>Sustainability</w:t>
        </w:r>
        <w:r>
          <w:rPr>
            <w:noProof/>
            <w:webHidden/>
          </w:rPr>
          <w:tab/>
        </w:r>
        <w:r>
          <w:rPr>
            <w:noProof/>
            <w:webHidden/>
          </w:rPr>
          <w:fldChar w:fldCharType="begin"/>
        </w:r>
        <w:r>
          <w:rPr>
            <w:noProof/>
            <w:webHidden/>
          </w:rPr>
          <w:instrText xml:space="preserve"> PAGEREF _Toc489427645 \h </w:instrText>
        </w:r>
        <w:r>
          <w:rPr>
            <w:noProof/>
            <w:webHidden/>
          </w:rPr>
        </w:r>
        <w:r>
          <w:rPr>
            <w:noProof/>
            <w:webHidden/>
          </w:rPr>
          <w:fldChar w:fldCharType="separate"/>
        </w:r>
        <w:r>
          <w:rPr>
            <w:noProof/>
            <w:webHidden/>
          </w:rPr>
          <w:t>37</w:t>
        </w:r>
        <w:r>
          <w:rPr>
            <w:noProof/>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46" w:history="1">
        <w:r>
          <w:rPr>
            <w:rStyle w:val="Hyperlink"/>
          </w:rPr>
          <w:t>7</w:t>
        </w:r>
        <w:r>
          <w:rPr>
            <w:rFonts w:asciiTheme="minorHAnsi" w:eastAsiaTheme="minorEastAsia" w:hAnsiTheme="minorHAnsi" w:cstheme="minorBidi"/>
            <w:b w:val="0"/>
            <w:lang w:eastAsia="en-GB"/>
          </w:rPr>
          <w:tab/>
        </w:r>
        <w:r>
          <w:rPr>
            <w:rStyle w:val="Hyperlink"/>
          </w:rPr>
          <w:t>CONCLUSIONS</w:t>
        </w:r>
        <w:r>
          <w:rPr>
            <w:webHidden/>
          </w:rPr>
          <w:tab/>
        </w:r>
        <w:r>
          <w:rPr>
            <w:webHidden/>
          </w:rPr>
          <w:fldChar w:fldCharType="begin"/>
        </w:r>
        <w:r>
          <w:rPr>
            <w:webHidden/>
          </w:rPr>
          <w:instrText xml:space="preserve"> PAGEREF _Toc489427646 \h </w:instrText>
        </w:r>
        <w:r>
          <w:rPr>
            <w:webHidden/>
          </w:rPr>
        </w:r>
        <w:r>
          <w:rPr>
            <w:webHidden/>
          </w:rPr>
          <w:fldChar w:fldCharType="separate"/>
        </w:r>
        <w:r>
          <w:rPr>
            <w:webHidden/>
          </w:rPr>
          <w:t>39</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47" w:history="1">
        <w:r>
          <w:rPr>
            <w:rStyle w:val="Hyperlink"/>
          </w:rPr>
          <w:t>ANNEX 1: INTERVENTION LOGIC OF THE UCPM</w:t>
        </w:r>
        <w:r>
          <w:rPr>
            <w:webHidden/>
          </w:rPr>
          <w:tab/>
        </w:r>
        <w:r>
          <w:rPr>
            <w:webHidden/>
          </w:rPr>
          <w:fldChar w:fldCharType="begin"/>
        </w:r>
        <w:r>
          <w:rPr>
            <w:webHidden/>
          </w:rPr>
          <w:instrText xml:space="preserve"> PAGEREF _Toc489427647 \h </w:instrText>
        </w:r>
        <w:r>
          <w:rPr>
            <w:webHidden/>
          </w:rPr>
        </w:r>
        <w:r>
          <w:rPr>
            <w:webHidden/>
          </w:rPr>
          <w:fldChar w:fldCharType="separate"/>
        </w:r>
        <w:r>
          <w:rPr>
            <w:webHidden/>
          </w:rPr>
          <w:t>42</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48" w:history="1">
        <w:r>
          <w:rPr>
            <w:rStyle w:val="Hyperlink"/>
          </w:rPr>
          <w:t>ANNEX 2: PROCEDURAL INFORMATION</w:t>
        </w:r>
        <w:r>
          <w:rPr>
            <w:webHidden/>
          </w:rPr>
          <w:tab/>
        </w:r>
        <w:r>
          <w:rPr>
            <w:webHidden/>
          </w:rPr>
          <w:fldChar w:fldCharType="begin"/>
        </w:r>
        <w:r>
          <w:rPr>
            <w:webHidden/>
          </w:rPr>
          <w:instrText xml:space="preserve"> PAGEREF _Toc489427648 \h </w:instrText>
        </w:r>
        <w:r>
          <w:rPr>
            <w:webHidden/>
          </w:rPr>
        </w:r>
        <w:r>
          <w:rPr>
            <w:webHidden/>
          </w:rPr>
          <w:fldChar w:fldCharType="separate"/>
        </w:r>
        <w:r>
          <w:rPr>
            <w:webHidden/>
          </w:rPr>
          <w:t>43</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49" w:history="1">
        <w:r>
          <w:rPr>
            <w:rStyle w:val="Hyperlink"/>
          </w:rPr>
          <w:t>ANNEX 3: OVERVIEW OF ACTIVITIES CARRIED OUT UNDER THE UCPM (2014-2016)</w:t>
        </w:r>
        <w:r>
          <w:rPr>
            <w:webHidden/>
          </w:rPr>
          <w:tab/>
        </w:r>
        <w:r>
          <w:rPr>
            <w:webHidden/>
          </w:rPr>
          <w:fldChar w:fldCharType="begin"/>
        </w:r>
        <w:r>
          <w:rPr>
            <w:webHidden/>
          </w:rPr>
          <w:instrText xml:space="preserve"> PAGEREF _Toc489427649 \h </w:instrText>
        </w:r>
        <w:r>
          <w:rPr>
            <w:webHidden/>
          </w:rPr>
        </w:r>
        <w:r>
          <w:rPr>
            <w:webHidden/>
          </w:rPr>
          <w:fldChar w:fldCharType="separate"/>
        </w:r>
        <w:r>
          <w:rPr>
            <w:webHidden/>
          </w:rPr>
          <w:t>46</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50" w:history="1">
        <w:r>
          <w:rPr>
            <w:rStyle w:val="Hyperlink"/>
          </w:rPr>
          <w:t>ANNEX 4: SYNOPSIS REPORT ON STAKEHOLDER CONSULTATION</w:t>
        </w:r>
        <w:r>
          <w:rPr>
            <w:webHidden/>
          </w:rPr>
          <w:tab/>
        </w:r>
        <w:r>
          <w:rPr>
            <w:webHidden/>
          </w:rPr>
          <w:fldChar w:fldCharType="begin"/>
        </w:r>
        <w:r>
          <w:rPr>
            <w:webHidden/>
          </w:rPr>
          <w:instrText xml:space="preserve"> PAGEREF _Toc489427650 \h </w:instrText>
        </w:r>
        <w:r>
          <w:rPr>
            <w:webHidden/>
          </w:rPr>
        </w:r>
        <w:r>
          <w:rPr>
            <w:webHidden/>
          </w:rPr>
          <w:fldChar w:fldCharType="separate"/>
        </w:r>
        <w:r>
          <w:rPr>
            <w:webHidden/>
          </w:rPr>
          <w:t>47</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51" w:history="1">
        <w:r>
          <w:rPr>
            <w:rStyle w:val="Hyperlink"/>
          </w:rPr>
          <w:t>1.</w:t>
        </w:r>
        <w:r>
          <w:rPr>
            <w:rFonts w:asciiTheme="minorHAnsi" w:eastAsiaTheme="minorEastAsia" w:hAnsiTheme="minorHAnsi" w:cstheme="minorBidi"/>
            <w:b w:val="0"/>
            <w:lang w:eastAsia="en-GB"/>
          </w:rPr>
          <w:tab/>
        </w:r>
        <w:r>
          <w:rPr>
            <w:rStyle w:val="Hyperlink"/>
          </w:rPr>
          <w:t>INTRODUCTION</w:t>
        </w:r>
        <w:r>
          <w:rPr>
            <w:webHidden/>
          </w:rPr>
          <w:tab/>
        </w:r>
        <w:r>
          <w:rPr>
            <w:webHidden/>
          </w:rPr>
          <w:fldChar w:fldCharType="begin"/>
        </w:r>
        <w:r>
          <w:rPr>
            <w:webHidden/>
          </w:rPr>
          <w:instrText xml:space="preserve"> PAGEREF _Toc489427651 \h </w:instrText>
        </w:r>
        <w:r>
          <w:rPr>
            <w:webHidden/>
          </w:rPr>
        </w:r>
        <w:r>
          <w:rPr>
            <w:webHidden/>
          </w:rPr>
          <w:fldChar w:fldCharType="separate"/>
        </w:r>
        <w:r>
          <w:rPr>
            <w:webHidden/>
          </w:rPr>
          <w:t>48</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52" w:history="1">
        <w:r>
          <w:rPr>
            <w:rStyle w:val="Hyperlink"/>
            <w:lang w:val="en"/>
          </w:rPr>
          <w:t>2.</w:t>
        </w:r>
        <w:r>
          <w:rPr>
            <w:rFonts w:asciiTheme="minorHAnsi" w:eastAsiaTheme="minorEastAsia" w:hAnsiTheme="minorHAnsi" w:cstheme="minorBidi"/>
            <w:b w:val="0"/>
            <w:lang w:eastAsia="en-GB"/>
          </w:rPr>
          <w:tab/>
        </w:r>
        <w:r>
          <w:rPr>
            <w:rStyle w:val="Hyperlink"/>
            <w:lang w:val="en"/>
          </w:rPr>
          <w:t>SCOPE OF THE CONSULTATION</w:t>
        </w:r>
        <w:r>
          <w:rPr>
            <w:webHidden/>
          </w:rPr>
          <w:tab/>
        </w:r>
        <w:r>
          <w:rPr>
            <w:webHidden/>
          </w:rPr>
          <w:fldChar w:fldCharType="begin"/>
        </w:r>
        <w:r>
          <w:rPr>
            <w:webHidden/>
          </w:rPr>
          <w:instrText xml:space="preserve"> PAGEREF _Toc489427652 \h </w:instrText>
        </w:r>
        <w:r>
          <w:rPr>
            <w:webHidden/>
          </w:rPr>
        </w:r>
        <w:r>
          <w:rPr>
            <w:webHidden/>
          </w:rPr>
          <w:fldChar w:fldCharType="separate"/>
        </w:r>
        <w:r>
          <w:rPr>
            <w:webHidden/>
          </w:rPr>
          <w:t>48</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53" w:history="1">
        <w:r>
          <w:rPr>
            <w:rStyle w:val="Hyperlink"/>
            <w:iCs/>
            <w:lang w:val="en"/>
          </w:rPr>
          <w:t>3.</w:t>
        </w:r>
        <w:r>
          <w:rPr>
            <w:rFonts w:asciiTheme="minorHAnsi" w:eastAsiaTheme="minorEastAsia" w:hAnsiTheme="minorHAnsi" w:cstheme="minorBidi"/>
            <w:b w:val="0"/>
            <w:lang w:eastAsia="en-GB"/>
          </w:rPr>
          <w:tab/>
        </w:r>
        <w:r>
          <w:rPr>
            <w:rStyle w:val="Hyperlink"/>
          </w:rPr>
          <w:t>STAKEHOLDER GROUPS COVERED BY THE CONSULTATION ACTIVITIES</w:t>
        </w:r>
        <w:r>
          <w:rPr>
            <w:webHidden/>
          </w:rPr>
          <w:tab/>
        </w:r>
        <w:r>
          <w:rPr>
            <w:webHidden/>
          </w:rPr>
          <w:fldChar w:fldCharType="begin"/>
        </w:r>
        <w:r>
          <w:rPr>
            <w:webHidden/>
          </w:rPr>
          <w:instrText xml:space="preserve"> PAGEREF _Toc489427653 \h </w:instrText>
        </w:r>
        <w:r>
          <w:rPr>
            <w:webHidden/>
          </w:rPr>
        </w:r>
        <w:r>
          <w:rPr>
            <w:webHidden/>
          </w:rPr>
          <w:fldChar w:fldCharType="separate"/>
        </w:r>
        <w:r>
          <w:rPr>
            <w:webHidden/>
          </w:rPr>
          <w:t>48</w:t>
        </w:r>
        <w:r>
          <w:rPr>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54" w:history="1">
        <w:r>
          <w:rPr>
            <w:rStyle w:val="Hyperlink"/>
            <w:lang w:val="en"/>
          </w:rPr>
          <w:t>4.</w:t>
        </w:r>
        <w:r>
          <w:rPr>
            <w:rFonts w:asciiTheme="minorHAnsi" w:eastAsiaTheme="minorEastAsia" w:hAnsiTheme="minorHAnsi" w:cstheme="minorBidi"/>
            <w:b w:val="0"/>
            <w:lang w:eastAsia="en-GB"/>
          </w:rPr>
          <w:tab/>
        </w:r>
        <w:r>
          <w:rPr>
            <w:rStyle w:val="Hyperlink"/>
            <w:lang w:val="en"/>
          </w:rPr>
          <w:t>CONSULTATION METHODS AND TOOLS</w:t>
        </w:r>
        <w:r>
          <w:rPr>
            <w:webHidden/>
          </w:rPr>
          <w:tab/>
        </w:r>
        <w:r>
          <w:rPr>
            <w:webHidden/>
          </w:rPr>
          <w:fldChar w:fldCharType="begin"/>
        </w:r>
        <w:r>
          <w:rPr>
            <w:webHidden/>
          </w:rPr>
          <w:instrText xml:space="preserve"> PAGEREF _Toc489427654 \h </w:instrText>
        </w:r>
        <w:r>
          <w:rPr>
            <w:webHidden/>
          </w:rPr>
        </w:r>
        <w:r>
          <w:rPr>
            <w:webHidden/>
          </w:rPr>
          <w:fldChar w:fldCharType="separate"/>
        </w:r>
        <w:r>
          <w:rPr>
            <w:webHidden/>
          </w:rPr>
          <w:t>49</w:t>
        </w:r>
        <w:r>
          <w:rPr>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55" w:history="1">
        <w:r>
          <w:rPr>
            <w:rStyle w:val="Hyperlink"/>
            <w:rFonts w:ascii="Times New Roman" w:hAnsi="Times New Roman" w:cs="Times New Roman"/>
            <w:noProof/>
          </w:rPr>
          <w:t>4.1</w:t>
        </w:r>
        <w:r>
          <w:rPr>
            <w:rFonts w:eastAsiaTheme="minorEastAsia"/>
            <w:noProof/>
            <w:lang w:eastAsia="en-GB"/>
          </w:rPr>
          <w:tab/>
        </w:r>
        <w:r>
          <w:rPr>
            <w:rStyle w:val="Hyperlink"/>
            <w:rFonts w:ascii="Times New Roman" w:hAnsi="Times New Roman" w:cs="Times New Roman"/>
            <w:noProof/>
          </w:rPr>
          <w:t>Interviews</w:t>
        </w:r>
        <w:r>
          <w:rPr>
            <w:noProof/>
            <w:webHidden/>
          </w:rPr>
          <w:tab/>
        </w:r>
        <w:r>
          <w:rPr>
            <w:noProof/>
            <w:webHidden/>
          </w:rPr>
          <w:fldChar w:fldCharType="begin"/>
        </w:r>
        <w:r>
          <w:rPr>
            <w:noProof/>
            <w:webHidden/>
          </w:rPr>
          <w:instrText xml:space="preserve"> PAGEREF _Toc489427655 \h </w:instrText>
        </w:r>
        <w:r>
          <w:rPr>
            <w:noProof/>
            <w:webHidden/>
          </w:rPr>
        </w:r>
        <w:r>
          <w:rPr>
            <w:noProof/>
            <w:webHidden/>
          </w:rPr>
          <w:fldChar w:fldCharType="separate"/>
        </w:r>
        <w:r>
          <w:rPr>
            <w:noProof/>
            <w:webHidden/>
          </w:rPr>
          <w:t>49</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56" w:history="1">
        <w:r>
          <w:rPr>
            <w:rStyle w:val="Hyperlink"/>
            <w:rFonts w:ascii="Times New Roman" w:hAnsi="Times New Roman" w:cs="Times New Roman"/>
            <w:noProof/>
          </w:rPr>
          <w:t>4.2</w:t>
        </w:r>
        <w:r>
          <w:rPr>
            <w:rFonts w:eastAsiaTheme="minorEastAsia"/>
            <w:noProof/>
            <w:lang w:eastAsia="en-GB"/>
          </w:rPr>
          <w:tab/>
        </w:r>
        <w:r>
          <w:rPr>
            <w:rStyle w:val="Hyperlink"/>
            <w:rFonts w:ascii="Times New Roman" w:hAnsi="Times New Roman" w:cs="Times New Roman"/>
            <w:noProof/>
          </w:rPr>
          <w:t>Online surveys</w:t>
        </w:r>
        <w:r>
          <w:rPr>
            <w:noProof/>
            <w:webHidden/>
          </w:rPr>
          <w:tab/>
        </w:r>
        <w:r>
          <w:rPr>
            <w:noProof/>
            <w:webHidden/>
          </w:rPr>
          <w:fldChar w:fldCharType="begin"/>
        </w:r>
        <w:r>
          <w:rPr>
            <w:noProof/>
            <w:webHidden/>
          </w:rPr>
          <w:instrText xml:space="preserve"> PAGEREF _Toc489427656 \h </w:instrText>
        </w:r>
        <w:r>
          <w:rPr>
            <w:noProof/>
            <w:webHidden/>
          </w:rPr>
        </w:r>
        <w:r>
          <w:rPr>
            <w:noProof/>
            <w:webHidden/>
          </w:rPr>
          <w:fldChar w:fldCharType="separate"/>
        </w:r>
        <w:r>
          <w:rPr>
            <w:noProof/>
            <w:webHidden/>
          </w:rPr>
          <w:t>50</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57" w:history="1">
        <w:r>
          <w:rPr>
            <w:rStyle w:val="Hyperlink"/>
            <w:rFonts w:ascii="Times New Roman" w:hAnsi="Times New Roman" w:cs="Times New Roman"/>
            <w:noProof/>
          </w:rPr>
          <w:t>4.3</w:t>
        </w:r>
        <w:r>
          <w:rPr>
            <w:rFonts w:eastAsiaTheme="minorEastAsia"/>
            <w:noProof/>
            <w:lang w:eastAsia="en-GB"/>
          </w:rPr>
          <w:tab/>
        </w:r>
        <w:r>
          <w:rPr>
            <w:rStyle w:val="Hyperlink"/>
            <w:rFonts w:ascii="Times New Roman" w:hAnsi="Times New Roman" w:cs="Times New Roman"/>
            <w:noProof/>
          </w:rPr>
          <w:t>Open Public Consultation</w:t>
        </w:r>
        <w:r>
          <w:rPr>
            <w:noProof/>
            <w:webHidden/>
          </w:rPr>
          <w:tab/>
        </w:r>
        <w:r>
          <w:rPr>
            <w:noProof/>
            <w:webHidden/>
          </w:rPr>
          <w:fldChar w:fldCharType="begin"/>
        </w:r>
        <w:r>
          <w:rPr>
            <w:noProof/>
            <w:webHidden/>
          </w:rPr>
          <w:instrText xml:space="preserve"> PAGEREF _Toc489427657 \h </w:instrText>
        </w:r>
        <w:r>
          <w:rPr>
            <w:noProof/>
            <w:webHidden/>
          </w:rPr>
        </w:r>
        <w:r>
          <w:rPr>
            <w:noProof/>
            <w:webHidden/>
          </w:rPr>
          <w:fldChar w:fldCharType="separate"/>
        </w:r>
        <w:r>
          <w:rPr>
            <w:noProof/>
            <w:webHidden/>
          </w:rPr>
          <w:t>50</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58" w:history="1">
        <w:r>
          <w:rPr>
            <w:rStyle w:val="Hyperlink"/>
            <w:rFonts w:ascii="Times New Roman" w:hAnsi="Times New Roman" w:cs="Times New Roman"/>
            <w:noProof/>
          </w:rPr>
          <w:t>4.4</w:t>
        </w:r>
        <w:r>
          <w:rPr>
            <w:rFonts w:eastAsiaTheme="minorEastAsia"/>
            <w:noProof/>
            <w:lang w:eastAsia="en-GB"/>
          </w:rPr>
          <w:tab/>
        </w:r>
        <w:r>
          <w:rPr>
            <w:rStyle w:val="Hyperlink"/>
            <w:rFonts w:ascii="Times New Roman" w:hAnsi="Times New Roman" w:cs="Times New Roman"/>
            <w:noProof/>
          </w:rPr>
          <w:t>Case Studies</w:t>
        </w:r>
        <w:r>
          <w:rPr>
            <w:noProof/>
            <w:webHidden/>
          </w:rPr>
          <w:tab/>
        </w:r>
        <w:r>
          <w:rPr>
            <w:noProof/>
            <w:webHidden/>
          </w:rPr>
          <w:fldChar w:fldCharType="begin"/>
        </w:r>
        <w:r>
          <w:rPr>
            <w:noProof/>
            <w:webHidden/>
          </w:rPr>
          <w:instrText xml:space="preserve"> PAGEREF _Toc489427658 \h </w:instrText>
        </w:r>
        <w:r>
          <w:rPr>
            <w:noProof/>
            <w:webHidden/>
          </w:rPr>
        </w:r>
        <w:r>
          <w:rPr>
            <w:noProof/>
            <w:webHidden/>
          </w:rPr>
          <w:fldChar w:fldCharType="separate"/>
        </w:r>
        <w:r>
          <w:rPr>
            <w:noProof/>
            <w:webHidden/>
          </w:rPr>
          <w:t>51</w:t>
        </w:r>
        <w:r>
          <w:rPr>
            <w:noProof/>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59" w:history="1">
        <w:r>
          <w:rPr>
            <w:rStyle w:val="Hyperlink"/>
          </w:rPr>
          <w:t>5.</w:t>
        </w:r>
        <w:r>
          <w:rPr>
            <w:rFonts w:asciiTheme="minorHAnsi" w:eastAsiaTheme="minorEastAsia" w:hAnsiTheme="minorHAnsi" w:cstheme="minorBidi"/>
            <w:b w:val="0"/>
            <w:lang w:eastAsia="en-GB"/>
          </w:rPr>
          <w:tab/>
        </w:r>
        <w:r>
          <w:rPr>
            <w:rStyle w:val="Hyperlink"/>
          </w:rPr>
          <w:t>RESULTS O</w:t>
        </w:r>
        <w:r>
          <w:rPr>
            <w:rStyle w:val="Hyperlink"/>
          </w:rPr>
          <w:t>F EACH OF THE CONSULTATION ACTIVITIES (TARGETED)</w:t>
        </w:r>
        <w:r>
          <w:rPr>
            <w:webHidden/>
          </w:rPr>
          <w:tab/>
        </w:r>
        <w:r>
          <w:rPr>
            <w:webHidden/>
          </w:rPr>
          <w:fldChar w:fldCharType="begin"/>
        </w:r>
        <w:r>
          <w:rPr>
            <w:webHidden/>
          </w:rPr>
          <w:instrText xml:space="preserve"> PAGEREF _Toc489427659 \h </w:instrText>
        </w:r>
        <w:r>
          <w:rPr>
            <w:webHidden/>
          </w:rPr>
        </w:r>
        <w:r>
          <w:rPr>
            <w:webHidden/>
          </w:rPr>
          <w:fldChar w:fldCharType="separate"/>
        </w:r>
        <w:r>
          <w:rPr>
            <w:webHidden/>
          </w:rPr>
          <w:t>51</w:t>
        </w:r>
        <w:r>
          <w:rPr>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0" w:history="1">
        <w:r>
          <w:rPr>
            <w:rStyle w:val="Hyperlink"/>
            <w:rFonts w:ascii="Times New Roman" w:hAnsi="Times New Roman" w:cs="Times New Roman"/>
            <w:noProof/>
          </w:rPr>
          <w:t>5.1</w:t>
        </w:r>
        <w:r>
          <w:rPr>
            <w:rFonts w:eastAsiaTheme="minorEastAsia"/>
            <w:noProof/>
            <w:lang w:eastAsia="en-GB"/>
          </w:rPr>
          <w:tab/>
        </w:r>
        <w:r>
          <w:rPr>
            <w:rStyle w:val="Hyperlink"/>
            <w:rFonts w:ascii="Times New Roman" w:hAnsi="Times New Roman" w:cs="Times New Roman"/>
            <w:noProof/>
          </w:rPr>
          <w:t>Relevance</w:t>
        </w:r>
        <w:r>
          <w:rPr>
            <w:noProof/>
            <w:webHidden/>
          </w:rPr>
          <w:tab/>
        </w:r>
        <w:r>
          <w:rPr>
            <w:noProof/>
            <w:webHidden/>
          </w:rPr>
          <w:fldChar w:fldCharType="begin"/>
        </w:r>
        <w:r>
          <w:rPr>
            <w:noProof/>
            <w:webHidden/>
          </w:rPr>
          <w:instrText xml:space="preserve"> PAGEREF _Toc489427660 \h </w:instrText>
        </w:r>
        <w:r>
          <w:rPr>
            <w:noProof/>
            <w:webHidden/>
          </w:rPr>
        </w:r>
        <w:r>
          <w:rPr>
            <w:noProof/>
            <w:webHidden/>
          </w:rPr>
          <w:fldChar w:fldCharType="separate"/>
        </w:r>
        <w:r>
          <w:rPr>
            <w:noProof/>
            <w:webHidden/>
          </w:rPr>
          <w:t>51</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1" w:history="1">
        <w:r>
          <w:rPr>
            <w:rStyle w:val="Hyperlink"/>
            <w:rFonts w:ascii="Times New Roman" w:hAnsi="Times New Roman" w:cs="Times New Roman"/>
            <w:noProof/>
          </w:rPr>
          <w:t>5.2</w:t>
        </w:r>
        <w:r>
          <w:rPr>
            <w:rFonts w:eastAsiaTheme="minorEastAsia"/>
            <w:noProof/>
            <w:lang w:eastAsia="en-GB"/>
          </w:rPr>
          <w:tab/>
        </w:r>
        <w:r>
          <w:rPr>
            <w:rStyle w:val="Hyperlink"/>
            <w:rFonts w:ascii="Times New Roman" w:hAnsi="Times New Roman" w:cs="Times New Roman"/>
            <w:noProof/>
          </w:rPr>
          <w:t>Effectiveness</w:t>
        </w:r>
        <w:r>
          <w:rPr>
            <w:noProof/>
            <w:webHidden/>
          </w:rPr>
          <w:tab/>
        </w:r>
        <w:r>
          <w:rPr>
            <w:noProof/>
            <w:webHidden/>
          </w:rPr>
          <w:fldChar w:fldCharType="begin"/>
        </w:r>
        <w:r>
          <w:rPr>
            <w:noProof/>
            <w:webHidden/>
          </w:rPr>
          <w:instrText xml:space="preserve"> PAGEREF _Toc489427661 \h </w:instrText>
        </w:r>
        <w:r>
          <w:rPr>
            <w:noProof/>
            <w:webHidden/>
          </w:rPr>
        </w:r>
        <w:r>
          <w:rPr>
            <w:noProof/>
            <w:webHidden/>
          </w:rPr>
          <w:fldChar w:fldCharType="separate"/>
        </w:r>
        <w:r>
          <w:rPr>
            <w:noProof/>
            <w:webHidden/>
          </w:rPr>
          <w:t>52</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2" w:history="1">
        <w:r>
          <w:rPr>
            <w:rStyle w:val="Hyperlink"/>
            <w:rFonts w:ascii="Times New Roman" w:hAnsi="Times New Roman" w:cs="Times New Roman"/>
            <w:noProof/>
          </w:rPr>
          <w:t>5.3</w:t>
        </w:r>
        <w:r>
          <w:rPr>
            <w:rFonts w:eastAsiaTheme="minorEastAsia"/>
            <w:noProof/>
            <w:lang w:eastAsia="en-GB"/>
          </w:rPr>
          <w:tab/>
        </w:r>
        <w:r>
          <w:rPr>
            <w:rStyle w:val="Hyperlink"/>
            <w:rFonts w:ascii="Times New Roman" w:hAnsi="Times New Roman" w:cs="Times New Roman"/>
            <w:noProof/>
          </w:rPr>
          <w:t>Efficiency</w:t>
        </w:r>
        <w:r>
          <w:rPr>
            <w:noProof/>
            <w:webHidden/>
          </w:rPr>
          <w:tab/>
        </w:r>
        <w:r>
          <w:rPr>
            <w:noProof/>
            <w:webHidden/>
          </w:rPr>
          <w:fldChar w:fldCharType="begin"/>
        </w:r>
        <w:r>
          <w:rPr>
            <w:noProof/>
            <w:webHidden/>
          </w:rPr>
          <w:instrText xml:space="preserve"> PAGEREF _Toc489427662 \h </w:instrText>
        </w:r>
        <w:r>
          <w:rPr>
            <w:noProof/>
            <w:webHidden/>
          </w:rPr>
        </w:r>
        <w:r>
          <w:rPr>
            <w:noProof/>
            <w:webHidden/>
          </w:rPr>
          <w:fldChar w:fldCharType="separate"/>
        </w:r>
        <w:r>
          <w:rPr>
            <w:noProof/>
            <w:webHidden/>
          </w:rPr>
          <w:t>52</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3" w:history="1">
        <w:r>
          <w:rPr>
            <w:rStyle w:val="Hyperlink"/>
            <w:rFonts w:ascii="Times New Roman" w:hAnsi="Times New Roman" w:cs="Times New Roman"/>
            <w:noProof/>
          </w:rPr>
          <w:t>5.4</w:t>
        </w:r>
        <w:r>
          <w:rPr>
            <w:rFonts w:eastAsiaTheme="minorEastAsia"/>
            <w:noProof/>
            <w:lang w:eastAsia="en-GB"/>
          </w:rPr>
          <w:tab/>
        </w:r>
        <w:r>
          <w:rPr>
            <w:rStyle w:val="Hyperlink"/>
            <w:rFonts w:ascii="Times New Roman" w:hAnsi="Times New Roman" w:cs="Times New Roman"/>
            <w:noProof/>
          </w:rPr>
          <w:t>Coherence</w:t>
        </w:r>
        <w:r>
          <w:rPr>
            <w:noProof/>
            <w:webHidden/>
          </w:rPr>
          <w:tab/>
        </w:r>
        <w:r>
          <w:rPr>
            <w:noProof/>
            <w:webHidden/>
          </w:rPr>
          <w:fldChar w:fldCharType="begin"/>
        </w:r>
        <w:r>
          <w:rPr>
            <w:noProof/>
            <w:webHidden/>
          </w:rPr>
          <w:instrText xml:space="preserve"> PAGEREF _Toc489427663 \h </w:instrText>
        </w:r>
        <w:r>
          <w:rPr>
            <w:noProof/>
            <w:webHidden/>
          </w:rPr>
        </w:r>
        <w:r>
          <w:rPr>
            <w:noProof/>
            <w:webHidden/>
          </w:rPr>
          <w:fldChar w:fldCharType="separate"/>
        </w:r>
        <w:r>
          <w:rPr>
            <w:noProof/>
            <w:webHidden/>
          </w:rPr>
          <w:t>52</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4" w:history="1">
        <w:r>
          <w:rPr>
            <w:rStyle w:val="Hyperlink"/>
            <w:rFonts w:ascii="Times New Roman" w:hAnsi="Times New Roman" w:cs="Times New Roman"/>
            <w:noProof/>
          </w:rPr>
          <w:t>5.5</w:t>
        </w:r>
        <w:r>
          <w:rPr>
            <w:rFonts w:eastAsiaTheme="minorEastAsia"/>
            <w:noProof/>
            <w:lang w:eastAsia="en-GB"/>
          </w:rPr>
          <w:tab/>
        </w:r>
        <w:r>
          <w:rPr>
            <w:rStyle w:val="Hyperlink"/>
            <w:rFonts w:ascii="Times New Roman" w:hAnsi="Times New Roman" w:cs="Times New Roman"/>
            <w:noProof/>
          </w:rPr>
          <w:t>EU Added V</w:t>
        </w:r>
        <w:r>
          <w:rPr>
            <w:rStyle w:val="Hyperlink"/>
            <w:rFonts w:ascii="Times New Roman" w:hAnsi="Times New Roman" w:cs="Times New Roman"/>
            <w:noProof/>
          </w:rPr>
          <w:t>alue</w:t>
        </w:r>
        <w:r>
          <w:rPr>
            <w:noProof/>
            <w:webHidden/>
          </w:rPr>
          <w:tab/>
        </w:r>
        <w:r>
          <w:rPr>
            <w:noProof/>
            <w:webHidden/>
          </w:rPr>
          <w:fldChar w:fldCharType="begin"/>
        </w:r>
        <w:r>
          <w:rPr>
            <w:noProof/>
            <w:webHidden/>
          </w:rPr>
          <w:instrText xml:space="preserve"> PAGEREF _Toc489427664 \h </w:instrText>
        </w:r>
        <w:r>
          <w:rPr>
            <w:noProof/>
            <w:webHidden/>
          </w:rPr>
        </w:r>
        <w:r>
          <w:rPr>
            <w:noProof/>
            <w:webHidden/>
          </w:rPr>
          <w:fldChar w:fldCharType="separate"/>
        </w:r>
        <w:r>
          <w:rPr>
            <w:noProof/>
            <w:webHidden/>
          </w:rPr>
          <w:t>53</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5" w:history="1">
        <w:r>
          <w:rPr>
            <w:rStyle w:val="Hyperlink"/>
            <w:rFonts w:ascii="Times New Roman" w:hAnsi="Times New Roman" w:cs="Times New Roman"/>
            <w:noProof/>
          </w:rPr>
          <w:t>5.6</w:t>
        </w:r>
        <w:r>
          <w:rPr>
            <w:rFonts w:eastAsiaTheme="minorEastAsia"/>
            <w:noProof/>
            <w:lang w:eastAsia="en-GB"/>
          </w:rPr>
          <w:tab/>
        </w:r>
        <w:r>
          <w:rPr>
            <w:rStyle w:val="Hyperlink"/>
            <w:rFonts w:ascii="Times New Roman" w:hAnsi="Times New Roman" w:cs="Times New Roman"/>
            <w:noProof/>
          </w:rPr>
          <w:t>Sustainability</w:t>
        </w:r>
        <w:r>
          <w:rPr>
            <w:noProof/>
            <w:webHidden/>
          </w:rPr>
          <w:tab/>
        </w:r>
        <w:r>
          <w:rPr>
            <w:noProof/>
            <w:webHidden/>
          </w:rPr>
          <w:fldChar w:fldCharType="begin"/>
        </w:r>
        <w:r>
          <w:rPr>
            <w:noProof/>
            <w:webHidden/>
          </w:rPr>
          <w:instrText xml:space="preserve"> PAGEREF _Toc489427665 \h </w:instrText>
        </w:r>
        <w:r>
          <w:rPr>
            <w:noProof/>
            <w:webHidden/>
          </w:rPr>
        </w:r>
        <w:r>
          <w:rPr>
            <w:noProof/>
            <w:webHidden/>
          </w:rPr>
          <w:fldChar w:fldCharType="separate"/>
        </w:r>
        <w:r>
          <w:rPr>
            <w:noProof/>
            <w:webHidden/>
          </w:rPr>
          <w:t>53</w:t>
        </w:r>
        <w:r>
          <w:rPr>
            <w:noProof/>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66" w:history="1">
        <w:r>
          <w:rPr>
            <w:rStyle w:val="Hyperlink"/>
          </w:rPr>
          <w:t>6.</w:t>
        </w:r>
        <w:r>
          <w:rPr>
            <w:rFonts w:asciiTheme="minorHAnsi" w:eastAsiaTheme="minorEastAsia" w:hAnsiTheme="minorHAnsi" w:cstheme="minorBidi"/>
            <w:b w:val="0"/>
            <w:lang w:eastAsia="en-GB"/>
          </w:rPr>
          <w:tab/>
        </w:r>
        <w:r>
          <w:rPr>
            <w:rStyle w:val="Hyperlink"/>
          </w:rPr>
          <w:t>RESULTS OF THE CONSULTATION IN THE FRAMEWORK OF THE OPC</w:t>
        </w:r>
        <w:r>
          <w:rPr>
            <w:webHidden/>
          </w:rPr>
          <w:tab/>
        </w:r>
        <w:r>
          <w:rPr>
            <w:webHidden/>
          </w:rPr>
          <w:fldChar w:fldCharType="begin"/>
        </w:r>
        <w:r>
          <w:rPr>
            <w:webHidden/>
          </w:rPr>
          <w:instrText xml:space="preserve"> PAGEREF _Toc489427666 \h </w:instrText>
        </w:r>
        <w:r>
          <w:rPr>
            <w:webHidden/>
          </w:rPr>
        </w:r>
        <w:r>
          <w:rPr>
            <w:webHidden/>
          </w:rPr>
          <w:fldChar w:fldCharType="separate"/>
        </w:r>
        <w:r>
          <w:rPr>
            <w:webHidden/>
          </w:rPr>
          <w:t>54</w:t>
        </w:r>
        <w:r>
          <w:rPr>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7" w:history="1">
        <w:r>
          <w:rPr>
            <w:rStyle w:val="Hyperlink"/>
            <w:rFonts w:ascii="Times New Roman" w:hAnsi="Times New Roman" w:cs="Times New Roman"/>
            <w:noProof/>
            <w:lang w:val="fr-BE"/>
          </w:rPr>
          <w:t>6.1</w:t>
        </w:r>
        <w:r>
          <w:rPr>
            <w:rFonts w:eastAsiaTheme="minorEastAsia"/>
            <w:noProof/>
            <w:lang w:eastAsia="en-GB"/>
          </w:rPr>
          <w:tab/>
        </w:r>
        <w:r>
          <w:rPr>
            <w:rStyle w:val="Hyperlink"/>
            <w:rFonts w:ascii="Times New Roman" w:hAnsi="Times New Roman" w:cs="Times New Roman"/>
            <w:noProof/>
            <w:lang w:val="fr-BE"/>
          </w:rPr>
          <w:t>General Questions (for both ques</w:t>
        </w:r>
        <w:r>
          <w:rPr>
            <w:rStyle w:val="Hyperlink"/>
            <w:rFonts w:ascii="Times New Roman" w:hAnsi="Times New Roman" w:cs="Times New Roman"/>
            <w:noProof/>
            <w:lang w:val="fr-BE"/>
          </w:rPr>
          <w:t>tionnaires)</w:t>
        </w:r>
        <w:r>
          <w:rPr>
            <w:noProof/>
            <w:webHidden/>
          </w:rPr>
          <w:tab/>
        </w:r>
        <w:r>
          <w:rPr>
            <w:noProof/>
            <w:webHidden/>
          </w:rPr>
          <w:fldChar w:fldCharType="begin"/>
        </w:r>
        <w:r>
          <w:rPr>
            <w:noProof/>
            <w:webHidden/>
          </w:rPr>
          <w:instrText xml:space="preserve"> PAGEREF _Toc489427667 \h </w:instrText>
        </w:r>
        <w:r>
          <w:rPr>
            <w:noProof/>
            <w:webHidden/>
          </w:rPr>
        </w:r>
        <w:r>
          <w:rPr>
            <w:noProof/>
            <w:webHidden/>
          </w:rPr>
          <w:fldChar w:fldCharType="separate"/>
        </w:r>
        <w:r>
          <w:rPr>
            <w:noProof/>
            <w:webHidden/>
          </w:rPr>
          <w:t>54</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8" w:history="1">
        <w:r>
          <w:rPr>
            <w:rStyle w:val="Hyperlink"/>
            <w:rFonts w:ascii="Times New Roman" w:hAnsi="Times New Roman" w:cs="Times New Roman"/>
            <w:noProof/>
          </w:rPr>
          <w:t>6.2</w:t>
        </w:r>
        <w:r>
          <w:rPr>
            <w:rFonts w:eastAsiaTheme="minorEastAsia"/>
            <w:noProof/>
            <w:lang w:eastAsia="en-GB"/>
          </w:rPr>
          <w:tab/>
        </w:r>
        <w:r>
          <w:rPr>
            <w:rStyle w:val="Hyperlink"/>
            <w:rFonts w:ascii="Times New Roman" w:hAnsi="Times New Roman" w:cs="Times New Roman"/>
            <w:noProof/>
          </w:rPr>
          <w:t>Relevance (only for in-depth knowledge)</w:t>
        </w:r>
        <w:r>
          <w:rPr>
            <w:noProof/>
            <w:webHidden/>
          </w:rPr>
          <w:tab/>
        </w:r>
        <w:r>
          <w:rPr>
            <w:noProof/>
            <w:webHidden/>
          </w:rPr>
          <w:fldChar w:fldCharType="begin"/>
        </w:r>
        <w:r>
          <w:rPr>
            <w:noProof/>
            <w:webHidden/>
          </w:rPr>
          <w:instrText xml:space="preserve"> PAGEREF _Toc489427668 \h </w:instrText>
        </w:r>
        <w:r>
          <w:rPr>
            <w:noProof/>
            <w:webHidden/>
          </w:rPr>
        </w:r>
        <w:r>
          <w:rPr>
            <w:noProof/>
            <w:webHidden/>
          </w:rPr>
          <w:fldChar w:fldCharType="separate"/>
        </w:r>
        <w:r>
          <w:rPr>
            <w:noProof/>
            <w:webHidden/>
          </w:rPr>
          <w:t>54</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69" w:history="1">
        <w:r>
          <w:rPr>
            <w:rStyle w:val="Hyperlink"/>
            <w:rFonts w:ascii="Times New Roman" w:hAnsi="Times New Roman" w:cs="Times New Roman"/>
            <w:noProof/>
          </w:rPr>
          <w:t>6.3</w:t>
        </w:r>
        <w:r>
          <w:rPr>
            <w:rFonts w:eastAsiaTheme="minorEastAsia"/>
            <w:noProof/>
            <w:lang w:eastAsia="en-GB"/>
          </w:rPr>
          <w:tab/>
        </w:r>
        <w:r>
          <w:rPr>
            <w:rStyle w:val="Hyperlink"/>
            <w:rFonts w:ascii="Times New Roman" w:hAnsi="Times New Roman" w:cs="Times New Roman"/>
            <w:noProof/>
          </w:rPr>
          <w:t>Effectiveness (only for in-depth knowledge)</w:t>
        </w:r>
        <w:r>
          <w:rPr>
            <w:noProof/>
            <w:webHidden/>
          </w:rPr>
          <w:tab/>
        </w:r>
        <w:r>
          <w:rPr>
            <w:noProof/>
            <w:webHidden/>
          </w:rPr>
          <w:fldChar w:fldCharType="begin"/>
        </w:r>
        <w:r>
          <w:rPr>
            <w:noProof/>
            <w:webHidden/>
          </w:rPr>
          <w:instrText xml:space="preserve"> PAGEREF _Toc489427669 \h </w:instrText>
        </w:r>
        <w:r>
          <w:rPr>
            <w:noProof/>
            <w:webHidden/>
          </w:rPr>
        </w:r>
        <w:r>
          <w:rPr>
            <w:noProof/>
            <w:webHidden/>
          </w:rPr>
          <w:fldChar w:fldCharType="separate"/>
        </w:r>
        <w:r>
          <w:rPr>
            <w:noProof/>
            <w:webHidden/>
          </w:rPr>
          <w:t>55</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70" w:history="1">
        <w:r>
          <w:rPr>
            <w:rStyle w:val="Hyperlink"/>
            <w:rFonts w:ascii="Times New Roman" w:hAnsi="Times New Roman" w:cs="Times New Roman"/>
            <w:noProof/>
          </w:rPr>
          <w:t>6.4</w:t>
        </w:r>
        <w:r>
          <w:rPr>
            <w:rFonts w:eastAsiaTheme="minorEastAsia"/>
            <w:noProof/>
            <w:lang w:eastAsia="en-GB"/>
          </w:rPr>
          <w:tab/>
        </w:r>
        <w:r>
          <w:rPr>
            <w:rStyle w:val="Hyperlink"/>
            <w:rFonts w:ascii="Times New Roman" w:hAnsi="Times New Roman" w:cs="Times New Roman"/>
            <w:noProof/>
          </w:rPr>
          <w:t>Efficiency (only for in-depth knowledge)</w:t>
        </w:r>
        <w:r>
          <w:rPr>
            <w:noProof/>
            <w:webHidden/>
          </w:rPr>
          <w:tab/>
        </w:r>
        <w:r>
          <w:rPr>
            <w:noProof/>
            <w:webHidden/>
          </w:rPr>
          <w:fldChar w:fldCharType="begin"/>
        </w:r>
        <w:r>
          <w:rPr>
            <w:noProof/>
            <w:webHidden/>
          </w:rPr>
          <w:instrText xml:space="preserve"> PAGEREF _Toc489427670 \h </w:instrText>
        </w:r>
        <w:r>
          <w:rPr>
            <w:noProof/>
            <w:webHidden/>
          </w:rPr>
        </w:r>
        <w:r>
          <w:rPr>
            <w:noProof/>
            <w:webHidden/>
          </w:rPr>
          <w:fldChar w:fldCharType="separate"/>
        </w:r>
        <w:r>
          <w:rPr>
            <w:noProof/>
            <w:webHidden/>
          </w:rPr>
          <w:t>55</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71" w:history="1">
        <w:r>
          <w:rPr>
            <w:rStyle w:val="Hyperlink"/>
            <w:rFonts w:ascii="Times New Roman" w:hAnsi="Times New Roman" w:cs="Times New Roman"/>
            <w:noProof/>
          </w:rPr>
          <w:t>6.5</w:t>
        </w:r>
        <w:r>
          <w:rPr>
            <w:rFonts w:eastAsiaTheme="minorEastAsia"/>
            <w:noProof/>
            <w:lang w:eastAsia="en-GB"/>
          </w:rPr>
          <w:tab/>
        </w:r>
        <w:r>
          <w:rPr>
            <w:rStyle w:val="Hyperlink"/>
            <w:rFonts w:ascii="Times New Roman" w:hAnsi="Times New Roman" w:cs="Times New Roman"/>
            <w:noProof/>
          </w:rPr>
          <w:t>Coherence (only for in-depth knowledge)</w:t>
        </w:r>
        <w:r>
          <w:rPr>
            <w:noProof/>
            <w:webHidden/>
          </w:rPr>
          <w:tab/>
        </w:r>
        <w:r>
          <w:rPr>
            <w:noProof/>
            <w:webHidden/>
          </w:rPr>
          <w:fldChar w:fldCharType="begin"/>
        </w:r>
        <w:r>
          <w:rPr>
            <w:noProof/>
            <w:webHidden/>
          </w:rPr>
          <w:instrText xml:space="preserve"> PAGEREF _Toc489427671 \h </w:instrText>
        </w:r>
        <w:r>
          <w:rPr>
            <w:noProof/>
            <w:webHidden/>
          </w:rPr>
        </w:r>
        <w:r>
          <w:rPr>
            <w:noProof/>
            <w:webHidden/>
          </w:rPr>
          <w:fldChar w:fldCharType="separate"/>
        </w:r>
        <w:r>
          <w:rPr>
            <w:noProof/>
            <w:webHidden/>
          </w:rPr>
          <w:t>55</w:t>
        </w:r>
        <w:r>
          <w:rPr>
            <w:noProof/>
            <w:webHidden/>
          </w:rPr>
          <w:fldChar w:fldCharType="end"/>
        </w:r>
      </w:hyperlink>
    </w:p>
    <w:p w:rsidR="00500553" w:rsidRDefault="00D978F2">
      <w:pPr>
        <w:pStyle w:val="TOC2"/>
        <w:tabs>
          <w:tab w:val="left" w:pos="880"/>
          <w:tab w:val="right" w:leader="dot" w:pos="9062"/>
        </w:tabs>
        <w:rPr>
          <w:rFonts w:eastAsiaTheme="minorEastAsia"/>
          <w:noProof/>
          <w:lang w:eastAsia="en-GB"/>
        </w:rPr>
      </w:pPr>
      <w:hyperlink w:anchor="_Toc489427672" w:history="1">
        <w:r>
          <w:rPr>
            <w:rStyle w:val="Hyperlink"/>
            <w:rFonts w:ascii="Times New Roman" w:hAnsi="Times New Roman" w:cs="Times New Roman"/>
            <w:noProof/>
          </w:rPr>
          <w:t>6.6</w:t>
        </w:r>
        <w:r>
          <w:rPr>
            <w:rFonts w:eastAsiaTheme="minorEastAsia"/>
            <w:noProof/>
            <w:lang w:eastAsia="en-GB"/>
          </w:rPr>
          <w:tab/>
        </w:r>
        <w:r>
          <w:rPr>
            <w:rStyle w:val="Hyperlink"/>
            <w:rFonts w:ascii="Times New Roman" w:hAnsi="Times New Roman" w:cs="Times New Roman"/>
            <w:noProof/>
          </w:rPr>
          <w:t>EU added value (only for in-depth knowledge)</w:t>
        </w:r>
        <w:r>
          <w:rPr>
            <w:noProof/>
            <w:webHidden/>
          </w:rPr>
          <w:tab/>
        </w:r>
        <w:r>
          <w:rPr>
            <w:noProof/>
            <w:webHidden/>
          </w:rPr>
          <w:fldChar w:fldCharType="begin"/>
        </w:r>
        <w:r>
          <w:rPr>
            <w:noProof/>
            <w:webHidden/>
          </w:rPr>
          <w:instrText xml:space="preserve"> PAGEREF _Toc4894</w:instrText>
        </w:r>
        <w:r>
          <w:rPr>
            <w:noProof/>
            <w:webHidden/>
          </w:rPr>
          <w:instrText xml:space="preserve">27672 \h </w:instrText>
        </w:r>
        <w:r>
          <w:rPr>
            <w:noProof/>
            <w:webHidden/>
          </w:rPr>
        </w:r>
        <w:r>
          <w:rPr>
            <w:noProof/>
            <w:webHidden/>
          </w:rPr>
          <w:fldChar w:fldCharType="separate"/>
        </w:r>
        <w:r>
          <w:rPr>
            <w:noProof/>
            <w:webHidden/>
          </w:rPr>
          <w:t>55</w:t>
        </w:r>
        <w:r>
          <w:rPr>
            <w:noProof/>
            <w:webHidden/>
          </w:rPr>
          <w:fldChar w:fldCharType="end"/>
        </w:r>
      </w:hyperlink>
    </w:p>
    <w:p w:rsidR="00500553" w:rsidRDefault="00D978F2">
      <w:pPr>
        <w:pStyle w:val="TOC1"/>
        <w:rPr>
          <w:rFonts w:asciiTheme="minorHAnsi" w:eastAsiaTheme="minorEastAsia" w:hAnsiTheme="minorHAnsi" w:cstheme="minorBidi"/>
          <w:b w:val="0"/>
          <w:lang w:eastAsia="en-GB"/>
        </w:rPr>
      </w:pPr>
      <w:hyperlink w:anchor="_Toc489427673" w:history="1">
        <w:r>
          <w:rPr>
            <w:rStyle w:val="Hyperlink"/>
          </w:rPr>
          <w:t>7.</w:t>
        </w:r>
        <w:r>
          <w:rPr>
            <w:rFonts w:asciiTheme="minorHAnsi" w:eastAsiaTheme="minorEastAsia" w:hAnsiTheme="minorHAnsi" w:cstheme="minorBidi"/>
            <w:b w:val="0"/>
            <w:lang w:eastAsia="en-GB"/>
          </w:rPr>
          <w:tab/>
        </w:r>
        <w:r>
          <w:rPr>
            <w:rStyle w:val="Hyperlink"/>
          </w:rPr>
          <w:t>CONCLUSIONS</w:t>
        </w:r>
        <w:r>
          <w:rPr>
            <w:webHidden/>
          </w:rPr>
          <w:tab/>
        </w:r>
        <w:r>
          <w:rPr>
            <w:webHidden/>
          </w:rPr>
          <w:fldChar w:fldCharType="begin"/>
        </w:r>
        <w:r>
          <w:rPr>
            <w:webHidden/>
          </w:rPr>
          <w:instrText xml:space="preserve"> PAGEREF _Toc489427673 \h </w:instrText>
        </w:r>
        <w:r>
          <w:rPr>
            <w:webHidden/>
          </w:rPr>
        </w:r>
        <w:r>
          <w:rPr>
            <w:webHidden/>
          </w:rPr>
          <w:fldChar w:fldCharType="separate"/>
        </w:r>
        <w:r>
          <w:rPr>
            <w:webHidden/>
          </w:rPr>
          <w:t>56</w:t>
        </w:r>
        <w:r>
          <w:rPr>
            <w:webHidden/>
          </w:rPr>
          <w:fldChar w:fldCharType="end"/>
        </w:r>
      </w:hyperlink>
    </w:p>
    <w:p w:rsidR="00500553" w:rsidRDefault="00D978F2">
      <w:pPr>
        <w:pStyle w:val="NoSpacing"/>
        <w:spacing w:line="360" w:lineRule="auto"/>
        <w:rPr>
          <w:rFonts w:ascii="Times New Roman" w:hAnsi="Times New Roman" w:cs="Times New Roman"/>
          <w:noProof/>
          <w:szCs w:val="21"/>
        </w:rPr>
        <w:sectPr w:rsidR="0050055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r>
        <w:rPr>
          <w:rFonts w:ascii="Times New Roman" w:hAnsi="Times New Roman" w:cs="Times New Roman"/>
          <w:noProof/>
        </w:rPr>
        <w:fldChar w:fldCharType="end"/>
      </w:r>
    </w:p>
    <w:p w:rsidR="00500553" w:rsidRDefault="00D978F2">
      <w:pPr>
        <w:pStyle w:val="Heading1"/>
        <w:numPr>
          <w:ilvl w:val="0"/>
          <w:numId w:val="0"/>
        </w:numPr>
        <w:ind w:left="680" w:hanging="680"/>
        <w:rPr>
          <w:rFonts w:ascii="Times New Roman" w:hAnsi="Times New Roman" w:cs="Times New Roman"/>
          <w:noProof/>
        </w:rPr>
      </w:pPr>
      <w:bookmarkStart w:id="2" w:name="_Toc489347856"/>
      <w:bookmarkStart w:id="3" w:name="_Toc489427629"/>
      <w:r>
        <w:rPr>
          <w:rFonts w:ascii="Times New Roman" w:hAnsi="Times New Roman" w:cs="Times New Roman"/>
          <w:noProof/>
        </w:rPr>
        <w:lastRenderedPageBreak/>
        <w:t>LIST OF ABBREVIATIONS AND ACRONYMS</w:t>
      </w:r>
      <w:bookmarkEnd w:id="2"/>
      <w:bookmarkEnd w:id="3"/>
      <w:r>
        <w:rPr>
          <w:rFonts w:ascii="Times New Roman" w:hAnsi="Times New Roman" w:cs="Times New Roman"/>
          <w:noProof/>
        </w:rPr>
        <w:t xml:space="preserve"> </w:t>
      </w:r>
    </w:p>
    <w:p w:rsidR="00500553" w:rsidRDefault="00500553">
      <w:pPr>
        <w:pStyle w:val="NoSpacing"/>
        <w:spacing w:line="276" w:lineRule="auto"/>
        <w:rPr>
          <w:rFonts w:ascii="Times New Roman" w:hAnsi="Times New Roman" w:cs="Times New Roman"/>
          <w:noProof/>
          <w:sz w:val="21"/>
          <w:szCs w:val="21"/>
        </w:rPr>
      </w:pP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CECIS</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Common Emergency Communication and Information System</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CPFI</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Civil Protection Financial Instrument</w:t>
      </w:r>
    </w:p>
    <w:p w:rsidR="00500553" w:rsidRDefault="00D978F2">
      <w:pPr>
        <w:pStyle w:val="NoSpacing"/>
        <w:spacing w:line="276" w:lineRule="auto"/>
        <w:ind w:left="2160" w:hanging="2160"/>
        <w:rPr>
          <w:rFonts w:ascii="Times New Roman" w:hAnsi="Times New Roman" w:cs="Times New Roman"/>
          <w:noProof/>
          <w:sz w:val="21"/>
          <w:szCs w:val="21"/>
        </w:rPr>
      </w:pPr>
      <w:r>
        <w:rPr>
          <w:rFonts w:ascii="Times New Roman" w:hAnsi="Times New Roman" w:cs="Times New Roman"/>
          <w:noProof/>
          <w:sz w:val="21"/>
          <w:szCs w:val="21"/>
        </w:rPr>
        <w:t>Decision</w:t>
      </w:r>
      <w:r>
        <w:rPr>
          <w:rFonts w:ascii="Times New Roman" w:hAnsi="Times New Roman" w:cs="Times New Roman"/>
          <w:noProof/>
          <w:sz w:val="21"/>
          <w:szCs w:val="21"/>
        </w:rPr>
        <w:tab/>
        <w:t xml:space="preserve">Decision No. 1313/2013/EU of the European Parliament and the Council of 17 </w:t>
      </w:r>
      <w:r>
        <w:rPr>
          <w:rFonts w:ascii="Times New Roman" w:hAnsi="Times New Roman" w:cs="Times New Roman"/>
          <w:noProof/>
          <w:sz w:val="21"/>
          <w:szCs w:val="21"/>
        </w:rPr>
        <w:t>December 2013</w:t>
      </w:r>
    </w:p>
    <w:p w:rsidR="00500553" w:rsidRDefault="00D978F2">
      <w:pPr>
        <w:pStyle w:val="NoSpacing"/>
        <w:spacing w:line="276" w:lineRule="auto"/>
        <w:ind w:left="2160" w:hanging="2160"/>
        <w:rPr>
          <w:rFonts w:ascii="Times New Roman" w:hAnsi="Times New Roman" w:cs="Times New Roman"/>
          <w:noProof/>
          <w:sz w:val="21"/>
          <w:szCs w:val="21"/>
        </w:rPr>
      </w:pPr>
      <w:r>
        <w:rPr>
          <w:rFonts w:ascii="Times New Roman" w:hAnsi="Times New Roman" w:cs="Times New Roman"/>
          <w:noProof/>
          <w:sz w:val="21"/>
          <w:szCs w:val="21"/>
        </w:rPr>
        <w:t>DG ECHO</w:t>
      </w:r>
      <w:r>
        <w:rPr>
          <w:rFonts w:ascii="Times New Roman" w:hAnsi="Times New Roman" w:cs="Times New Roman"/>
          <w:noProof/>
          <w:sz w:val="21"/>
          <w:szCs w:val="21"/>
        </w:rPr>
        <w:tab/>
        <w:t>Directorate-General European Civil Protection and Humanitarian Aid Operations</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DG DEVCO</w:t>
      </w:r>
      <w:r>
        <w:rPr>
          <w:rFonts w:ascii="Times New Roman" w:hAnsi="Times New Roman" w:cs="Times New Roman"/>
          <w:noProof/>
          <w:sz w:val="21"/>
          <w:szCs w:val="21"/>
        </w:rPr>
        <w:tab/>
      </w:r>
      <w:r>
        <w:rPr>
          <w:rFonts w:ascii="Times New Roman" w:hAnsi="Times New Roman" w:cs="Times New Roman"/>
          <w:noProof/>
          <w:sz w:val="21"/>
          <w:szCs w:val="21"/>
        </w:rPr>
        <w:tab/>
        <w:t>Directorate-General for International Cooperation and Development</w:t>
      </w:r>
    </w:p>
    <w:p w:rsidR="00500553" w:rsidRDefault="00D978F2">
      <w:pPr>
        <w:pStyle w:val="NoSpacing"/>
        <w:spacing w:line="276" w:lineRule="auto"/>
        <w:ind w:left="2160" w:hanging="2160"/>
        <w:rPr>
          <w:rFonts w:ascii="Times New Roman" w:hAnsi="Times New Roman" w:cs="Times New Roman"/>
          <w:noProof/>
          <w:sz w:val="21"/>
          <w:szCs w:val="21"/>
        </w:rPr>
      </w:pPr>
      <w:r>
        <w:rPr>
          <w:rFonts w:ascii="Times New Roman" w:hAnsi="Times New Roman" w:cs="Times New Roman"/>
          <w:noProof/>
          <w:sz w:val="21"/>
          <w:szCs w:val="21"/>
        </w:rPr>
        <w:t>DG GROW</w:t>
      </w:r>
      <w:r>
        <w:rPr>
          <w:rFonts w:ascii="Times New Roman" w:hAnsi="Times New Roman" w:cs="Times New Roman"/>
          <w:noProof/>
          <w:sz w:val="21"/>
          <w:szCs w:val="21"/>
        </w:rPr>
        <w:tab/>
        <w:t xml:space="preserve">Directorate-General for Internal Market, Industry, Entrepreneurship and </w:t>
      </w:r>
      <w:r>
        <w:rPr>
          <w:rFonts w:ascii="Times New Roman" w:hAnsi="Times New Roman" w:cs="Times New Roman"/>
          <w:noProof/>
          <w:sz w:val="21"/>
          <w:szCs w:val="21"/>
        </w:rPr>
        <w:t>SMEs</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DG NEAR</w:t>
      </w:r>
      <w:r>
        <w:rPr>
          <w:rFonts w:ascii="Times New Roman" w:hAnsi="Times New Roman" w:cs="Times New Roman"/>
          <w:noProof/>
          <w:sz w:val="21"/>
          <w:szCs w:val="21"/>
        </w:rPr>
        <w:tab/>
      </w:r>
      <w:r>
        <w:rPr>
          <w:rFonts w:ascii="Times New Roman" w:hAnsi="Times New Roman" w:cs="Times New Roman"/>
          <w:noProof/>
          <w:sz w:val="21"/>
          <w:szCs w:val="21"/>
        </w:rPr>
        <w:tab/>
        <w:t>Directorate-General for Neighbourhood and Enlargement Negotiations</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DG RTD</w:t>
      </w:r>
      <w:r>
        <w:rPr>
          <w:rFonts w:ascii="Times New Roman" w:hAnsi="Times New Roman" w:cs="Times New Roman"/>
          <w:noProof/>
          <w:sz w:val="21"/>
          <w:szCs w:val="21"/>
        </w:rPr>
        <w:tab/>
      </w:r>
      <w:r>
        <w:rPr>
          <w:rFonts w:ascii="Times New Roman" w:hAnsi="Times New Roman" w:cs="Times New Roman"/>
          <w:noProof/>
          <w:sz w:val="21"/>
          <w:szCs w:val="21"/>
        </w:rPr>
        <w:tab/>
        <w:t>Directorate-General for Research and Innovation</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DG SANTE</w:t>
      </w:r>
      <w:r>
        <w:rPr>
          <w:rFonts w:ascii="Times New Roman" w:hAnsi="Times New Roman" w:cs="Times New Roman"/>
          <w:noProof/>
          <w:sz w:val="21"/>
          <w:szCs w:val="21"/>
        </w:rPr>
        <w:tab/>
      </w:r>
      <w:r>
        <w:rPr>
          <w:rFonts w:ascii="Times New Roman" w:hAnsi="Times New Roman" w:cs="Times New Roman"/>
          <w:noProof/>
          <w:sz w:val="21"/>
          <w:szCs w:val="21"/>
        </w:rPr>
        <w:tab/>
        <w:t>Directorate-General for Health and Food Safety</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EASO</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Asylum Support Office</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Commission</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ECA</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Court of Auditors</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ECDC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Centre for Disease Prevention and Control</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EEA</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Economic Area</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EEAS</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External Action Service</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EERC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Emergency Response Capacity</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EFAS</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Flood Alert System</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EFFIS</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w:t>
      </w:r>
      <w:r>
        <w:rPr>
          <w:rFonts w:ascii="Times New Roman" w:hAnsi="Times New Roman" w:cs="Times New Roman"/>
          <w:noProof/>
          <w:sz w:val="21"/>
          <w:szCs w:val="21"/>
        </w:rPr>
        <w:t xml:space="preserve"> Forest Fires Information System</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EFTA</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 xml:space="preserve">European Free Trade Association </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EMC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Medical Corps</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EMS</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Emergency Management System</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EMSA</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Maritime Safety Agency</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ENI</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Neighbourhood Instrument</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ENP</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 xml:space="preserve">European Neighbourhood Policy </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ERCC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European Response Coordination Centre</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Evaluation</w:t>
      </w:r>
      <w:r>
        <w:rPr>
          <w:rFonts w:ascii="Times New Roman" w:hAnsi="Times New Roman" w:cs="Times New Roman"/>
          <w:noProof/>
          <w:sz w:val="21"/>
          <w:szCs w:val="21"/>
        </w:rPr>
        <w:tab/>
      </w:r>
      <w:r>
        <w:rPr>
          <w:rFonts w:ascii="Times New Roman" w:hAnsi="Times New Roman" w:cs="Times New Roman"/>
          <w:noProof/>
          <w:sz w:val="21"/>
          <w:szCs w:val="21"/>
        </w:rPr>
        <w:tab/>
        <w:t>Interim evaluation</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IFRC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International Federation of Red Cross and Red Crescent Societies</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IOM</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International Organization for Migration</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IPCR</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Integrated Political Crisis Response</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ISAA</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 xml:space="preserve">Integrated </w:t>
      </w:r>
      <w:r>
        <w:rPr>
          <w:rFonts w:ascii="Times New Roman" w:hAnsi="Times New Roman" w:cs="Times New Roman"/>
          <w:noProof/>
          <w:sz w:val="21"/>
          <w:szCs w:val="21"/>
        </w:rPr>
        <w:t>situational awareness and analysis</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ISG</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Inter-service Steering Group</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JRC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Joint Research Centre</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Mechanism</w:t>
      </w:r>
      <w:r>
        <w:rPr>
          <w:rFonts w:ascii="Times New Roman" w:hAnsi="Times New Roman" w:cs="Times New Roman"/>
          <w:noProof/>
          <w:sz w:val="21"/>
          <w:szCs w:val="21"/>
        </w:rPr>
        <w:tab/>
      </w:r>
      <w:r>
        <w:rPr>
          <w:rFonts w:ascii="Times New Roman" w:hAnsi="Times New Roman" w:cs="Times New Roman"/>
          <w:noProof/>
          <w:sz w:val="21"/>
          <w:szCs w:val="21"/>
        </w:rPr>
        <w:tab/>
        <w:t>Union Civil Protection Mechanism</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MIC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Monitoring and information centre</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ModEx</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Module exercise</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OECD</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Organisation for Economic Cooperation and D</w:t>
      </w:r>
      <w:r>
        <w:rPr>
          <w:rFonts w:ascii="Times New Roman" w:hAnsi="Times New Roman" w:cs="Times New Roman"/>
          <w:noProof/>
          <w:sz w:val="21"/>
          <w:szCs w:val="21"/>
        </w:rPr>
        <w:t>evelopment</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OPC</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Open Public Consultation</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OPCW</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Organisation for the Prohibition of Chemical Weapons</w:t>
      </w:r>
    </w:p>
    <w:p w:rsidR="00500553" w:rsidRDefault="00D978F2">
      <w:pPr>
        <w:pStyle w:val="NoSpacing"/>
        <w:spacing w:line="276" w:lineRule="auto"/>
        <w:ind w:left="2160" w:hanging="2160"/>
        <w:rPr>
          <w:rFonts w:ascii="Times New Roman" w:hAnsi="Times New Roman" w:cs="Times New Roman"/>
          <w:noProof/>
          <w:sz w:val="21"/>
          <w:szCs w:val="21"/>
        </w:rPr>
      </w:pPr>
      <w:r>
        <w:rPr>
          <w:rFonts w:ascii="Times New Roman" w:hAnsi="Times New Roman" w:cs="Times New Roman"/>
          <w:noProof/>
          <w:sz w:val="21"/>
          <w:szCs w:val="21"/>
        </w:rPr>
        <w:t>PPRD</w:t>
      </w:r>
      <w:r>
        <w:rPr>
          <w:rFonts w:ascii="Times New Roman" w:hAnsi="Times New Roman" w:cs="Times New Roman"/>
          <w:noProof/>
          <w:sz w:val="21"/>
          <w:szCs w:val="21"/>
        </w:rPr>
        <w:tab/>
        <w:t>Prevention, Preparedness and Response to Natural and Man-made Disasters</w:t>
      </w:r>
    </w:p>
    <w:p w:rsidR="00500553" w:rsidRDefault="00D978F2">
      <w:pPr>
        <w:pStyle w:val="NoSpacing"/>
        <w:spacing w:line="276" w:lineRule="auto"/>
        <w:ind w:left="2160" w:hanging="2160"/>
        <w:rPr>
          <w:rFonts w:ascii="Times New Roman" w:hAnsi="Times New Roman" w:cs="Times New Roman"/>
          <w:noProof/>
          <w:sz w:val="21"/>
          <w:szCs w:val="21"/>
        </w:rPr>
      </w:pPr>
      <w:r>
        <w:rPr>
          <w:rFonts w:ascii="Times New Roman" w:hAnsi="Times New Roman" w:cs="Times New Roman"/>
          <w:noProof/>
          <w:sz w:val="21"/>
          <w:szCs w:val="21"/>
        </w:rPr>
        <w:t>ToR</w:t>
      </w:r>
      <w:r>
        <w:rPr>
          <w:rFonts w:ascii="Times New Roman" w:hAnsi="Times New Roman" w:cs="Times New Roman"/>
          <w:noProof/>
          <w:sz w:val="21"/>
          <w:szCs w:val="21"/>
        </w:rPr>
        <w:tab/>
        <w:t>Terms of Reference</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SWD</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Commission Staff Working Document</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UCPM</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Union C</w:t>
      </w:r>
      <w:r>
        <w:rPr>
          <w:rFonts w:ascii="Times New Roman" w:hAnsi="Times New Roman" w:cs="Times New Roman"/>
          <w:noProof/>
          <w:sz w:val="21"/>
          <w:szCs w:val="21"/>
        </w:rPr>
        <w:t>ivil Protection Mechanism</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UN</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z w:val="21"/>
          <w:szCs w:val="21"/>
        </w:rPr>
        <w:tab/>
        <w:t>United Nations</w:t>
      </w:r>
    </w:p>
    <w:p w:rsidR="00500553" w:rsidRDefault="00D978F2">
      <w:pPr>
        <w:pStyle w:val="NoSpacing"/>
        <w:spacing w:line="276" w:lineRule="auto"/>
        <w:rPr>
          <w:rFonts w:ascii="Times New Roman" w:hAnsi="Times New Roman" w:cs="Times New Roman"/>
          <w:noProof/>
          <w:sz w:val="21"/>
          <w:szCs w:val="21"/>
        </w:rPr>
      </w:pPr>
      <w:r>
        <w:rPr>
          <w:rFonts w:ascii="Times New Roman" w:hAnsi="Times New Roman" w:cs="Times New Roman"/>
          <w:noProof/>
          <w:sz w:val="21"/>
          <w:szCs w:val="21"/>
        </w:rPr>
        <w:t>Union Mechanism</w:t>
      </w:r>
      <w:r>
        <w:rPr>
          <w:rFonts w:ascii="Times New Roman" w:hAnsi="Times New Roman" w:cs="Times New Roman"/>
          <w:noProof/>
          <w:sz w:val="21"/>
          <w:szCs w:val="21"/>
        </w:rPr>
        <w:tab/>
        <w:t>Union Civil Protection Mechanism</w:t>
      </w:r>
    </w:p>
    <w:p w:rsidR="00500553" w:rsidRDefault="00D978F2">
      <w:pPr>
        <w:pStyle w:val="NoSpacing"/>
        <w:spacing w:line="276" w:lineRule="auto"/>
        <w:rPr>
          <w:rFonts w:ascii="Times New Roman" w:hAnsi="Times New Roman" w:cs="Times New Roman"/>
          <w:noProof/>
          <w:snapToGrid w:val="0"/>
          <w:color w:val="000000"/>
          <w:sz w:val="21"/>
          <w:szCs w:val="21"/>
          <w:shd w:val="clear" w:color="auto" w:fill="FFFFFF"/>
        </w:rPr>
        <w:sectPr w:rsidR="00500553">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pPr>
      <w:r>
        <w:rPr>
          <w:rFonts w:ascii="Times New Roman" w:hAnsi="Times New Roman" w:cs="Times New Roman"/>
          <w:noProof/>
          <w:sz w:val="21"/>
          <w:szCs w:val="21"/>
        </w:rPr>
        <w:t>UNISDR</w:t>
      </w:r>
      <w:r>
        <w:rPr>
          <w:rFonts w:ascii="Times New Roman" w:hAnsi="Times New Roman" w:cs="Times New Roman"/>
          <w:noProof/>
          <w:sz w:val="21"/>
          <w:szCs w:val="21"/>
        </w:rPr>
        <w:tab/>
      </w:r>
      <w:r>
        <w:rPr>
          <w:rFonts w:ascii="Times New Roman" w:hAnsi="Times New Roman" w:cs="Times New Roman"/>
          <w:noProof/>
          <w:sz w:val="21"/>
          <w:szCs w:val="21"/>
        </w:rPr>
        <w:tab/>
      </w:r>
      <w:r>
        <w:rPr>
          <w:rFonts w:ascii="Times New Roman" w:hAnsi="Times New Roman" w:cs="Times New Roman"/>
          <w:noProof/>
          <w:snapToGrid w:val="0"/>
          <w:color w:val="000000"/>
          <w:sz w:val="21"/>
          <w:szCs w:val="21"/>
          <w:shd w:val="clear" w:color="auto" w:fill="FFFFFF"/>
        </w:rPr>
        <w:t>United Nations Office for Disaster Risk Reduction</w:t>
      </w:r>
    </w:p>
    <w:p w:rsidR="00500553" w:rsidRDefault="00D978F2">
      <w:pPr>
        <w:pStyle w:val="Heading1"/>
        <w:spacing w:line="276" w:lineRule="auto"/>
        <w:rPr>
          <w:rFonts w:ascii="Times New Roman" w:hAnsi="Times New Roman" w:cs="Times New Roman"/>
          <w:b w:val="0"/>
          <w:noProof/>
          <w:szCs w:val="24"/>
        </w:rPr>
      </w:pPr>
      <w:bookmarkStart w:id="4" w:name="_Toc485914847"/>
      <w:bookmarkStart w:id="5" w:name="_Toc485915473"/>
      <w:bookmarkStart w:id="6" w:name="_Toc489347857"/>
      <w:bookmarkStart w:id="7" w:name="_Toc489427630"/>
      <w:r>
        <w:rPr>
          <w:rFonts w:ascii="Times New Roman" w:hAnsi="Times New Roman" w:cs="Times New Roman"/>
          <w:noProof/>
          <w:szCs w:val="24"/>
        </w:rPr>
        <w:t>INTRODUCTION</w:t>
      </w:r>
      <w:bookmarkEnd w:id="4"/>
      <w:bookmarkEnd w:id="5"/>
      <w:bookmarkEnd w:id="6"/>
      <w:bookmarkEnd w:id="7"/>
    </w:p>
    <w:p w:rsidR="00500553" w:rsidRDefault="00D978F2">
      <w:pPr>
        <w:pStyle w:val="Heading2"/>
        <w:spacing w:line="276" w:lineRule="auto"/>
        <w:rPr>
          <w:rFonts w:ascii="Times New Roman" w:hAnsi="Times New Roman" w:cs="Times New Roman"/>
          <w:b w:val="0"/>
          <w:noProof/>
          <w:sz w:val="24"/>
          <w:szCs w:val="24"/>
        </w:rPr>
      </w:pPr>
      <w:bookmarkStart w:id="8" w:name="_Toc485914848"/>
      <w:bookmarkStart w:id="9" w:name="_Toc485915474"/>
      <w:bookmarkStart w:id="10" w:name="_Toc489347858"/>
      <w:bookmarkStart w:id="11" w:name="_Toc489427631"/>
      <w:r>
        <w:rPr>
          <w:rFonts w:ascii="Times New Roman" w:hAnsi="Times New Roman" w:cs="Times New Roman"/>
          <w:noProof/>
          <w:sz w:val="24"/>
          <w:szCs w:val="24"/>
        </w:rPr>
        <w:t>Purpose of the evaluation</w:t>
      </w:r>
      <w:bookmarkEnd w:id="8"/>
      <w:bookmarkEnd w:id="9"/>
      <w:bookmarkEnd w:id="10"/>
      <w:bookmarkEnd w:id="11"/>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This Staff </w:t>
      </w:r>
      <w:r>
        <w:rPr>
          <w:rFonts w:ascii="Times New Roman" w:hAnsi="Times New Roman" w:cs="Times New Roman"/>
          <w:noProof/>
          <w:sz w:val="24"/>
          <w:szCs w:val="24"/>
        </w:rPr>
        <w:t>Working Document presents the results of the interim evaluation (hereafter the 'Evaluation') of the implementation of Decision No. 1313/2013/EU of the European Parliament and the Council of 17 December 2013</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(hereafter the 'Decision') on a Union Civil Prot</w:t>
      </w:r>
      <w:r>
        <w:rPr>
          <w:rFonts w:ascii="Times New Roman" w:hAnsi="Times New Roman" w:cs="Times New Roman"/>
          <w:noProof/>
          <w:sz w:val="24"/>
          <w:szCs w:val="24"/>
        </w:rPr>
        <w:t>ection Mechanism (hereafter 'the Union Mechanism' or 'UCPM'). The purpose of the Evaluation is to:</w:t>
      </w:r>
    </w:p>
    <w:p w:rsidR="00500553" w:rsidRDefault="00D978F2">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1) assess the performance of the Union Mechanism in order to determine progress towards the general and specific objectives set out in Article 1 and 3(1) of </w:t>
      </w:r>
      <w:r>
        <w:rPr>
          <w:rFonts w:ascii="Times New Roman" w:hAnsi="Times New Roman" w:cs="Times New Roman"/>
          <w:noProof/>
          <w:sz w:val="24"/>
          <w:szCs w:val="24"/>
        </w:rPr>
        <w:t>the Decision during the first half of its implementation period (i.e. 2014-2016);</w:t>
      </w:r>
    </w:p>
    <w:p w:rsidR="00500553" w:rsidRDefault="00D978F2">
      <w:pPr>
        <w:ind w:left="284"/>
        <w:jc w:val="both"/>
        <w:rPr>
          <w:rFonts w:ascii="Times New Roman" w:hAnsi="Times New Roman" w:cs="Times New Roman"/>
          <w:noProof/>
          <w:sz w:val="24"/>
          <w:szCs w:val="24"/>
        </w:rPr>
      </w:pPr>
      <w:r>
        <w:rPr>
          <w:rFonts w:ascii="Times New Roman" w:hAnsi="Times New Roman" w:cs="Times New Roman"/>
          <w:noProof/>
          <w:sz w:val="24"/>
          <w:szCs w:val="24"/>
        </w:rPr>
        <w:t>2) identify any gaps or shortcomings in the current legislative framework</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rsidR="00500553" w:rsidRDefault="00D978F2">
      <w:pPr>
        <w:ind w:left="284"/>
        <w:jc w:val="both"/>
        <w:rPr>
          <w:rFonts w:ascii="Times New Roman" w:hAnsi="Times New Roman" w:cs="Times New Roman"/>
          <w:noProof/>
          <w:sz w:val="24"/>
          <w:szCs w:val="24"/>
        </w:rPr>
      </w:pPr>
      <w:r>
        <w:rPr>
          <w:rFonts w:ascii="Times New Roman" w:hAnsi="Times New Roman" w:cs="Times New Roman"/>
          <w:noProof/>
          <w:sz w:val="24"/>
          <w:szCs w:val="24"/>
        </w:rPr>
        <w:t>3) put forward recommendations to increase the Mechanism's effectiveness and improve the implement</w:t>
      </w:r>
      <w:r>
        <w:rPr>
          <w:rFonts w:ascii="Times New Roman" w:hAnsi="Times New Roman" w:cs="Times New Roman"/>
          <w:noProof/>
          <w:sz w:val="24"/>
          <w:szCs w:val="24"/>
        </w:rPr>
        <w:t>ation of the existing framework;</w:t>
      </w:r>
    </w:p>
    <w:p w:rsidR="00500553" w:rsidRDefault="00D978F2">
      <w:pPr>
        <w:ind w:left="284"/>
        <w:jc w:val="both"/>
        <w:rPr>
          <w:rFonts w:ascii="Times New Roman" w:hAnsi="Times New Roman" w:cs="Times New Roman"/>
          <w:noProof/>
          <w:sz w:val="24"/>
          <w:szCs w:val="24"/>
        </w:rPr>
      </w:pPr>
      <w:r>
        <w:rPr>
          <w:rFonts w:ascii="Times New Roman" w:hAnsi="Times New Roman" w:cs="Times New Roman"/>
          <w:noProof/>
          <w:sz w:val="24"/>
          <w:szCs w:val="24"/>
        </w:rPr>
        <w:t>4) provide input for possible proposals to amend the Decision or implementing acts adopted thereof;</w:t>
      </w:r>
    </w:p>
    <w:p w:rsidR="00500553" w:rsidRDefault="00D978F2">
      <w:pPr>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5) if appropriate, inform the review of the financial breakdown of the Union Mechanism as set out in Article 19(5) of the </w:t>
      </w:r>
      <w:r>
        <w:rPr>
          <w:rFonts w:ascii="Times New Roman" w:hAnsi="Times New Roman" w:cs="Times New Roman"/>
          <w:noProof/>
          <w:sz w:val="24"/>
          <w:szCs w:val="24"/>
        </w:rPr>
        <w:t>Decision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Furthermore, in accordance with point (a) of Article 34(2) of the Decision, the Commission is required to report to the European Parliament and the Council on the results obtained and the qualitative and quantitative aspects of the implementatio</w:t>
      </w:r>
      <w:r>
        <w:rPr>
          <w:rFonts w:ascii="Times New Roman" w:hAnsi="Times New Roman" w:cs="Times New Roman"/>
          <w:noProof/>
          <w:sz w:val="24"/>
          <w:szCs w:val="24"/>
        </w:rPr>
        <w:t>n of the Decision by no later than 30 June 2017, and to put forward, if appropriate, proposals for amendments to this Decision.</w:t>
      </w:r>
    </w:p>
    <w:p w:rsidR="00500553" w:rsidRDefault="00D978F2">
      <w:pPr>
        <w:spacing w:after="240"/>
        <w:jc w:val="both"/>
        <w:rPr>
          <w:rFonts w:ascii="Times New Roman" w:hAnsi="Times New Roman" w:cs="Times New Roman"/>
          <w:noProof/>
          <w:sz w:val="24"/>
          <w:szCs w:val="24"/>
        </w:rPr>
      </w:pPr>
      <w:r>
        <w:rPr>
          <w:rFonts w:ascii="Times New Roman" w:hAnsi="Times New Roman" w:cs="Times New Roman"/>
          <w:noProof/>
          <w:sz w:val="24"/>
          <w:szCs w:val="24"/>
        </w:rPr>
        <w:t>To this end, the Directorate-General for European Civil Protection and Humanitarian Aid Operations (DG ECHO) contracted an exter</w:t>
      </w:r>
      <w:r>
        <w:rPr>
          <w:rFonts w:ascii="Times New Roman" w:hAnsi="Times New Roman" w:cs="Times New Roman"/>
          <w:noProof/>
          <w:sz w:val="24"/>
          <w:szCs w:val="24"/>
        </w:rPr>
        <w:t>nal consultant to carry out an independent evaluation of the activities implemented under the Union Mechanism</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r>
        <w:rPr>
          <w:rFonts w:ascii="Times New Roman" w:hAnsi="Times New Roman" w:cs="Times New Roman"/>
          <w:iCs/>
          <w:noProof/>
          <w:sz w:val="24"/>
          <w:szCs w:val="24"/>
        </w:rPr>
        <w:t xml:space="preserve">As the reflections on the future of the Union Mechanism under the next Multi-annual Financial Framework (2020-2027) are starting, findings from </w:t>
      </w:r>
      <w:r>
        <w:rPr>
          <w:rFonts w:ascii="Times New Roman" w:hAnsi="Times New Roman" w:cs="Times New Roman"/>
          <w:iCs/>
          <w:noProof/>
          <w:sz w:val="24"/>
          <w:szCs w:val="24"/>
        </w:rPr>
        <w:t xml:space="preserve">the Evaluation could usefully </w:t>
      </w:r>
      <w:r>
        <w:rPr>
          <w:rFonts w:ascii="Times New Roman" w:hAnsi="Times New Roman" w:cs="Times New Roman"/>
          <w:noProof/>
          <w:sz w:val="24"/>
          <w:szCs w:val="24"/>
        </w:rPr>
        <w:t>contribute to developing a future impact assessment, as recommended by the EU Better Regulation Agenda</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rsidR="00500553" w:rsidRDefault="00D978F2">
      <w:pPr>
        <w:pStyle w:val="Heading2"/>
        <w:spacing w:line="276" w:lineRule="auto"/>
        <w:jc w:val="both"/>
        <w:rPr>
          <w:rFonts w:ascii="Times New Roman" w:hAnsi="Times New Roman" w:cs="Times New Roman"/>
          <w:b w:val="0"/>
          <w:noProof/>
          <w:sz w:val="24"/>
          <w:szCs w:val="24"/>
        </w:rPr>
      </w:pPr>
      <w:bookmarkStart w:id="12" w:name="_Toc485914849"/>
      <w:bookmarkStart w:id="13" w:name="_Toc485915475"/>
      <w:bookmarkStart w:id="14" w:name="_Toc489347859"/>
      <w:bookmarkStart w:id="15" w:name="_Toc489427632"/>
      <w:r>
        <w:rPr>
          <w:rFonts w:ascii="Times New Roman" w:hAnsi="Times New Roman" w:cs="Times New Roman"/>
          <w:noProof/>
          <w:sz w:val="24"/>
          <w:szCs w:val="24"/>
        </w:rPr>
        <w:t>Scope of the evaluation</w:t>
      </w:r>
      <w:bookmarkEnd w:id="12"/>
      <w:bookmarkEnd w:id="13"/>
      <w:bookmarkEnd w:id="14"/>
      <w:bookmarkEnd w:id="15"/>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As set out in the Interim Evaluation Roadmap</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Evaluation covers all activities carried out u</w:t>
      </w:r>
      <w:r>
        <w:rPr>
          <w:rFonts w:ascii="Times New Roman" w:hAnsi="Times New Roman" w:cs="Times New Roman"/>
          <w:noProof/>
          <w:sz w:val="24"/>
          <w:szCs w:val="24"/>
        </w:rPr>
        <w:t xml:space="preserve">nder the Union Mechanism in the timeframe spanning from January 2014 to December 2016. </w:t>
      </w:r>
      <w:r>
        <w:rPr>
          <w:rFonts w:ascii="Times New Roman" w:hAnsi="Times New Roman" w:cs="Times New Roman"/>
          <w:iCs/>
          <w:noProof/>
          <w:sz w:val="24"/>
          <w:szCs w:val="24"/>
        </w:rPr>
        <w:t>Actions targeting the UCPM Participating States</w:t>
      </w:r>
      <w:r>
        <w:rPr>
          <w:rStyle w:val="FootnoteReference"/>
          <w:rFonts w:ascii="Times New Roman" w:hAnsi="Times New Roman" w:cs="Times New Roman"/>
          <w:iCs/>
          <w:noProof/>
          <w:sz w:val="24"/>
          <w:szCs w:val="24"/>
        </w:rPr>
        <w:footnoteReference w:id="8"/>
      </w:r>
      <w:r>
        <w:rPr>
          <w:rFonts w:ascii="Times New Roman" w:hAnsi="Times New Roman" w:cs="Times New Roman"/>
          <w:iCs/>
          <w:noProof/>
          <w:sz w:val="24"/>
          <w:szCs w:val="24"/>
        </w:rPr>
        <w:t xml:space="preserve">, as well as those performed in relation to third countries, </w:t>
      </w:r>
      <w:r>
        <w:rPr>
          <w:rFonts w:ascii="Times New Roman" w:hAnsi="Times New Roman" w:cs="Times New Roman"/>
          <w:noProof/>
          <w:sz w:val="24"/>
          <w:szCs w:val="24"/>
        </w:rPr>
        <w:t>including in accordance with Article 28(2)</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have been cover</w:t>
      </w:r>
      <w:r>
        <w:rPr>
          <w:rFonts w:ascii="Times New Roman" w:hAnsi="Times New Roman" w:cs="Times New Roman"/>
          <w:noProof/>
          <w:sz w:val="24"/>
          <w:szCs w:val="24"/>
        </w:rPr>
        <w:t>ed by the Evaluation.</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3 of the Decision spells out four specific objectives against which the Union Mechanism should be evaluated and their respective results indicators. These indicators encompass the spectrum of activities of the Union Mechanism </w:t>
      </w:r>
      <w:r>
        <w:rPr>
          <w:rFonts w:ascii="Times New Roman" w:hAnsi="Times New Roman" w:cs="Times New Roman"/>
          <w:noProof/>
          <w:sz w:val="24"/>
          <w:szCs w:val="24"/>
        </w:rPr>
        <w:t>across the fields of: (i) disaster prevention, (ii) preparedness, (iii) and response to natural and man-made disasters. In addition, cross-cutting activities relating to prevention, preparedness and response are included in the scope of the Evaluation.</w:t>
      </w:r>
    </w:p>
    <w:p w:rsidR="00500553" w:rsidRDefault="00D978F2">
      <w:pPr>
        <w:spacing w:before="60" w:after="60"/>
        <w:jc w:val="both"/>
        <w:rPr>
          <w:rFonts w:ascii="Times New Roman" w:hAnsi="Times New Roman" w:cs="Times New Roman"/>
          <w:noProof/>
          <w:sz w:val="24"/>
          <w:szCs w:val="24"/>
        </w:rPr>
      </w:pPr>
      <w:r>
        <w:rPr>
          <w:rFonts w:ascii="Times New Roman" w:hAnsi="Times New Roman" w:cs="Times New Roman"/>
          <w:iCs/>
          <w:noProof/>
          <w:sz w:val="24"/>
          <w:szCs w:val="24"/>
        </w:rPr>
        <w:t>The</w:t>
      </w:r>
      <w:r>
        <w:rPr>
          <w:rFonts w:ascii="Times New Roman" w:hAnsi="Times New Roman" w:cs="Times New Roman"/>
          <w:iCs/>
          <w:noProof/>
          <w:sz w:val="24"/>
          <w:szCs w:val="24"/>
        </w:rPr>
        <w:t xml:space="preserve"> Evaluation has addressed the five mandatory criteria set out in the European Commission's (“the Commission”) Better Regulations Guidelines: (i) Relevance; (ii) Effectiveness; (iii) Efficiency; (iv) Coherence; and (v) EU added value. In addition, one addit</w:t>
      </w:r>
      <w:r>
        <w:rPr>
          <w:rFonts w:ascii="Times New Roman" w:hAnsi="Times New Roman" w:cs="Times New Roman"/>
          <w:iCs/>
          <w:noProof/>
          <w:sz w:val="24"/>
          <w:szCs w:val="24"/>
        </w:rPr>
        <w:t>ional criteria, (vi) Sustainability, has been added to the scope of this evaluation.</w:t>
      </w:r>
    </w:p>
    <w:p w:rsidR="00500553" w:rsidRDefault="00500553">
      <w:pPr>
        <w:spacing w:before="60" w:after="60"/>
        <w:jc w:val="both"/>
        <w:rPr>
          <w:rFonts w:ascii="Times New Roman" w:hAnsi="Times New Roman" w:cs="Times New Roman"/>
          <w:noProof/>
          <w:sz w:val="24"/>
          <w:szCs w:val="24"/>
        </w:rPr>
      </w:pPr>
    </w:p>
    <w:p w:rsidR="00500553" w:rsidRDefault="00D978F2">
      <w:pPr>
        <w:pStyle w:val="Heading1"/>
        <w:spacing w:line="276" w:lineRule="auto"/>
        <w:jc w:val="both"/>
        <w:rPr>
          <w:rFonts w:ascii="Times New Roman" w:hAnsi="Times New Roman" w:cs="Times New Roman"/>
          <w:b w:val="0"/>
          <w:noProof/>
          <w:szCs w:val="24"/>
        </w:rPr>
      </w:pPr>
      <w:bookmarkStart w:id="16" w:name="_Toc485914850"/>
      <w:bookmarkStart w:id="17" w:name="_Toc485915476"/>
      <w:bookmarkStart w:id="18" w:name="_Toc489347860"/>
      <w:bookmarkStart w:id="19" w:name="_Toc489427633"/>
      <w:r>
        <w:rPr>
          <w:rFonts w:ascii="Times New Roman" w:hAnsi="Times New Roman" w:cs="Times New Roman"/>
          <w:noProof/>
          <w:szCs w:val="24"/>
        </w:rPr>
        <w:t>BACKGROUND TO THE INITIATIVE</w:t>
      </w:r>
      <w:bookmarkEnd w:id="16"/>
      <w:bookmarkEnd w:id="17"/>
      <w:bookmarkEnd w:id="18"/>
      <w:bookmarkEnd w:id="19"/>
    </w:p>
    <w:p w:rsidR="00500553" w:rsidRDefault="00D978F2">
      <w:pPr>
        <w:pStyle w:val="Heading2"/>
        <w:spacing w:line="276" w:lineRule="auto"/>
        <w:jc w:val="both"/>
        <w:rPr>
          <w:rFonts w:ascii="Times New Roman" w:hAnsi="Times New Roman" w:cs="Times New Roman"/>
          <w:b w:val="0"/>
          <w:noProof/>
          <w:sz w:val="24"/>
          <w:szCs w:val="24"/>
        </w:rPr>
      </w:pPr>
      <w:bookmarkStart w:id="20" w:name="_Toc485914851"/>
      <w:bookmarkStart w:id="21" w:name="_Toc485915477"/>
      <w:bookmarkStart w:id="22" w:name="_Toc489347861"/>
      <w:bookmarkStart w:id="23" w:name="_Toc489427634"/>
      <w:r>
        <w:rPr>
          <w:rFonts w:ascii="Times New Roman" w:hAnsi="Times New Roman" w:cs="Times New Roman"/>
          <w:noProof/>
          <w:sz w:val="24"/>
          <w:szCs w:val="24"/>
        </w:rPr>
        <w:t>Baseline</w:t>
      </w:r>
      <w:bookmarkEnd w:id="20"/>
      <w:bookmarkEnd w:id="21"/>
      <w:bookmarkEnd w:id="22"/>
      <w:bookmarkEnd w:id="23"/>
    </w:p>
    <w:p w:rsidR="00500553" w:rsidRDefault="00D978F2">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Prior to the entry into force of the Lisbon Treaty in 2009, EU civil protection actions and legislation were based on the catch-all </w:t>
      </w:r>
      <w:r>
        <w:rPr>
          <w:rFonts w:ascii="Times New Roman" w:hAnsi="Times New Roman" w:cs="Times New Roman"/>
          <w:noProof/>
          <w:sz w:val="24"/>
          <w:szCs w:val="24"/>
        </w:rPr>
        <w:t>provision of Article 308 of the EC Treaty, authorising the Council of the European Union (“the Council”) to act (by unanimity) where necessary in order to attain a Treaty objective in areas where there the EC Treaty provided no other legal basis. In line w</w:t>
      </w:r>
      <w:r>
        <w:rPr>
          <w:rFonts w:ascii="Times New Roman" w:hAnsi="Times New Roman" w:cs="Times New Roman"/>
          <w:noProof/>
          <w:sz w:val="24"/>
          <w:szCs w:val="24"/>
        </w:rPr>
        <w:t>ith the need to ensure better protection in disasters occurring both inside and outside the EU, the Union Mechanism was established in 2001 by the Council</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and subsequently recast in 2007</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rsidR="00500553" w:rsidRDefault="00500553">
      <w:pPr>
        <w:pStyle w:val="NoSpacing"/>
        <w:spacing w:line="276" w:lineRule="auto"/>
        <w:jc w:val="both"/>
        <w:rPr>
          <w:rFonts w:ascii="Times New Roman" w:hAnsi="Times New Roman" w:cs="Times New Roman"/>
          <w:noProof/>
          <w:sz w:val="24"/>
          <w:szCs w:val="24"/>
        </w:rPr>
      </w:pP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With the advent of the Treaty of Lisbon in 2009, civil protection</w:t>
      </w:r>
      <w:r>
        <w:rPr>
          <w:rFonts w:ascii="Times New Roman" w:hAnsi="Times New Roman" w:cs="Times New Roman"/>
          <w:noProof/>
          <w:sz w:val="24"/>
          <w:szCs w:val="24"/>
        </w:rPr>
        <w:t xml:space="preserve"> became a self-standing policy with its own legal basis provided by Article 196 of the Treaty on the Functioning of the EU, with the aim to:</w:t>
      </w:r>
    </w:p>
    <w:p w:rsidR="00500553" w:rsidRDefault="00D978F2">
      <w:pPr>
        <w:pStyle w:val="NoSpacing"/>
        <w:numPr>
          <w:ilvl w:val="0"/>
          <w:numId w:val="53"/>
        </w:numPr>
        <w:spacing w:line="276" w:lineRule="auto"/>
        <w:rPr>
          <w:rFonts w:ascii="Times New Roman" w:hAnsi="Times New Roman" w:cs="Times New Roman"/>
          <w:noProof/>
          <w:sz w:val="24"/>
          <w:szCs w:val="24"/>
        </w:rPr>
      </w:pPr>
      <w:r>
        <w:rPr>
          <w:rFonts w:ascii="Times New Roman" w:hAnsi="Times New Roman" w:cs="Times New Roman"/>
          <w:noProof/>
          <w:sz w:val="24"/>
          <w:szCs w:val="24"/>
        </w:rPr>
        <w:t>Support and complement Member States' action at national, regional and local level in risk prevention, in preparing</w:t>
      </w:r>
      <w:r>
        <w:rPr>
          <w:rFonts w:ascii="Times New Roman" w:hAnsi="Times New Roman" w:cs="Times New Roman"/>
          <w:noProof/>
          <w:sz w:val="24"/>
          <w:szCs w:val="24"/>
        </w:rPr>
        <w:t xml:space="preserve"> their civil-protection personnel and in responding to natural or man-made disasters within the Union;</w:t>
      </w:r>
    </w:p>
    <w:p w:rsidR="00500553" w:rsidRDefault="00D978F2">
      <w:pPr>
        <w:pStyle w:val="NoSpacing"/>
        <w:numPr>
          <w:ilvl w:val="0"/>
          <w:numId w:val="53"/>
        </w:numPr>
        <w:spacing w:line="276" w:lineRule="auto"/>
        <w:rPr>
          <w:rFonts w:ascii="Times New Roman" w:hAnsi="Times New Roman" w:cs="Times New Roman"/>
          <w:noProof/>
          <w:sz w:val="24"/>
          <w:szCs w:val="24"/>
        </w:rPr>
      </w:pPr>
      <w:r>
        <w:rPr>
          <w:rFonts w:ascii="Times New Roman" w:hAnsi="Times New Roman" w:cs="Times New Roman"/>
          <w:noProof/>
          <w:sz w:val="24"/>
          <w:szCs w:val="24"/>
        </w:rPr>
        <w:t>Promote swift, effective operational cooperation within the Union between national civil protection services;</w:t>
      </w:r>
    </w:p>
    <w:p w:rsidR="00500553" w:rsidRDefault="00D978F2">
      <w:pPr>
        <w:pStyle w:val="NoSpacing"/>
        <w:numPr>
          <w:ilvl w:val="0"/>
          <w:numId w:val="53"/>
        </w:numPr>
        <w:spacing w:line="276" w:lineRule="auto"/>
        <w:rPr>
          <w:rFonts w:ascii="Times New Roman" w:hAnsi="Times New Roman" w:cs="Times New Roman"/>
          <w:noProof/>
          <w:sz w:val="24"/>
          <w:szCs w:val="24"/>
        </w:rPr>
      </w:pPr>
      <w:r>
        <w:rPr>
          <w:rFonts w:ascii="Times New Roman" w:hAnsi="Times New Roman" w:cs="Times New Roman"/>
          <w:noProof/>
          <w:sz w:val="24"/>
          <w:szCs w:val="24"/>
        </w:rPr>
        <w:t xml:space="preserve">Promote consistency in international civil </w:t>
      </w:r>
      <w:r>
        <w:rPr>
          <w:rFonts w:ascii="Times New Roman" w:hAnsi="Times New Roman" w:cs="Times New Roman"/>
          <w:noProof/>
          <w:sz w:val="24"/>
          <w:szCs w:val="24"/>
        </w:rPr>
        <w:t>protection work.</w:t>
      </w:r>
    </w:p>
    <w:p w:rsidR="00500553" w:rsidRDefault="00500553">
      <w:pPr>
        <w:pStyle w:val="NoSpacing"/>
        <w:spacing w:line="276" w:lineRule="auto"/>
        <w:ind w:left="720"/>
        <w:rPr>
          <w:rFonts w:ascii="Times New Roman" w:hAnsi="Times New Roman" w:cs="Times New Roman"/>
          <w:noProof/>
          <w:sz w:val="24"/>
          <w:szCs w:val="24"/>
        </w:rPr>
      </w:pPr>
    </w:p>
    <w:p w:rsidR="00500553" w:rsidRDefault="00D978F2">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Several challenges needed to be addressed at the time. The Impact Assessment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of the civil protection regulatory framework carried out in the context of the preparation of the Decision had highlighted, among others, the following shortcomings.</w:t>
      </w:r>
    </w:p>
    <w:p w:rsidR="00500553" w:rsidRDefault="00500553">
      <w:pPr>
        <w:pStyle w:val="NoSpacing"/>
        <w:spacing w:line="276" w:lineRule="auto"/>
        <w:jc w:val="both"/>
        <w:rPr>
          <w:rFonts w:ascii="Times New Roman" w:hAnsi="Times New Roman" w:cs="Times New Roman"/>
          <w:noProof/>
          <w:sz w:val="24"/>
          <w:szCs w:val="24"/>
        </w:rPr>
      </w:pPr>
    </w:p>
    <w:p w:rsidR="00500553" w:rsidRDefault="00D978F2">
      <w:pPr>
        <w:pStyle w:val="NoSpacing"/>
        <w:numPr>
          <w:ilvl w:val="0"/>
          <w:numId w:val="54"/>
        </w:numPr>
        <w:spacing w:line="276" w:lineRule="auto"/>
        <w:jc w:val="both"/>
        <w:rPr>
          <w:rFonts w:ascii="Times New Roman" w:hAnsi="Times New Roman" w:cs="Times New Roman"/>
          <w:noProof/>
          <w:sz w:val="24"/>
          <w:szCs w:val="24"/>
        </w:rPr>
      </w:pPr>
      <w:r>
        <w:rPr>
          <w:rFonts w:ascii="Times New Roman" w:hAnsi="Times New Roman" w:cs="Times New Roman"/>
          <w:i/>
          <w:noProof/>
          <w:sz w:val="24"/>
          <w:szCs w:val="24"/>
        </w:rPr>
        <w:t>Prevention</w:t>
      </w:r>
      <w:r>
        <w:rPr>
          <w:rFonts w:ascii="Times New Roman" w:hAnsi="Times New Roman" w:cs="Times New Roman"/>
          <w:noProof/>
          <w:sz w:val="24"/>
          <w:szCs w:val="24"/>
        </w:rPr>
        <w:t>: Lack of coordination between sector specific prevention policies; under-deve</w:t>
      </w:r>
      <w:r>
        <w:rPr>
          <w:rFonts w:ascii="Times New Roman" w:hAnsi="Times New Roman" w:cs="Times New Roman"/>
          <w:noProof/>
          <w:sz w:val="24"/>
          <w:szCs w:val="24"/>
        </w:rPr>
        <w:t>loped organisation for the sharing of experience; insufficient links between prevention, preparedness and response; limited awareness, vision and strategic investments.</w:t>
      </w:r>
    </w:p>
    <w:p w:rsidR="00500553" w:rsidRDefault="00D978F2">
      <w:pPr>
        <w:pStyle w:val="NoSpacing"/>
        <w:numPr>
          <w:ilvl w:val="0"/>
          <w:numId w:val="54"/>
        </w:numPr>
        <w:spacing w:line="276" w:lineRule="auto"/>
        <w:jc w:val="both"/>
        <w:rPr>
          <w:rFonts w:ascii="Times New Roman" w:hAnsi="Times New Roman" w:cs="Times New Roman"/>
          <w:noProof/>
          <w:sz w:val="24"/>
          <w:szCs w:val="24"/>
        </w:rPr>
      </w:pPr>
      <w:r>
        <w:rPr>
          <w:rFonts w:ascii="Times New Roman" w:hAnsi="Times New Roman" w:cs="Times New Roman"/>
          <w:i/>
          <w:noProof/>
          <w:sz w:val="24"/>
          <w:szCs w:val="24"/>
        </w:rPr>
        <w:t>Preparedness</w:t>
      </w:r>
      <w:r>
        <w:rPr>
          <w:rFonts w:ascii="Times New Roman" w:hAnsi="Times New Roman" w:cs="Times New Roman"/>
          <w:noProof/>
          <w:sz w:val="24"/>
          <w:szCs w:val="24"/>
        </w:rPr>
        <w:t>: Lack of consistency among national training programmes hindering the shar</w:t>
      </w:r>
      <w:r>
        <w:rPr>
          <w:rFonts w:ascii="Times New Roman" w:hAnsi="Times New Roman" w:cs="Times New Roman"/>
          <w:noProof/>
          <w:sz w:val="24"/>
          <w:szCs w:val="24"/>
        </w:rPr>
        <w:t>ing of experience; limited scope of EU preparedness action and limited links with national programmes, leading to lower preparedness levels; uncertain level of preparedness for major emergencies.</w:t>
      </w:r>
    </w:p>
    <w:p w:rsidR="00500553" w:rsidRDefault="00D978F2">
      <w:pPr>
        <w:pStyle w:val="NoSpacing"/>
        <w:numPr>
          <w:ilvl w:val="0"/>
          <w:numId w:val="54"/>
        </w:numPr>
        <w:spacing w:line="276" w:lineRule="auto"/>
        <w:jc w:val="both"/>
        <w:rPr>
          <w:rFonts w:ascii="Times New Roman" w:hAnsi="Times New Roman" w:cs="Times New Roman"/>
          <w:noProof/>
          <w:sz w:val="24"/>
          <w:szCs w:val="24"/>
        </w:rPr>
      </w:pPr>
      <w:r>
        <w:rPr>
          <w:rFonts w:ascii="Times New Roman" w:hAnsi="Times New Roman" w:cs="Times New Roman"/>
          <w:i/>
          <w:noProof/>
          <w:sz w:val="24"/>
          <w:szCs w:val="24"/>
        </w:rPr>
        <w:t>Response</w:t>
      </w:r>
      <w:r>
        <w:rPr>
          <w:rFonts w:ascii="Times New Roman" w:hAnsi="Times New Roman" w:cs="Times New Roman"/>
          <w:noProof/>
          <w:sz w:val="24"/>
          <w:szCs w:val="24"/>
        </w:rPr>
        <w:t>: Reactive and ad-hoc mandate of the Mechanism limit</w:t>
      </w:r>
      <w:r>
        <w:rPr>
          <w:rFonts w:ascii="Times New Roman" w:hAnsi="Times New Roman" w:cs="Times New Roman"/>
          <w:noProof/>
          <w:sz w:val="24"/>
          <w:szCs w:val="24"/>
        </w:rPr>
        <w:t xml:space="preserve">ing the effectiveness, efficiency and coherence of the European disaster response; some needs not being met due to the lack of specific assets (capacity gap); limited financial and logistical transport solutions slowing down or hindering optimal response; </w:t>
      </w:r>
      <w:r>
        <w:rPr>
          <w:rFonts w:ascii="Times New Roman" w:hAnsi="Times New Roman" w:cs="Times New Roman"/>
          <w:noProof/>
          <w:sz w:val="24"/>
          <w:szCs w:val="24"/>
        </w:rPr>
        <w:t>burdensome administrative procedures jeopardising a swift and efficient response.</w:t>
      </w:r>
    </w:p>
    <w:p w:rsidR="00500553" w:rsidRDefault="00500553">
      <w:pPr>
        <w:pStyle w:val="NoSpacing"/>
        <w:spacing w:line="276" w:lineRule="auto"/>
        <w:jc w:val="both"/>
        <w:rPr>
          <w:rFonts w:ascii="Times New Roman" w:hAnsi="Times New Roman" w:cs="Times New Roman"/>
          <w:noProof/>
          <w:sz w:val="24"/>
          <w:szCs w:val="24"/>
        </w:rPr>
      </w:pPr>
    </w:p>
    <w:p w:rsidR="00500553" w:rsidRDefault="00D978F2">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a Commission proposal, the European Parliament and the Council repealed previous legislation and adopted Decision No 1313/2013/EU of the European Parliament and of </w:t>
      </w:r>
      <w:r>
        <w:rPr>
          <w:rFonts w:ascii="Times New Roman" w:hAnsi="Times New Roman" w:cs="Times New Roman"/>
          <w:noProof/>
          <w:sz w:val="24"/>
          <w:szCs w:val="24"/>
        </w:rPr>
        <w:t>the Council of 17 December 2013 on a "Union Civil Protection Mechanism". This Decision is currently in force and governs actions and activities in the field of civil protection.</w:t>
      </w:r>
    </w:p>
    <w:p w:rsidR="00500553" w:rsidRDefault="00500553">
      <w:pPr>
        <w:pStyle w:val="NoSpacing"/>
        <w:spacing w:line="276" w:lineRule="auto"/>
        <w:jc w:val="both"/>
        <w:rPr>
          <w:rFonts w:ascii="Times New Roman" w:hAnsi="Times New Roman" w:cs="Times New Roman"/>
          <w:noProof/>
          <w:sz w:val="24"/>
          <w:szCs w:val="24"/>
        </w:rPr>
      </w:pPr>
    </w:p>
    <w:p w:rsidR="00500553" w:rsidRDefault="00D978F2">
      <w:pPr>
        <w:pStyle w:val="Heading2"/>
        <w:spacing w:line="276" w:lineRule="auto"/>
        <w:rPr>
          <w:rFonts w:ascii="Times New Roman" w:hAnsi="Times New Roman" w:cs="Times New Roman"/>
          <w:b w:val="0"/>
          <w:noProof/>
          <w:sz w:val="24"/>
          <w:szCs w:val="24"/>
        </w:rPr>
      </w:pPr>
      <w:bookmarkStart w:id="24" w:name="_Toc485914852"/>
      <w:bookmarkStart w:id="25" w:name="_Toc485915478"/>
      <w:bookmarkStart w:id="26" w:name="_Toc489347862"/>
      <w:bookmarkStart w:id="27" w:name="_Toc489427635"/>
      <w:r>
        <w:rPr>
          <w:rFonts w:ascii="Times New Roman" w:hAnsi="Times New Roman" w:cs="Times New Roman"/>
          <w:noProof/>
          <w:sz w:val="24"/>
          <w:szCs w:val="24"/>
        </w:rPr>
        <w:t>Description of the initiative and its objectives</w:t>
      </w:r>
      <w:bookmarkEnd w:id="24"/>
      <w:bookmarkEnd w:id="25"/>
      <w:bookmarkEnd w:id="26"/>
      <w:bookmarkEnd w:id="27"/>
    </w:p>
    <w:p w:rsidR="00500553" w:rsidRDefault="00D978F2">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Decision 1313/2013 added to </w:t>
      </w:r>
      <w:r>
        <w:rPr>
          <w:rFonts w:ascii="Times New Roman" w:hAnsi="Times New Roman" w:cs="Times New Roman"/>
          <w:noProof/>
          <w:sz w:val="24"/>
          <w:szCs w:val="24"/>
        </w:rPr>
        <w:t>the Mechanism's original focus on disaster response, a greater emphasis on cooperation for disaster prevention and preparedness with particular focus on national risk assessment and risk management planning. To enhance preparedness of European countries to</w:t>
      </w:r>
      <w:r>
        <w:rPr>
          <w:rFonts w:ascii="Times New Roman" w:hAnsi="Times New Roman" w:cs="Times New Roman"/>
          <w:noProof/>
          <w:sz w:val="24"/>
          <w:szCs w:val="24"/>
        </w:rPr>
        <w:t xml:space="preserve"> respond to disasters, the Mechanism created a Voluntary Pool of response capacities pre-committed by the Participating States for use in European civil protection operations (see further the paragraph below on </w:t>
      </w:r>
      <w:r>
        <w:rPr>
          <w:rFonts w:ascii="Times New Roman" w:hAnsi="Times New Roman" w:cs="Times New Roman"/>
          <w:i/>
          <w:noProof/>
          <w:sz w:val="24"/>
          <w:szCs w:val="24"/>
        </w:rPr>
        <w:t>Disaster Preparedness</w:t>
      </w:r>
      <w:r>
        <w:rPr>
          <w:rFonts w:ascii="Times New Roman" w:hAnsi="Times New Roman" w:cs="Times New Roman"/>
          <w:noProof/>
          <w:sz w:val="24"/>
          <w:szCs w:val="24"/>
        </w:rPr>
        <w:t>).</w:t>
      </w:r>
    </w:p>
    <w:p w:rsidR="00500553" w:rsidRDefault="00500553">
      <w:pPr>
        <w:pStyle w:val="NoSpacing"/>
        <w:spacing w:line="276" w:lineRule="auto"/>
        <w:jc w:val="both"/>
        <w:rPr>
          <w:rFonts w:ascii="Times New Roman" w:hAnsi="Times New Roman" w:cs="Times New Roman"/>
          <w:noProof/>
          <w:sz w:val="24"/>
          <w:szCs w:val="24"/>
        </w:rPr>
      </w:pPr>
    </w:p>
    <w:p w:rsidR="00500553" w:rsidRDefault="00D978F2">
      <w:pPr>
        <w:pStyle w:val="NoSpacing"/>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Article 1(2) clarifi</w:t>
      </w:r>
      <w:r>
        <w:rPr>
          <w:rFonts w:ascii="Times New Roman" w:hAnsi="Times New Roman" w:cs="Times New Roman"/>
          <w:noProof/>
          <w:sz w:val="24"/>
          <w:szCs w:val="24"/>
        </w:rPr>
        <w:t>es the scope of the UCPM, namely that protection ensured by the Union Mechanism shall cover primarily people, but also the environment and property, including cultural heritage, against all kinds of natural and man-made disasters, including the consequence</w:t>
      </w:r>
      <w:r>
        <w:rPr>
          <w:rFonts w:ascii="Times New Roman" w:hAnsi="Times New Roman" w:cs="Times New Roman"/>
          <w:noProof/>
          <w:sz w:val="24"/>
          <w:szCs w:val="24"/>
        </w:rPr>
        <w:t>s of acts of terrorism, technological, radiological or environmental disasters, marine pollution, and acute health emergencies, occurring inside or outside the Union. In the case of consequences of acts of terrorism or radiological disasters, the UCPM cove</w:t>
      </w:r>
      <w:r>
        <w:rPr>
          <w:rFonts w:ascii="Times New Roman" w:hAnsi="Times New Roman" w:cs="Times New Roman"/>
          <w:noProof/>
          <w:sz w:val="24"/>
          <w:szCs w:val="24"/>
        </w:rPr>
        <w:t>rs only preparedness and response actions.</w:t>
      </w:r>
    </w:p>
    <w:p w:rsidR="00500553" w:rsidRDefault="00D978F2">
      <w:pPr>
        <w:jc w:val="both"/>
        <w:rPr>
          <w:rFonts w:ascii="Times New Roman" w:hAnsi="Times New Roman" w:cs="Times New Roman"/>
          <w:noProof/>
        </w:rPr>
      </w:pPr>
      <w:r>
        <w:rPr>
          <w:rFonts w:ascii="Times New Roman" w:hAnsi="Times New Roman" w:cs="Times New Roman"/>
          <w:noProof/>
          <w:sz w:val="24"/>
          <w:szCs w:val="24"/>
        </w:rPr>
        <w:t>The Union Mechanism is open to the participation of the European Free Trade Association (EFTA) countries which are members of the European Economic Area (EEA) and other European countries (when agreements and proc</w:t>
      </w:r>
      <w:r>
        <w:rPr>
          <w:rFonts w:ascii="Times New Roman" w:hAnsi="Times New Roman" w:cs="Times New Roman"/>
          <w:noProof/>
          <w:sz w:val="24"/>
          <w:szCs w:val="24"/>
        </w:rPr>
        <w:t>edures so provide), as well as to acceding countries, candidate countries and potential candidate in accordance with the general principles and terms laid down in framework agreements or similar arrangements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In addition, candidate countries and potential</w:t>
      </w:r>
      <w:r>
        <w:rPr>
          <w:rFonts w:ascii="Times New Roman" w:hAnsi="Times New Roman" w:cs="Times New Roman"/>
          <w:noProof/>
          <w:sz w:val="24"/>
          <w:szCs w:val="24"/>
        </w:rPr>
        <w:t xml:space="preserve"> candidates not participating in the Union Mechanism, and countries that are part of the European Neighbourhood Policy (ENP), may benefit from some of the activities financed under the Decision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rsidR="00500553" w:rsidRDefault="00D978F2">
      <w:pPr>
        <w:jc w:val="both"/>
        <w:rPr>
          <w:rFonts w:ascii="Times New Roman" w:hAnsi="Times New Roman" w:cs="Times New Roman"/>
          <w:b/>
          <w:i/>
          <w:noProof/>
          <w:sz w:val="24"/>
          <w:szCs w:val="24"/>
        </w:rPr>
      </w:pPr>
      <w:r>
        <w:rPr>
          <w:rFonts w:ascii="Times New Roman" w:hAnsi="Times New Roman" w:cs="Times New Roman"/>
          <w:b/>
          <w:i/>
          <w:noProof/>
          <w:sz w:val="24"/>
          <w:szCs w:val="24"/>
        </w:rPr>
        <w:t>Disaster prevention</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Under the UCPM, Member States shall deve</w:t>
      </w:r>
      <w:r>
        <w:rPr>
          <w:rFonts w:ascii="Times New Roman" w:hAnsi="Times New Roman" w:cs="Times New Roman"/>
          <w:noProof/>
          <w:sz w:val="24"/>
          <w:szCs w:val="24"/>
        </w:rPr>
        <w:t>lop and make available to the Commission their national risk assessments and national risk management capability assessments. The Commission shall provide guidance to Member States in carrying out risk assessments and facilitate the dissemination and excha</w:t>
      </w:r>
      <w:r>
        <w:rPr>
          <w:rFonts w:ascii="Times New Roman" w:hAnsi="Times New Roman" w:cs="Times New Roman"/>
          <w:noProof/>
          <w:sz w:val="24"/>
          <w:szCs w:val="24"/>
        </w:rPr>
        <w:t xml:space="preserve">nge of information of good practices. This includes, in particular, improving the knowledge base on disaster risks (e.g. by developing an overview of risks the EU may face which takes into account the impact of climate change) and developing an integrated </w:t>
      </w:r>
      <w:r>
        <w:rPr>
          <w:rFonts w:ascii="Times New Roman" w:hAnsi="Times New Roman" w:cs="Times New Roman"/>
          <w:noProof/>
          <w:sz w:val="24"/>
          <w:szCs w:val="24"/>
        </w:rPr>
        <w:t>approach to disaster management of natural and man-made hazards. The Commission shall facilitate the sharing of knowledge, best practices and information related to prevention, taking due account of existing international commitments (such as the Sendai Fr</w:t>
      </w:r>
      <w:r>
        <w:rPr>
          <w:rFonts w:ascii="Times New Roman" w:hAnsi="Times New Roman" w:cs="Times New Roman"/>
          <w:noProof/>
          <w:sz w:val="24"/>
          <w:szCs w:val="24"/>
        </w:rPr>
        <w:t>amework for Disaster Risk Reduction 2015-2030, and the Paris Agreement), including through voluntary peer reviews. The Commission shall also finance cooperation projects in the field of disaster prevention based on yearly calls for proposals, which are pub</w:t>
      </w:r>
      <w:r>
        <w:rPr>
          <w:rFonts w:ascii="Times New Roman" w:hAnsi="Times New Roman" w:cs="Times New Roman"/>
          <w:noProof/>
          <w:sz w:val="24"/>
          <w:szCs w:val="24"/>
        </w:rPr>
        <w:t>lished on the DG ECHO website.</w:t>
      </w:r>
    </w:p>
    <w:p w:rsidR="00500553" w:rsidRDefault="00D978F2">
      <w:pPr>
        <w:jc w:val="both"/>
        <w:rPr>
          <w:rFonts w:ascii="Times New Roman" w:hAnsi="Times New Roman" w:cs="Times New Roman"/>
          <w:b/>
          <w:i/>
          <w:noProof/>
          <w:sz w:val="24"/>
          <w:szCs w:val="24"/>
        </w:rPr>
      </w:pPr>
      <w:r>
        <w:rPr>
          <w:rFonts w:ascii="Times New Roman" w:hAnsi="Times New Roman" w:cs="Times New Roman"/>
          <w:b/>
          <w:i/>
          <w:noProof/>
          <w:sz w:val="24"/>
          <w:szCs w:val="24"/>
        </w:rPr>
        <w:t>Disaster preparedness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creation of a European Emergency Response Capacity (EERC) in the form of a "Voluntary Pool" is one of the main innovations of the UCPM. Participating States can pre-commit different types of response</w:t>
      </w:r>
      <w:r>
        <w:rPr>
          <w:rFonts w:ascii="Times New Roman" w:hAnsi="Times New Roman" w:cs="Times New Roman"/>
          <w:noProof/>
          <w:sz w:val="24"/>
          <w:szCs w:val="24"/>
        </w:rPr>
        <w:t xml:space="preserve"> capacities for participation in EU Civil Protection missions. The European Medical Corps (EMC) is a sub-set of the EERC through which teams and equipment from EU Member States can be rapidly deployed to provide medical assistance and public health experti</w:t>
      </w:r>
      <w:r>
        <w:rPr>
          <w:rFonts w:ascii="Times New Roman" w:hAnsi="Times New Roman" w:cs="Times New Roman"/>
          <w:noProof/>
          <w:sz w:val="24"/>
          <w:szCs w:val="24"/>
        </w:rPr>
        <w:t>se in response to emergencies inside and outside the EU. Through the Common Emergency Communication and Information System (CECIS), a web-based alert and notification application enabling real time exchange of information, the UCPM Participating States and</w:t>
      </w:r>
      <w:r>
        <w:rPr>
          <w:rFonts w:ascii="Times New Roman" w:hAnsi="Times New Roman" w:cs="Times New Roman"/>
          <w:noProof/>
          <w:sz w:val="24"/>
          <w:szCs w:val="24"/>
        </w:rPr>
        <w:t xml:space="preserve"> the Commission share a common information system for mobilizing and deploying these pre-committed assets. This increases predictability of assistance while significantly reducing deployment times. Participating States and the Commission work closely toget</w:t>
      </w:r>
      <w:r>
        <w:rPr>
          <w:rFonts w:ascii="Times New Roman" w:hAnsi="Times New Roman" w:cs="Times New Roman"/>
          <w:noProof/>
          <w:sz w:val="24"/>
          <w:szCs w:val="24"/>
        </w:rPr>
        <w:t>her to develop quality requirements and a certification process for different modules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 other response capacities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thus ensuring that all teams meet high quality and inter-operability standards and can effectively work together in the field.</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UCPM a</w:t>
      </w:r>
      <w:r>
        <w:rPr>
          <w:rFonts w:ascii="Times New Roman" w:hAnsi="Times New Roman" w:cs="Times New Roman"/>
          <w:noProof/>
          <w:sz w:val="24"/>
          <w:szCs w:val="24"/>
        </w:rPr>
        <w:t>lso supports trainings and disaster preparedness exercises to test and further improve performance and coordination. Costs to upgrade existing national response capacities and certification costs, trainings and workshops can be financed by the EU. Once cer</w:t>
      </w:r>
      <w:r>
        <w:rPr>
          <w:rFonts w:ascii="Times New Roman" w:hAnsi="Times New Roman" w:cs="Times New Roman"/>
          <w:noProof/>
          <w:sz w:val="24"/>
          <w:szCs w:val="24"/>
        </w:rPr>
        <w:t>tified and part of the Voluntary Pool, the transport costs of teams in response to emergencies is eligible for EU co-financing of up to 85%. Additionally, the Union Mechanism works via its Emergency Response Coordination Centre (ERCC – see further paragrap</w:t>
      </w:r>
      <w:r>
        <w:rPr>
          <w:rFonts w:ascii="Times New Roman" w:hAnsi="Times New Roman" w:cs="Times New Roman"/>
          <w:noProof/>
          <w:sz w:val="24"/>
          <w:szCs w:val="24"/>
        </w:rPr>
        <w:t>h below) to: (i) monitor hazards, collect, analyse and disseminate information on disasters; (ii) map available assets in close cooperation with the UCPM's Participating States; and (iii) prepare plans for the deployment of individual experts, teams and/or</w:t>
      </w:r>
      <w:r>
        <w:rPr>
          <w:rFonts w:ascii="Times New Roman" w:hAnsi="Times New Roman" w:cs="Times New Roman"/>
          <w:noProof/>
          <w:sz w:val="24"/>
          <w:szCs w:val="24"/>
        </w:rPr>
        <w:t xml:space="preserve"> assets, providing emergency communications and monitoring tools.</w:t>
      </w:r>
    </w:p>
    <w:p w:rsidR="00500553" w:rsidRDefault="00D978F2">
      <w:pPr>
        <w:jc w:val="both"/>
        <w:rPr>
          <w:rFonts w:ascii="Times New Roman" w:hAnsi="Times New Roman" w:cs="Times New Roman"/>
          <w:b/>
          <w:i/>
          <w:noProof/>
          <w:sz w:val="24"/>
          <w:szCs w:val="24"/>
        </w:rPr>
      </w:pPr>
      <w:r>
        <w:rPr>
          <w:rFonts w:ascii="Times New Roman" w:hAnsi="Times New Roman" w:cs="Times New Roman"/>
          <w:b/>
          <w:i/>
          <w:noProof/>
          <w:sz w:val="24"/>
          <w:szCs w:val="24"/>
        </w:rPr>
        <w:t>Disaster Response</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operational heart of the UCPM is the 24/7 Emergency Response Coordination Centre (ERCC), which is located within the Commission's DG ECHO in Brussels. The ERCC supports</w:t>
      </w:r>
      <w:r>
        <w:rPr>
          <w:rFonts w:ascii="Times New Roman" w:hAnsi="Times New Roman" w:cs="Times New Roman"/>
          <w:noProof/>
          <w:sz w:val="24"/>
          <w:szCs w:val="24"/>
        </w:rPr>
        <w:t xml:space="preserve"> a coordinated and rapid response to disasters both inside and outside Europe using resources from the countries participating in the UCPM. With a capacity to deal with several simultaneous emergencies on a 24/7 basis, the ERCC facilitates a coherent and e</w:t>
      </w:r>
      <w:r>
        <w:rPr>
          <w:rFonts w:ascii="Times New Roman" w:hAnsi="Times New Roman" w:cs="Times New Roman"/>
          <w:noProof/>
          <w:sz w:val="24"/>
          <w:szCs w:val="24"/>
        </w:rPr>
        <w:t>fficient European response to emergencies, aiming to reduce unnecessary and inefficient duplication of efforts. Whenever the scale of an emergency overwhelms the response capabilities of a country, the UCPM may be activated upon official request of that co</w:t>
      </w:r>
      <w:r>
        <w:rPr>
          <w:rFonts w:ascii="Times New Roman" w:hAnsi="Times New Roman" w:cs="Times New Roman"/>
          <w:noProof/>
          <w:sz w:val="24"/>
          <w:szCs w:val="24"/>
        </w:rPr>
        <w:t>untry or the United Nations (UN) and its agencies, as well as the International Organization for Migration (IOM), International Federation of Red Cross and Red Crescent Societies (IFRC) and the Organisation for the Prohibition of Chemical Weapons (OPCW). W</w:t>
      </w:r>
      <w:r>
        <w:rPr>
          <w:rFonts w:ascii="Times New Roman" w:hAnsi="Times New Roman" w:cs="Times New Roman"/>
          <w:noProof/>
          <w:sz w:val="24"/>
          <w:szCs w:val="24"/>
        </w:rPr>
        <w:t>hen this occurs, the ERCC acts as an operational hub, facilitating the coordination of assistance made available by the UCPM's Participating States to the affected country. Requests for assistance through the UCPM can concern disasters of any type, both wi</w:t>
      </w:r>
      <w:r>
        <w:rPr>
          <w:rFonts w:ascii="Times New Roman" w:hAnsi="Times New Roman" w:cs="Times New Roman"/>
          <w:noProof/>
          <w:sz w:val="24"/>
          <w:szCs w:val="24"/>
        </w:rPr>
        <w:t>thin and outside Europe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The UCPM can also be activated in response to marine pollution and other maritime disasters, on which it coordinates closely with the European Maritime Safety Agency (EMSA).</w:t>
      </w:r>
    </w:p>
    <w:p w:rsidR="00500553" w:rsidRDefault="00D978F2">
      <w:pPr>
        <w:jc w:val="both"/>
        <w:rPr>
          <w:rFonts w:ascii="Times New Roman" w:hAnsi="Times New Roman" w:cs="Times New Roman"/>
          <w:b/>
          <w:i/>
          <w:noProof/>
          <w:sz w:val="24"/>
          <w:szCs w:val="24"/>
        </w:rPr>
      </w:pPr>
      <w:r>
        <w:rPr>
          <w:rFonts w:ascii="Times New Roman" w:hAnsi="Times New Roman" w:cs="Times New Roman"/>
          <w:noProof/>
          <w:sz w:val="24"/>
          <w:szCs w:val="24"/>
        </w:rPr>
        <w:t>Assistance made available via the UCPM may consist of op</w:t>
      </w:r>
      <w:r>
        <w:rPr>
          <w:rFonts w:ascii="Times New Roman" w:hAnsi="Times New Roman" w:cs="Times New Roman"/>
          <w:noProof/>
          <w:sz w:val="24"/>
          <w:szCs w:val="24"/>
        </w:rPr>
        <w:t>erational assets, in-kind assistance (relief items) and experts</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The latter can be deployed for needs assessment and coordination missions as well as to provide advice to a requesting country on prevention and preparedness measures. The Commission can als</w:t>
      </w:r>
      <w:r>
        <w:rPr>
          <w:rFonts w:ascii="Times New Roman" w:hAnsi="Times New Roman" w:cs="Times New Roman"/>
          <w:noProof/>
          <w:sz w:val="24"/>
          <w:szCs w:val="24"/>
        </w:rPr>
        <w:t>o co-finance the transport costs of assistance delivered via the UCPM. This enables a rapid distribution of assistance to the affected country and results in a reduced budgetary impact on the UCPM's Participating State(s) offering the assistance. Pooling a</w:t>
      </w:r>
      <w:r>
        <w:rPr>
          <w:rFonts w:ascii="Times New Roman" w:hAnsi="Times New Roman" w:cs="Times New Roman"/>
          <w:noProof/>
          <w:sz w:val="24"/>
          <w:szCs w:val="24"/>
        </w:rPr>
        <w:t>nd consolidating shipments of assistance for the affected country with the facilitation of the ERCC, allows to further boost the efficiency of the European response. The ERCC fosters coordination between civil protection and humanitarian aid operations. Ma</w:t>
      </w:r>
      <w:r>
        <w:rPr>
          <w:rFonts w:ascii="Times New Roman" w:hAnsi="Times New Roman" w:cs="Times New Roman"/>
          <w:noProof/>
          <w:sz w:val="24"/>
          <w:szCs w:val="24"/>
        </w:rPr>
        <w:t>intaining direct links to the civil protection and humanitarian aid authorities in Member States it enables a smooth and real-time exchange of information. It ensures deployment of coordination and assessment teams composed of humanitarian aid and civil pr</w:t>
      </w:r>
      <w:r>
        <w:rPr>
          <w:rFonts w:ascii="Times New Roman" w:hAnsi="Times New Roman" w:cs="Times New Roman"/>
          <w:noProof/>
          <w:sz w:val="24"/>
          <w:szCs w:val="24"/>
        </w:rPr>
        <w:t>otection experts to conduct joint needs assessments.</w:t>
      </w:r>
    </w:p>
    <w:p w:rsidR="00500553" w:rsidRDefault="00D978F2">
      <w:pPr>
        <w:jc w:val="both"/>
        <w:rPr>
          <w:rFonts w:ascii="Times New Roman" w:hAnsi="Times New Roman" w:cs="Times New Roman"/>
          <w:b/>
          <w:i/>
          <w:noProof/>
          <w:sz w:val="24"/>
          <w:szCs w:val="24"/>
        </w:rPr>
      </w:pPr>
      <w:r>
        <w:rPr>
          <w:rFonts w:ascii="Times New Roman" w:hAnsi="Times New Roman" w:cs="Times New Roman"/>
          <w:b/>
          <w:i/>
          <w:noProof/>
          <w:sz w:val="24"/>
          <w:szCs w:val="24"/>
        </w:rPr>
        <w:t>Cross-cutting activities</w:t>
      </w:r>
    </w:p>
    <w:p w:rsidR="00500553" w:rsidRDefault="00D978F2">
      <w:pPr>
        <w:jc w:val="both"/>
        <w:rPr>
          <w:rFonts w:ascii="Times New Roman" w:hAnsi="Times New Roman" w:cs="Times New Roman"/>
          <w:noProof/>
          <w:sz w:val="24"/>
          <w:szCs w:val="24"/>
        </w:rPr>
      </w:pPr>
      <w:r>
        <w:rPr>
          <w:rFonts w:ascii="Times New Roman" w:hAnsi="Times New Roman" w:cs="Times New Roman"/>
          <w:i/>
          <w:noProof/>
          <w:sz w:val="24"/>
          <w:szCs w:val="24"/>
          <w:lang w:eastAsia="en-GB"/>
        </w:rPr>
        <w:t>Prevention and preparedness ("advisory") missions</w:t>
      </w:r>
      <w:r>
        <w:rPr>
          <w:rFonts w:ascii="Times New Roman" w:hAnsi="Times New Roman" w:cs="Times New Roman"/>
          <w:noProof/>
          <w:sz w:val="24"/>
          <w:szCs w:val="24"/>
          <w:lang w:eastAsia="en-GB"/>
        </w:rPr>
        <w:t xml:space="preserve"> support Participating States or third countries with technical assistance on prevention and preparedness measures through the deployment of a team of experts. These missions can be requested by a Participating State, international organisation or third co</w:t>
      </w:r>
      <w:r>
        <w:rPr>
          <w:rFonts w:ascii="Times New Roman" w:hAnsi="Times New Roman" w:cs="Times New Roman"/>
          <w:noProof/>
          <w:sz w:val="24"/>
          <w:szCs w:val="24"/>
          <w:lang w:eastAsia="en-GB"/>
        </w:rPr>
        <w:t xml:space="preserve">untry. The </w:t>
      </w:r>
      <w:r>
        <w:rPr>
          <w:rFonts w:ascii="Times New Roman" w:hAnsi="Times New Roman" w:cs="Times New Roman"/>
          <w:i/>
          <w:noProof/>
          <w:sz w:val="24"/>
          <w:szCs w:val="24"/>
          <w:lang w:eastAsia="en-GB"/>
        </w:rPr>
        <w:t xml:space="preserve">exchange of expert </w:t>
      </w:r>
      <w:r>
        <w:rPr>
          <w:rFonts w:ascii="Times New Roman" w:hAnsi="Times New Roman" w:cs="Times New Roman"/>
          <w:noProof/>
          <w:sz w:val="24"/>
          <w:szCs w:val="24"/>
          <w:lang w:eastAsia="en-GB"/>
        </w:rPr>
        <w:t xml:space="preserve">programme allows for the secondment of civil protection experts from one Participating State to another, with some third countries also being eligible to participate. This exchange allows participants to gain direct knowledge </w:t>
      </w:r>
      <w:r>
        <w:rPr>
          <w:rFonts w:ascii="Times New Roman" w:hAnsi="Times New Roman" w:cs="Times New Roman"/>
          <w:noProof/>
          <w:sz w:val="24"/>
          <w:szCs w:val="24"/>
          <w:lang w:eastAsia="en-GB"/>
        </w:rPr>
        <w:t xml:space="preserve">and experience on all aspects of an emergency intervention and the different approaches of national systems. The </w:t>
      </w:r>
      <w:r>
        <w:rPr>
          <w:rFonts w:ascii="Times New Roman" w:hAnsi="Times New Roman" w:cs="Times New Roman"/>
          <w:i/>
          <w:noProof/>
          <w:sz w:val="24"/>
          <w:szCs w:val="24"/>
          <w:lang w:eastAsia="en-GB"/>
        </w:rPr>
        <w:t>peer review</w:t>
      </w:r>
      <w:r>
        <w:rPr>
          <w:rFonts w:ascii="Times New Roman" w:hAnsi="Times New Roman" w:cs="Times New Roman"/>
          <w:noProof/>
          <w:sz w:val="24"/>
          <w:szCs w:val="24"/>
          <w:lang w:eastAsia="en-GB"/>
        </w:rPr>
        <w:t xml:space="preserve"> programme is addressed to all the Participating States (with their different systems and backgrounds) to identify – in a spirit of </w:t>
      </w:r>
      <w:r>
        <w:rPr>
          <w:rFonts w:ascii="Times New Roman" w:hAnsi="Times New Roman" w:cs="Times New Roman"/>
          <w:noProof/>
          <w:sz w:val="24"/>
          <w:szCs w:val="24"/>
          <w:lang w:eastAsia="en-GB"/>
        </w:rPr>
        <w:t>mutual support and peer-to-peer learning – areas for improvement. Finally, t</w:t>
      </w:r>
      <w:r>
        <w:rPr>
          <w:rFonts w:ascii="Times New Roman" w:hAnsi="Times New Roman" w:cs="Times New Roman"/>
          <w:noProof/>
          <w:sz w:val="24"/>
          <w:szCs w:val="24"/>
        </w:rPr>
        <w:t xml:space="preserve">he Decision promotes the identification, analysis and implementation of </w:t>
      </w:r>
      <w:r>
        <w:rPr>
          <w:rFonts w:ascii="Times New Roman" w:hAnsi="Times New Roman" w:cs="Times New Roman"/>
          <w:i/>
          <w:noProof/>
          <w:sz w:val="24"/>
          <w:szCs w:val="24"/>
        </w:rPr>
        <w:t>lessons learnt</w:t>
      </w:r>
      <w:r>
        <w:rPr>
          <w:rFonts w:ascii="Times New Roman" w:hAnsi="Times New Roman" w:cs="Times New Roman"/>
          <w:noProof/>
          <w:sz w:val="24"/>
          <w:szCs w:val="24"/>
        </w:rPr>
        <w:t xml:space="preserve"> distilled from the entire disaster cycle.</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intervention logic (Annex 1) presents all the a</w:t>
      </w:r>
      <w:r>
        <w:rPr>
          <w:rFonts w:ascii="Times New Roman" w:hAnsi="Times New Roman" w:cs="Times New Roman"/>
          <w:noProof/>
          <w:sz w:val="24"/>
          <w:szCs w:val="24"/>
        </w:rPr>
        <w:t>ctivities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carried out by the Commission and the Participating States. Activities are linked to the respective objectives/indicators (as set out by Art. 3 of the Decision) they contribute to and categorised under the three thematic pillars of disaster prev</w:t>
      </w:r>
      <w:r>
        <w:rPr>
          <w:rFonts w:ascii="Times New Roman" w:hAnsi="Times New Roman" w:cs="Times New Roman"/>
          <w:noProof/>
          <w:sz w:val="24"/>
          <w:szCs w:val="24"/>
        </w:rPr>
        <w:t>ention, preparedness, and response.</w:t>
      </w:r>
    </w:p>
    <w:p w:rsidR="00500553" w:rsidRDefault="00D978F2">
      <w:pPr>
        <w:pStyle w:val="Heading1"/>
        <w:spacing w:line="276" w:lineRule="auto"/>
        <w:rPr>
          <w:rFonts w:ascii="Times New Roman" w:hAnsi="Times New Roman" w:cs="Times New Roman"/>
          <w:b w:val="0"/>
          <w:noProof/>
          <w:szCs w:val="24"/>
        </w:rPr>
      </w:pPr>
      <w:bookmarkStart w:id="28" w:name="_Toc485914853"/>
      <w:bookmarkStart w:id="29" w:name="_Toc485915479"/>
      <w:bookmarkStart w:id="30" w:name="_Toc489347863"/>
      <w:bookmarkStart w:id="31" w:name="_Toc489427636"/>
      <w:r>
        <w:rPr>
          <w:rFonts w:ascii="Times New Roman" w:hAnsi="Times New Roman" w:cs="Times New Roman"/>
          <w:noProof/>
          <w:szCs w:val="24"/>
        </w:rPr>
        <w:t>EVALUATION QUESTIONS</w:t>
      </w:r>
      <w:bookmarkEnd w:id="28"/>
      <w:bookmarkEnd w:id="29"/>
      <w:bookmarkEnd w:id="30"/>
      <w:bookmarkEnd w:id="31"/>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assess the implementation and performance of the Union Mechanism and to evaluate whether it is on course to achieve its objectives, the following general questions were used to guide the </w:t>
      </w:r>
      <w:r>
        <w:rPr>
          <w:rFonts w:ascii="Times New Roman" w:hAnsi="Times New Roman" w:cs="Times New Roman"/>
          <w:noProof/>
          <w:sz w:val="24"/>
          <w:szCs w:val="24"/>
        </w:rPr>
        <w:t>analysis. The full list of evaluation questions is provided in Annex 2.</w:t>
      </w:r>
    </w:p>
    <w:tbl>
      <w:tblPr>
        <w:tblStyle w:val="TableGrid"/>
        <w:tblW w:w="0" w:type="auto"/>
        <w:tblBorders>
          <w:insideV w:val="none" w:sz="0" w:space="0" w:color="auto"/>
        </w:tblBorders>
        <w:tblLook w:val="04A0" w:firstRow="1" w:lastRow="0" w:firstColumn="1" w:lastColumn="0" w:noHBand="0" w:noVBand="1"/>
      </w:tblPr>
      <w:tblGrid>
        <w:gridCol w:w="817"/>
        <w:gridCol w:w="1843"/>
        <w:gridCol w:w="6582"/>
      </w:tblGrid>
      <w:tr w:rsidR="00500553">
        <w:tc>
          <w:tcPr>
            <w:tcW w:w="817" w:type="dxa"/>
            <w:shd w:val="clear" w:color="auto" w:fill="92D050"/>
          </w:tcPr>
          <w:p w:rsidR="00500553" w:rsidRDefault="00500553">
            <w:pPr>
              <w:spacing w:line="276" w:lineRule="auto"/>
              <w:rPr>
                <w:rFonts w:ascii="Times New Roman" w:hAnsi="Times New Roman" w:cs="Times New Roman"/>
                <w:noProof/>
                <w:sz w:val="24"/>
                <w:szCs w:val="24"/>
              </w:rPr>
            </w:pPr>
          </w:p>
        </w:tc>
        <w:tc>
          <w:tcPr>
            <w:tcW w:w="1843" w:type="dxa"/>
            <w:shd w:val="clear" w:color="auto" w:fill="92D050"/>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Criteria</w:t>
            </w:r>
          </w:p>
        </w:tc>
        <w:tc>
          <w:tcPr>
            <w:tcW w:w="6582" w:type="dxa"/>
            <w:shd w:val="clear" w:color="auto" w:fill="92D050"/>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Evaluation question</w:t>
            </w:r>
          </w:p>
        </w:tc>
      </w:tr>
      <w:tr w:rsidR="00500553">
        <w:tc>
          <w:tcPr>
            <w:tcW w:w="817" w:type="dxa"/>
          </w:tcPr>
          <w:p w:rsidR="00500553" w:rsidRDefault="00500553">
            <w:pPr>
              <w:pStyle w:val="ListParagraph"/>
              <w:numPr>
                <w:ilvl w:val="0"/>
                <w:numId w:val="26"/>
              </w:numPr>
              <w:spacing w:line="276" w:lineRule="auto"/>
              <w:rPr>
                <w:rFonts w:ascii="Times New Roman" w:hAnsi="Times New Roman" w:cs="Times New Roman"/>
                <w:noProof/>
                <w:sz w:val="24"/>
                <w:szCs w:val="24"/>
              </w:rPr>
            </w:pPr>
          </w:p>
        </w:tc>
        <w:tc>
          <w:tcPr>
            <w:tcW w:w="1843"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Relevance</w:t>
            </w:r>
          </w:p>
        </w:tc>
        <w:tc>
          <w:tcPr>
            <w:tcW w:w="6582"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Are the objectives the UCPM is addressing still relevant to Europe's current problems and needs?</w:t>
            </w:r>
          </w:p>
        </w:tc>
      </w:tr>
      <w:tr w:rsidR="00500553">
        <w:tc>
          <w:tcPr>
            <w:tcW w:w="817" w:type="dxa"/>
          </w:tcPr>
          <w:p w:rsidR="00500553" w:rsidRDefault="00500553">
            <w:pPr>
              <w:pStyle w:val="ListParagraph"/>
              <w:numPr>
                <w:ilvl w:val="0"/>
                <w:numId w:val="26"/>
              </w:numPr>
              <w:spacing w:line="276" w:lineRule="auto"/>
              <w:rPr>
                <w:rFonts w:ascii="Times New Roman" w:hAnsi="Times New Roman" w:cs="Times New Roman"/>
                <w:noProof/>
                <w:sz w:val="24"/>
                <w:szCs w:val="24"/>
              </w:rPr>
            </w:pPr>
          </w:p>
        </w:tc>
        <w:tc>
          <w:tcPr>
            <w:tcW w:w="1843"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Effectiveness</w:t>
            </w:r>
          </w:p>
        </w:tc>
        <w:tc>
          <w:tcPr>
            <w:tcW w:w="6582"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 xml:space="preserve">To what extent have the </w:t>
            </w:r>
            <w:r>
              <w:rPr>
                <w:rFonts w:ascii="Times New Roman" w:hAnsi="Times New Roman" w:cs="Times New Roman"/>
                <w:noProof/>
                <w:sz w:val="24"/>
                <w:szCs w:val="24"/>
              </w:rPr>
              <w:t>changes/effects generated by UCPM activities contributed to achieving general and specific objectives set out by Decision 1313/2013/EU?</w:t>
            </w:r>
          </w:p>
        </w:tc>
      </w:tr>
      <w:tr w:rsidR="00500553">
        <w:tc>
          <w:tcPr>
            <w:tcW w:w="817" w:type="dxa"/>
          </w:tcPr>
          <w:p w:rsidR="00500553" w:rsidRDefault="00500553">
            <w:pPr>
              <w:pStyle w:val="ListParagraph"/>
              <w:numPr>
                <w:ilvl w:val="0"/>
                <w:numId w:val="26"/>
              </w:numPr>
              <w:spacing w:line="276" w:lineRule="auto"/>
              <w:rPr>
                <w:rFonts w:ascii="Times New Roman" w:hAnsi="Times New Roman" w:cs="Times New Roman"/>
                <w:noProof/>
                <w:sz w:val="24"/>
                <w:szCs w:val="24"/>
              </w:rPr>
            </w:pPr>
          </w:p>
        </w:tc>
        <w:tc>
          <w:tcPr>
            <w:tcW w:w="1843"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Efficiency</w:t>
            </w:r>
          </w:p>
        </w:tc>
        <w:tc>
          <w:tcPr>
            <w:tcW w:w="6582"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Could similar/greater benefits have been achieved at lower/similar costs?</w:t>
            </w:r>
          </w:p>
        </w:tc>
      </w:tr>
      <w:tr w:rsidR="00500553">
        <w:tc>
          <w:tcPr>
            <w:tcW w:w="817" w:type="dxa"/>
          </w:tcPr>
          <w:p w:rsidR="00500553" w:rsidRDefault="00500553">
            <w:pPr>
              <w:pStyle w:val="ListParagraph"/>
              <w:numPr>
                <w:ilvl w:val="0"/>
                <w:numId w:val="26"/>
              </w:numPr>
              <w:spacing w:line="276" w:lineRule="auto"/>
              <w:rPr>
                <w:rFonts w:ascii="Times New Roman" w:hAnsi="Times New Roman" w:cs="Times New Roman"/>
                <w:noProof/>
                <w:sz w:val="24"/>
                <w:szCs w:val="24"/>
              </w:rPr>
            </w:pPr>
          </w:p>
        </w:tc>
        <w:tc>
          <w:tcPr>
            <w:tcW w:w="1843"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Coherence</w:t>
            </w:r>
          </w:p>
        </w:tc>
        <w:tc>
          <w:tcPr>
            <w:tcW w:w="6582"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Internal</w:t>
            </w:r>
            <w:r>
              <w:rPr>
                <w:rFonts w:ascii="Times New Roman" w:hAnsi="Times New Roman" w:cs="Times New Roman"/>
                <w:noProof/>
                <w:sz w:val="24"/>
                <w:szCs w:val="24"/>
              </w:rPr>
              <w:t>) To what ex</w:t>
            </w:r>
            <w:r>
              <w:rPr>
                <w:rFonts w:ascii="Times New Roman" w:hAnsi="Times New Roman" w:cs="Times New Roman"/>
                <w:noProof/>
                <w:sz w:val="24"/>
                <w:szCs w:val="24"/>
              </w:rPr>
              <w:t>tent are the UCPM pillars and activities well-articulated, interconnected and mutually supportive?</w:t>
            </w:r>
            <w:r>
              <w:rPr>
                <w:rFonts w:ascii="Times New Roman" w:hAnsi="Times New Roman" w:cs="Times New Roman"/>
                <w:noProof/>
                <w:sz w:val="24"/>
                <w:szCs w:val="24"/>
              </w:rPr>
              <w:br/>
              <w:t>(</w:t>
            </w:r>
            <w:r>
              <w:rPr>
                <w:rFonts w:ascii="Times New Roman" w:hAnsi="Times New Roman" w:cs="Times New Roman"/>
                <w:i/>
                <w:noProof/>
                <w:sz w:val="24"/>
                <w:szCs w:val="24"/>
              </w:rPr>
              <w:t>External</w:t>
            </w:r>
            <w:r>
              <w:rPr>
                <w:rFonts w:ascii="Times New Roman" w:hAnsi="Times New Roman" w:cs="Times New Roman"/>
                <w:noProof/>
                <w:sz w:val="24"/>
                <w:szCs w:val="24"/>
              </w:rPr>
              <w:t>) To what extent has the UCPM developed synergies with other policy areas and initiatives?</w:t>
            </w:r>
          </w:p>
        </w:tc>
      </w:tr>
      <w:tr w:rsidR="00500553">
        <w:tc>
          <w:tcPr>
            <w:tcW w:w="817" w:type="dxa"/>
          </w:tcPr>
          <w:p w:rsidR="00500553" w:rsidRDefault="00500553">
            <w:pPr>
              <w:pStyle w:val="ListParagraph"/>
              <w:numPr>
                <w:ilvl w:val="0"/>
                <w:numId w:val="26"/>
              </w:numPr>
              <w:spacing w:line="276" w:lineRule="auto"/>
              <w:rPr>
                <w:rFonts w:ascii="Times New Roman" w:hAnsi="Times New Roman" w:cs="Times New Roman"/>
                <w:noProof/>
                <w:sz w:val="24"/>
                <w:szCs w:val="24"/>
              </w:rPr>
            </w:pPr>
          </w:p>
        </w:tc>
        <w:tc>
          <w:tcPr>
            <w:tcW w:w="1843"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EU added value</w:t>
            </w:r>
          </w:p>
        </w:tc>
        <w:tc>
          <w:tcPr>
            <w:tcW w:w="6582"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What results of the intervention could n</w:t>
            </w:r>
            <w:r>
              <w:rPr>
                <w:rFonts w:ascii="Times New Roman" w:hAnsi="Times New Roman" w:cs="Times New Roman"/>
                <w:noProof/>
                <w:sz w:val="24"/>
                <w:szCs w:val="24"/>
              </w:rPr>
              <w:t>ot have been achieved (or would have been less effective/efficient) without coordinated effort at EU level?</w:t>
            </w:r>
          </w:p>
        </w:tc>
      </w:tr>
      <w:tr w:rsidR="00500553">
        <w:tc>
          <w:tcPr>
            <w:tcW w:w="817" w:type="dxa"/>
          </w:tcPr>
          <w:p w:rsidR="00500553" w:rsidRDefault="00500553">
            <w:pPr>
              <w:pStyle w:val="ListParagraph"/>
              <w:numPr>
                <w:ilvl w:val="0"/>
                <w:numId w:val="26"/>
              </w:numPr>
              <w:spacing w:line="276" w:lineRule="auto"/>
              <w:rPr>
                <w:rFonts w:ascii="Times New Roman" w:hAnsi="Times New Roman" w:cs="Times New Roman"/>
                <w:noProof/>
                <w:sz w:val="24"/>
                <w:szCs w:val="24"/>
              </w:rPr>
            </w:pPr>
          </w:p>
        </w:tc>
        <w:tc>
          <w:tcPr>
            <w:tcW w:w="1843"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Sustainability</w:t>
            </w:r>
          </w:p>
        </w:tc>
        <w:tc>
          <w:tcPr>
            <w:tcW w:w="6582" w:type="dxa"/>
          </w:tcPr>
          <w:p w:rsidR="00500553" w:rsidRDefault="00D978F2">
            <w:pPr>
              <w:spacing w:line="276" w:lineRule="auto"/>
              <w:rPr>
                <w:rFonts w:ascii="Times New Roman" w:hAnsi="Times New Roman" w:cs="Times New Roman"/>
                <w:noProof/>
                <w:sz w:val="24"/>
                <w:szCs w:val="24"/>
              </w:rPr>
            </w:pPr>
            <w:r>
              <w:rPr>
                <w:rFonts w:ascii="Times New Roman" w:hAnsi="Times New Roman" w:cs="Times New Roman"/>
                <w:noProof/>
                <w:sz w:val="24"/>
                <w:szCs w:val="24"/>
              </w:rPr>
              <w:t>To what extent are results achieved by the UCPM likely to last beyond the timeframe of the intervention?</w:t>
            </w:r>
          </w:p>
        </w:tc>
      </w:tr>
    </w:tbl>
    <w:p w:rsidR="00500553" w:rsidRDefault="00500553">
      <w:pPr>
        <w:jc w:val="both"/>
        <w:rPr>
          <w:rFonts w:ascii="Times New Roman" w:hAnsi="Times New Roman" w:cs="Times New Roman"/>
          <w:noProof/>
          <w:sz w:val="24"/>
          <w:szCs w:val="24"/>
        </w:rPr>
      </w:pPr>
    </w:p>
    <w:p w:rsidR="00500553" w:rsidRDefault="00D978F2">
      <w:pPr>
        <w:pStyle w:val="Heading1"/>
        <w:spacing w:line="276" w:lineRule="auto"/>
        <w:rPr>
          <w:rFonts w:ascii="Times New Roman" w:hAnsi="Times New Roman" w:cs="Times New Roman"/>
          <w:b w:val="0"/>
          <w:noProof/>
          <w:szCs w:val="24"/>
        </w:rPr>
      </w:pPr>
      <w:bookmarkStart w:id="32" w:name="_Toc485914854"/>
      <w:bookmarkStart w:id="33" w:name="_Toc485915480"/>
      <w:bookmarkStart w:id="34" w:name="_Toc489347864"/>
      <w:bookmarkStart w:id="35" w:name="_Toc489427637"/>
      <w:r>
        <w:rPr>
          <w:rFonts w:ascii="Times New Roman" w:hAnsi="Times New Roman" w:cs="Times New Roman"/>
          <w:noProof/>
          <w:szCs w:val="24"/>
        </w:rPr>
        <w:t>METHOD</w:t>
      </w:r>
      <w:bookmarkEnd w:id="32"/>
      <w:bookmarkEnd w:id="33"/>
      <w:bookmarkEnd w:id="34"/>
      <w:bookmarkEnd w:id="35"/>
    </w:p>
    <w:p w:rsidR="00500553" w:rsidRDefault="00D978F2">
      <w:pPr>
        <w:spacing w:after="24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This Evaluation </w:t>
      </w:r>
      <w:r>
        <w:rPr>
          <w:rFonts w:ascii="Times New Roman" w:hAnsi="Times New Roman" w:cs="Times New Roman"/>
          <w:iCs/>
          <w:noProof/>
          <w:sz w:val="24"/>
          <w:szCs w:val="24"/>
        </w:rPr>
        <w:t>builds on the independent evaluation conducted by an external contractor, as well as certain recent inputs received during discussions with Participating States, including during Civil Protection Committee, Civil Protection Council Working Party, and Direc</w:t>
      </w:r>
      <w:r>
        <w:rPr>
          <w:rFonts w:ascii="Times New Roman" w:hAnsi="Times New Roman" w:cs="Times New Roman"/>
          <w:iCs/>
          <w:noProof/>
          <w:sz w:val="24"/>
          <w:szCs w:val="24"/>
        </w:rPr>
        <w:t>tors-General meetings.</w:t>
      </w:r>
    </w:p>
    <w:p w:rsidR="00500553" w:rsidRDefault="00D978F2">
      <w:pPr>
        <w:spacing w:after="240"/>
        <w:jc w:val="both"/>
        <w:rPr>
          <w:rFonts w:ascii="Times New Roman" w:hAnsi="Times New Roman" w:cs="Times New Roman"/>
          <w:iCs/>
          <w:noProof/>
          <w:sz w:val="24"/>
          <w:szCs w:val="24"/>
        </w:rPr>
      </w:pPr>
      <w:r>
        <w:rPr>
          <w:rFonts w:ascii="Times New Roman" w:hAnsi="Times New Roman" w:cs="Times New Roman"/>
          <w:iCs/>
          <w:noProof/>
          <w:sz w:val="24"/>
          <w:szCs w:val="24"/>
        </w:rPr>
        <w:t>Overall, the design of the external evaluation was satisfactory and used a sound methodological approach. The evaluation relied on a large amount of data collected from reliable sources (agreed with the Commission during the inceptio</w:t>
      </w:r>
      <w:r>
        <w:rPr>
          <w:rFonts w:ascii="Times New Roman" w:hAnsi="Times New Roman" w:cs="Times New Roman"/>
          <w:iCs/>
          <w:noProof/>
          <w:sz w:val="24"/>
          <w:szCs w:val="24"/>
        </w:rPr>
        <w:t>n phase). The combination of evidence provided by different research tools (online surveys/questionnaire, semi-structured interviews, case studies, etc.) was balanced. In addition to civil protection authorities from Participating States, other stakeholder</w:t>
      </w:r>
      <w:r>
        <w:rPr>
          <w:rFonts w:ascii="Times New Roman" w:hAnsi="Times New Roman" w:cs="Times New Roman"/>
          <w:iCs/>
          <w:noProof/>
          <w:sz w:val="24"/>
          <w:szCs w:val="24"/>
        </w:rPr>
        <w:t>s (e.g. other ministries from Participating States, international agencies, EU services, etc.) are well represented, which adds to the credibility of findings.</w:t>
      </w:r>
    </w:p>
    <w:p w:rsidR="00500553" w:rsidRDefault="00D978F2">
      <w:pPr>
        <w:spacing w:after="240"/>
        <w:jc w:val="both"/>
        <w:rPr>
          <w:rFonts w:ascii="Times New Roman" w:hAnsi="Times New Roman" w:cs="Times New Roman"/>
          <w:noProof/>
          <w:sz w:val="24"/>
          <w:szCs w:val="24"/>
        </w:rPr>
      </w:pPr>
      <w:r>
        <w:rPr>
          <w:rFonts w:ascii="Times New Roman" w:hAnsi="Times New Roman" w:cs="Times New Roman"/>
          <w:noProof/>
          <w:sz w:val="24"/>
          <w:szCs w:val="24"/>
        </w:rPr>
        <w:t>Generally, the external evaluation is in line with what was foreseen in the Roadmap. The evaluat</w:t>
      </w:r>
      <w:r>
        <w:rPr>
          <w:rFonts w:ascii="Times New Roman" w:hAnsi="Times New Roman" w:cs="Times New Roman"/>
          <w:noProof/>
          <w:sz w:val="24"/>
          <w:szCs w:val="24"/>
        </w:rPr>
        <w:t>or has followed the guidelines provided in the Terms of Reference (ToR), which were adopted by the Inter-service Steering Group (ISG), as indicated in the Roadmap</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w:t>
      </w:r>
    </w:p>
    <w:p w:rsidR="00500553" w:rsidRDefault="00D978F2">
      <w:pPr>
        <w:spacing w:before="60" w:after="60"/>
        <w:jc w:val="both"/>
        <w:rPr>
          <w:rFonts w:ascii="Times New Roman" w:hAnsi="Times New Roman" w:cs="Times New Roman"/>
          <w:noProof/>
          <w:sz w:val="24"/>
          <w:szCs w:val="24"/>
        </w:rPr>
      </w:pPr>
      <w:r>
        <w:rPr>
          <w:rFonts w:ascii="Times New Roman" w:hAnsi="Times New Roman" w:cs="Times New Roman"/>
          <w:iCs/>
          <w:noProof/>
          <w:sz w:val="24"/>
          <w:szCs w:val="24"/>
        </w:rPr>
        <w:t>The external evaluation was carried out between September 2016 and June 2017 and took accou</w:t>
      </w:r>
      <w:r>
        <w:rPr>
          <w:rFonts w:ascii="Times New Roman" w:hAnsi="Times New Roman" w:cs="Times New Roman"/>
          <w:iCs/>
          <w:noProof/>
          <w:sz w:val="24"/>
          <w:szCs w:val="24"/>
        </w:rPr>
        <w:t>nt of the inputs received from the Open Public Consultation (OPC)</w:t>
      </w:r>
      <w:r>
        <w:rPr>
          <w:rStyle w:val="FootnoteReference"/>
          <w:rFonts w:ascii="Times New Roman" w:hAnsi="Times New Roman" w:cs="Times New Roman"/>
          <w:iCs/>
          <w:noProof/>
          <w:sz w:val="24"/>
          <w:szCs w:val="24"/>
        </w:rPr>
        <w:footnoteReference w:id="21"/>
      </w:r>
      <w:r>
        <w:rPr>
          <w:rFonts w:ascii="Times New Roman" w:hAnsi="Times New Roman" w:cs="Times New Roman"/>
          <w:iCs/>
          <w:noProof/>
          <w:sz w:val="24"/>
          <w:szCs w:val="24"/>
        </w:rPr>
        <w:t xml:space="preserve">. The </w:t>
      </w:r>
      <w:r>
        <w:rPr>
          <w:rFonts w:ascii="Times New Roman" w:hAnsi="Times New Roman" w:cs="Times New Roman"/>
          <w:noProof/>
          <w:sz w:val="24"/>
          <w:szCs w:val="24"/>
        </w:rPr>
        <w:t>European Court of Auditors (ECA) special report on the UCPM</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and the Commission's Report on progress made and gaps remaining in the EERC</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have also provided useful evidence to some areas of this Evaluation. </w:t>
      </w:r>
    </w:p>
    <w:p w:rsidR="00500553" w:rsidRDefault="00D978F2">
      <w:pPr>
        <w:spacing w:before="60" w:after="60"/>
        <w:jc w:val="both"/>
        <w:rPr>
          <w:rFonts w:ascii="Times New Roman" w:hAnsi="Times New Roman" w:cs="Times New Roman"/>
          <w:iCs/>
          <w:noProof/>
          <w:sz w:val="24"/>
          <w:szCs w:val="24"/>
        </w:rPr>
      </w:pPr>
      <w:r>
        <w:rPr>
          <w:rFonts w:ascii="Times New Roman" w:hAnsi="Times New Roman" w:cs="Times New Roman"/>
          <w:noProof/>
          <w:sz w:val="24"/>
          <w:szCs w:val="24"/>
        </w:rPr>
        <w:t xml:space="preserve">The external evaluation </w:t>
      </w:r>
      <w:r>
        <w:rPr>
          <w:rFonts w:ascii="Times New Roman" w:hAnsi="Times New Roman" w:cs="Times New Roman"/>
          <w:iCs/>
          <w:noProof/>
          <w:sz w:val="24"/>
          <w:szCs w:val="24"/>
        </w:rPr>
        <w:t>consisted of three phases (see figure 1):</w:t>
      </w:r>
    </w:p>
    <w:p w:rsidR="00500553" w:rsidRDefault="00D978F2">
      <w:pPr>
        <w:pStyle w:val="ListParagraph"/>
        <w:numPr>
          <w:ilvl w:val="0"/>
          <w:numId w:val="41"/>
        </w:numPr>
        <w:spacing w:before="60" w:after="60"/>
        <w:jc w:val="both"/>
        <w:rPr>
          <w:rFonts w:ascii="Times New Roman" w:hAnsi="Times New Roman" w:cs="Times New Roman"/>
          <w:iCs/>
          <w:noProof/>
          <w:sz w:val="24"/>
          <w:szCs w:val="24"/>
        </w:rPr>
      </w:pPr>
      <w:r>
        <w:rPr>
          <w:rFonts w:ascii="Times New Roman" w:hAnsi="Times New Roman" w:cs="Times New Roman"/>
          <w:i/>
          <w:iCs/>
          <w:noProof/>
          <w:sz w:val="24"/>
          <w:szCs w:val="24"/>
        </w:rPr>
        <w:t>inception</w:t>
      </w:r>
      <w:r>
        <w:rPr>
          <w:rFonts w:ascii="Times New Roman" w:hAnsi="Times New Roman" w:cs="Times New Roman"/>
          <w:iCs/>
          <w:noProof/>
          <w:sz w:val="24"/>
          <w:szCs w:val="24"/>
        </w:rPr>
        <w:t>, including a desk review of UCPM activities, scoping interviews with desk officers and conception of research</w:t>
      </w:r>
      <w:r>
        <w:rPr>
          <w:rFonts w:ascii="Times New Roman" w:hAnsi="Times New Roman" w:cs="Times New Roman"/>
          <w:iCs/>
          <w:noProof/>
          <w:sz w:val="24"/>
          <w:szCs w:val="24"/>
        </w:rPr>
        <w:t xml:space="preserve"> tools;</w:t>
      </w:r>
    </w:p>
    <w:p w:rsidR="00500553" w:rsidRDefault="00D978F2">
      <w:pPr>
        <w:pStyle w:val="ListParagraph"/>
        <w:numPr>
          <w:ilvl w:val="0"/>
          <w:numId w:val="41"/>
        </w:numPr>
        <w:spacing w:before="60" w:after="60"/>
        <w:jc w:val="both"/>
        <w:rPr>
          <w:rFonts w:ascii="Times New Roman" w:hAnsi="Times New Roman" w:cs="Times New Roman"/>
          <w:iCs/>
          <w:noProof/>
          <w:sz w:val="24"/>
          <w:szCs w:val="24"/>
        </w:rPr>
      </w:pPr>
      <w:r>
        <w:rPr>
          <w:rFonts w:ascii="Times New Roman" w:hAnsi="Times New Roman" w:cs="Times New Roman"/>
          <w:i/>
          <w:iCs/>
          <w:noProof/>
          <w:sz w:val="24"/>
          <w:szCs w:val="24"/>
        </w:rPr>
        <w:t xml:space="preserve"> research,</w:t>
      </w:r>
      <w:r>
        <w:rPr>
          <w:rFonts w:ascii="Times New Roman" w:hAnsi="Times New Roman" w:cs="Times New Roman"/>
          <w:iCs/>
          <w:noProof/>
          <w:sz w:val="24"/>
          <w:szCs w:val="24"/>
        </w:rPr>
        <w:t xml:space="preserve"> during which a </w:t>
      </w:r>
      <w:r>
        <w:rPr>
          <w:rFonts w:ascii="Times New Roman" w:hAnsi="Times New Roman" w:cs="Times New Roman"/>
          <w:noProof/>
          <w:sz w:val="24"/>
          <w:szCs w:val="24"/>
        </w:rPr>
        <w:t>targeted consultation reached out to all the main stakeholders of the UCPM</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through online surveys, face-to-face and telephone interviews</w:t>
      </w:r>
      <w:r>
        <w:rPr>
          <w:rFonts w:ascii="Times New Roman" w:hAnsi="Times New Roman" w:cs="Times New Roman"/>
          <w:iCs/>
          <w:noProof/>
          <w:sz w:val="24"/>
          <w:szCs w:val="24"/>
        </w:rPr>
        <w:t>;</w:t>
      </w:r>
      <w:r>
        <w:rPr>
          <w:rFonts w:ascii="Times New Roman" w:hAnsi="Times New Roman" w:cs="Times New Roman"/>
          <w:noProof/>
          <w:sz w:val="24"/>
          <w:szCs w:val="24"/>
        </w:rPr>
        <w:t xml:space="preserve"> three case studies (Cyprus Forest Fire response; Estonia Module Exercise (ModEx); B</w:t>
      </w:r>
      <w:r>
        <w:rPr>
          <w:rFonts w:ascii="Times New Roman" w:hAnsi="Times New Roman" w:cs="Times New Roman"/>
          <w:noProof/>
          <w:sz w:val="24"/>
          <w:szCs w:val="24"/>
        </w:rPr>
        <w:t>alkan route migration response) were conducted.</w:t>
      </w:r>
    </w:p>
    <w:p w:rsidR="00500553" w:rsidRDefault="00D978F2">
      <w:pPr>
        <w:pStyle w:val="ListParagraph"/>
        <w:numPr>
          <w:ilvl w:val="0"/>
          <w:numId w:val="41"/>
        </w:numPr>
        <w:spacing w:before="60" w:after="60"/>
        <w:jc w:val="both"/>
        <w:rPr>
          <w:rFonts w:ascii="Times New Roman" w:hAnsi="Times New Roman" w:cs="Times New Roman"/>
          <w:iCs/>
          <w:noProof/>
          <w:sz w:val="24"/>
          <w:szCs w:val="24"/>
        </w:rPr>
      </w:pPr>
      <w:r>
        <w:rPr>
          <w:rFonts w:ascii="Times New Roman" w:hAnsi="Times New Roman" w:cs="Times New Roman"/>
          <w:i/>
          <w:iCs/>
          <w:noProof/>
          <w:sz w:val="24"/>
          <w:szCs w:val="24"/>
        </w:rPr>
        <w:t xml:space="preserve"> analysis and synthesis,</w:t>
      </w:r>
      <w:r>
        <w:rPr>
          <w:rFonts w:ascii="Times New Roman" w:hAnsi="Times New Roman" w:cs="Times New Roman"/>
          <w:iCs/>
          <w:noProof/>
          <w:sz w:val="24"/>
          <w:szCs w:val="24"/>
        </w:rPr>
        <w:t xml:space="preserve"> including analysis of UCPM performance, data triangulation, elaboration of conclusions and recommendations, and drafting an external Evaluation Report.</w:t>
      </w:r>
    </w:p>
    <w:p w:rsidR="00500553" w:rsidRDefault="00D978F2">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 xml:space="preserve">The above-mentioned OPC was </w:t>
      </w:r>
      <w:r>
        <w:rPr>
          <w:rFonts w:ascii="Times New Roman" w:hAnsi="Times New Roman" w:cs="Times New Roman"/>
          <w:noProof/>
          <w:sz w:val="24"/>
          <w:szCs w:val="24"/>
        </w:rPr>
        <w:t>carried out online for three months (November 2016 – February 2017), with some 130 responders from all over Europe providing feedback on the UCPM. The report on the outcome of the OPC was published at the end of March 2017</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rsidR="00500553" w:rsidRDefault="00D978F2">
      <w:pPr>
        <w:pStyle w:val="Caption"/>
        <w:keepNext/>
        <w:spacing w:line="276" w:lineRule="auto"/>
        <w:jc w:val="both"/>
        <w:rPr>
          <w:rFonts w:ascii="Times New Roman" w:hAnsi="Times New Roman" w:cs="Times New Roman"/>
          <w:noProof/>
          <w:sz w:val="20"/>
          <w:szCs w:val="22"/>
        </w:rPr>
      </w:pPr>
      <w:r>
        <w:rPr>
          <w:rFonts w:ascii="Times New Roman" w:hAnsi="Times New Roman" w:cs="Times New Roman"/>
          <w:noProof/>
          <w:sz w:val="20"/>
          <w:szCs w:val="22"/>
        </w:rPr>
        <w:t xml:space="preserve">Figure </w:t>
      </w:r>
      <w:r>
        <w:rPr>
          <w:rFonts w:ascii="Times New Roman" w:hAnsi="Times New Roman" w:cs="Times New Roman"/>
          <w:noProof/>
          <w:sz w:val="20"/>
          <w:szCs w:val="22"/>
        </w:rPr>
        <w:fldChar w:fldCharType="begin"/>
      </w:r>
      <w:r>
        <w:rPr>
          <w:rFonts w:ascii="Times New Roman" w:hAnsi="Times New Roman" w:cs="Times New Roman"/>
          <w:noProof/>
          <w:sz w:val="20"/>
          <w:szCs w:val="22"/>
        </w:rPr>
        <w:instrText xml:space="preserve"> SEQ Figure \* ARABIC </w:instrText>
      </w:r>
      <w:r>
        <w:rPr>
          <w:rFonts w:ascii="Times New Roman" w:hAnsi="Times New Roman" w:cs="Times New Roman"/>
          <w:noProof/>
          <w:sz w:val="20"/>
          <w:szCs w:val="22"/>
        </w:rPr>
        <w:fldChar w:fldCharType="separate"/>
      </w:r>
      <w:r>
        <w:rPr>
          <w:rFonts w:ascii="Times New Roman" w:hAnsi="Times New Roman" w:cs="Times New Roman"/>
          <w:noProof/>
          <w:sz w:val="20"/>
          <w:szCs w:val="22"/>
        </w:rPr>
        <w:t>1</w:t>
      </w:r>
      <w:r>
        <w:rPr>
          <w:rFonts w:ascii="Times New Roman" w:hAnsi="Times New Roman" w:cs="Times New Roman"/>
          <w:noProof/>
          <w:sz w:val="20"/>
          <w:szCs w:val="22"/>
        </w:rPr>
        <w:fldChar w:fldCharType="end"/>
      </w:r>
      <w:r>
        <w:rPr>
          <w:rFonts w:ascii="Times New Roman" w:hAnsi="Times New Roman" w:cs="Times New Roman"/>
          <w:noProof/>
          <w:sz w:val="20"/>
          <w:szCs w:val="22"/>
        </w:rPr>
        <w:t>: Overview of the external evaluation process</w:t>
      </w:r>
    </w:p>
    <w:p w:rsidR="00500553" w:rsidRDefault="00D978F2">
      <w:pPr>
        <w:spacing w:before="60" w:after="6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60720" cy="4340225"/>
            <wp:effectExtent l="19050" t="19050" r="11430" b="222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 4.0.png"/>
                    <pic:cNvPicPr/>
                  </pic:nvPicPr>
                  <pic:blipFill>
                    <a:blip r:embed="rId28">
                      <a:extLst>
                        <a:ext uri="{28A0092B-C50C-407E-A947-70E740481C1C}">
                          <a14:useLocalDpi xmlns:a14="http://schemas.microsoft.com/office/drawing/2010/main" val="0"/>
                        </a:ext>
                      </a:extLst>
                    </a:blip>
                    <a:stretch>
                      <a:fillRect/>
                    </a:stretch>
                  </pic:blipFill>
                  <pic:spPr>
                    <a:xfrm>
                      <a:off x="0" y="0"/>
                      <a:ext cx="5760720" cy="4340225"/>
                    </a:xfrm>
                    <a:prstGeom prst="rect">
                      <a:avLst/>
                    </a:prstGeom>
                    <a:ln w="12700">
                      <a:solidFill>
                        <a:schemeClr val="tx2"/>
                      </a:solidFill>
                    </a:ln>
                  </pic:spPr>
                </pic:pic>
              </a:graphicData>
            </a:graphic>
          </wp:inline>
        </w:drawing>
      </w:r>
    </w:p>
    <w:p w:rsidR="00500553" w:rsidRDefault="00500553">
      <w:pPr>
        <w:jc w:val="both"/>
        <w:rPr>
          <w:rFonts w:ascii="Times New Roman" w:hAnsi="Times New Roman" w:cs="Times New Roman"/>
          <w:noProof/>
          <w:sz w:val="24"/>
          <w:szCs w:val="24"/>
        </w:rPr>
      </w:pP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However, two methodological limitations should be noted:</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Pr>
          <w:rFonts w:ascii="Times New Roman" w:hAnsi="Times New Roman" w:cs="Times New Roman"/>
          <w:noProof/>
          <w:sz w:val="24"/>
          <w:szCs w:val="24"/>
          <w:u w:val="single"/>
        </w:rPr>
        <w:t>The current UCPM monitoring system does not systematically capture quantitative data of performance</w:t>
      </w:r>
      <w:r>
        <w:rPr>
          <w:rFonts w:ascii="Times New Roman" w:hAnsi="Times New Roman" w:cs="Times New Roman"/>
          <w:noProof/>
          <w:sz w:val="24"/>
          <w:szCs w:val="24"/>
        </w:rPr>
        <w:t xml:space="preserve">. As already highlighted by the recent ECA </w:t>
      </w:r>
      <w:r>
        <w:rPr>
          <w:rFonts w:ascii="Times New Roman" w:hAnsi="Times New Roman" w:cs="Times New Roman"/>
          <w:noProof/>
          <w:sz w:val="24"/>
          <w:szCs w:val="24"/>
        </w:rPr>
        <w:t>audit, the lack of robust indicators (e.g. baseline and target values) systematically monitored by the UCPM partly hindered the collection of evidence needed to formulate more definitive findings.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(ii) </w:t>
      </w:r>
      <w:r>
        <w:rPr>
          <w:rFonts w:ascii="Times New Roman" w:hAnsi="Times New Roman" w:cs="Times New Roman"/>
          <w:noProof/>
          <w:sz w:val="24"/>
          <w:szCs w:val="24"/>
          <w:u w:val="single"/>
        </w:rPr>
        <w:t>Limited statistical base of the external evaluation.</w:t>
      </w:r>
      <w:r>
        <w:rPr>
          <w:rFonts w:ascii="Times New Roman" w:hAnsi="Times New Roman" w:cs="Times New Roman"/>
          <w:noProof/>
          <w:sz w:val="24"/>
          <w:szCs w:val="24"/>
        </w:rPr>
        <w:t xml:space="preserve"> M</w:t>
      </w:r>
      <w:r>
        <w:rPr>
          <w:rFonts w:ascii="Times New Roman" w:hAnsi="Times New Roman" w:cs="Times New Roman"/>
          <w:noProof/>
          <w:sz w:val="24"/>
          <w:szCs w:val="24"/>
        </w:rPr>
        <w:t xml:space="preserve">ost of the data gathered by the contractor during the Evaluation timeframe are of qualitative nature and they refer to "perceptions" of stakeholders on the UCPM performance. While consultations have been extensive across all the stakeholders, the external </w:t>
      </w:r>
      <w:r>
        <w:rPr>
          <w:rFonts w:ascii="Times New Roman" w:hAnsi="Times New Roman" w:cs="Times New Roman"/>
          <w:noProof/>
          <w:sz w:val="24"/>
          <w:szCs w:val="24"/>
        </w:rPr>
        <w:t>evaluation did not manage to introduce and monitor additional indicators to fill this gap.</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To mitigate the shortage of quantitative data monitored by the UCPM, the contractor was encouraged to collect primary data and carry out quick analyses for a sample </w:t>
      </w:r>
      <w:r>
        <w:rPr>
          <w:rFonts w:ascii="Times New Roman" w:hAnsi="Times New Roman" w:cs="Times New Roman"/>
          <w:noProof/>
          <w:sz w:val="24"/>
          <w:szCs w:val="24"/>
        </w:rPr>
        <w:t>of activities (e.g. comparing timeframes of different response operations, cost analysis for forest fire fighting missions). While the statistic sample is too limited to draw any solid conclusion, these analyses point to a number of monitoring gaps which s</w:t>
      </w:r>
      <w:r>
        <w:rPr>
          <w:rFonts w:ascii="Times New Roman" w:hAnsi="Times New Roman" w:cs="Times New Roman"/>
          <w:noProof/>
          <w:sz w:val="24"/>
          <w:szCs w:val="24"/>
        </w:rPr>
        <w:t>hould be addressed in the second half of the UCPM implementation. Where the contractor failed to provide sufficient indicators/data, the Commission integrated the evidence obtained via alternative channels, such as bilateral meetings with Member States and</w:t>
      </w:r>
      <w:r>
        <w:rPr>
          <w:rFonts w:ascii="Times New Roman" w:hAnsi="Times New Roman" w:cs="Times New Roman"/>
          <w:noProof/>
          <w:sz w:val="24"/>
          <w:szCs w:val="24"/>
        </w:rPr>
        <w:t xml:space="preserve"> operational lessons learned (e.g. feedback from module exercises, training programme, etc.).</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Within the limits of data and analysis, the conclusions in this document are well balanced, follow logically from the findings and are linkable to facts and data.</w:t>
      </w:r>
    </w:p>
    <w:p w:rsidR="00500553" w:rsidRDefault="00D978F2">
      <w:pPr>
        <w:pStyle w:val="Heading1"/>
        <w:spacing w:line="276" w:lineRule="auto"/>
        <w:rPr>
          <w:rFonts w:ascii="Times New Roman" w:hAnsi="Times New Roman" w:cs="Times New Roman"/>
          <w:b w:val="0"/>
          <w:noProof/>
          <w:szCs w:val="24"/>
        </w:rPr>
      </w:pPr>
      <w:bookmarkStart w:id="36" w:name="_Toc485914855"/>
      <w:bookmarkStart w:id="37" w:name="_Toc485915481"/>
      <w:bookmarkStart w:id="38" w:name="_Toc489347865"/>
      <w:bookmarkStart w:id="39" w:name="_Toc489427638"/>
      <w:r>
        <w:rPr>
          <w:rFonts w:ascii="Times New Roman" w:hAnsi="Times New Roman" w:cs="Times New Roman"/>
          <w:noProof/>
          <w:szCs w:val="24"/>
        </w:rPr>
        <w:t>IMPLEMENTATION STATE OF PLAY</w:t>
      </w:r>
      <w:bookmarkEnd w:id="36"/>
      <w:bookmarkEnd w:id="37"/>
      <w:bookmarkEnd w:id="38"/>
      <w:bookmarkEnd w:id="39"/>
    </w:p>
    <w:p w:rsidR="00500553" w:rsidRDefault="00D978F2">
      <w:pPr>
        <w:jc w:val="both"/>
        <w:rPr>
          <w:rFonts w:ascii="Times New Roman" w:hAnsi="Times New Roman" w:cs="Times New Roman"/>
          <w:i/>
          <w:noProof/>
          <w:sz w:val="24"/>
          <w:szCs w:val="24"/>
        </w:rPr>
      </w:pPr>
      <w:r>
        <w:rPr>
          <w:rFonts w:ascii="Times New Roman" w:hAnsi="Times New Roman" w:cs="Times New Roman"/>
          <w:noProof/>
          <w:sz w:val="24"/>
          <w:szCs w:val="24"/>
        </w:rPr>
        <w:t>Financial data shows that nearly EUR 131 million was allocated to the UCPM over 2014-2016. The UCPM budget components are presented in table 1 below.</w:t>
      </w:r>
      <w:bookmarkStart w:id="40" w:name="_Ref479262565"/>
    </w:p>
    <w:bookmarkEnd w:id="40"/>
    <w:p w:rsidR="00500553" w:rsidRDefault="00D978F2">
      <w:pPr>
        <w:pStyle w:val="NoSpacing"/>
        <w:jc w:val="both"/>
        <w:rPr>
          <w:rFonts w:ascii="Times New Roman" w:hAnsi="Times New Roman" w:cs="Times New Roman"/>
          <w:b/>
          <w:noProof/>
          <w:color w:val="4F81BD" w:themeColor="accent1"/>
          <w:sz w:val="20"/>
        </w:rPr>
      </w:pPr>
      <w:r>
        <w:rPr>
          <w:rFonts w:ascii="Times New Roman" w:hAnsi="Times New Roman" w:cs="Times New Roman"/>
          <w:b/>
          <w:noProof/>
          <w:color w:val="4F81BD" w:themeColor="accent1"/>
          <w:sz w:val="20"/>
        </w:rPr>
        <w:t xml:space="preserve">Table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Table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1</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Budget allocated for the UCPM 2014-2016 (mi</w:t>
      </w:r>
      <w:r>
        <w:rPr>
          <w:rFonts w:ascii="Times New Roman" w:hAnsi="Times New Roman" w:cs="Times New Roman"/>
          <w:b/>
          <w:noProof/>
          <w:color w:val="4F81BD" w:themeColor="accent1"/>
          <w:sz w:val="20"/>
        </w:rPr>
        <w:t>llion EUR)</w:t>
      </w:r>
    </w:p>
    <w:p w:rsidR="00500553" w:rsidRDefault="00D978F2">
      <w:pPr>
        <w:pStyle w:val="NoSpacing"/>
        <w:ind w:firstLine="720"/>
        <w:rPr>
          <w:rFonts w:ascii="Times New Roman" w:hAnsi="Times New Roman" w:cs="Times New Roman"/>
          <w:i/>
          <w:noProof/>
          <w:color w:val="4F81BD" w:themeColor="accent1"/>
          <w:sz w:val="20"/>
        </w:rPr>
      </w:pPr>
      <w:r>
        <w:rPr>
          <w:rFonts w:ascii="Times New Roman" w:hAnsi="Times New Roman" w:cs="Times New Roman"/>
          <w:i/>
          <w:noProof/>
          <w:color w:val="4F81BD" w:themeColor="accent1"/>
          <w:sz w:val="20"/>
        </w:rPr>
        <w:t>Source: DG ECHO</w:t>
      </w:r>
    </w:p>
    <w:tbl>
      <w:tblPr>
        <w:tblW w:w="9672"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6237"/>
        <w:gridCol w:w="1134"/>
        <w:gridCol w:w="1276"/>
        <w:gridCol w:w="1025"/>
      </w:tblGrid>
      <w:tr w:rsidR="00500553">
        <w:trPr>
          <w:trHeight w:val="320"/>
          <w:tblHeader/>
        </w:trPr>
        <w:tc>
          <w:tcPr>
            <w:tcW w:w="6237" w:type="dxa"/>
            <w:shd w:val="solid" w:color="002395" w:fill="002395"/>
          </w:tcPr>
          <w:p w:rsidR="00500553" w:rsidRDefault="00D978F2">
            <w:pPr>
              <w:pStyle w:val="TableHead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Budget line</w:t>
            </w:r>
          </w:p>
        </w:tc>
        <w:tc>
          <w:tcPr>
            <w:tcW w:w="1134" w:type="dxa"/>
            <w:shd w:val="solid" w:color="002395" w:fill="002395"/>
          </w:tcPr>
          <w:p w:rsidR="00500553" w:rsidRDefault="00D978F2">
            <w:pPr>
              <w:pStyle w:val="TableHead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2014</w:t>
            </w:r>
          </w:p>
        </w:tc>
        <w:tc>
          <w:tcPr>
            <w:tcW w:w="1276" w:type="dxa"/>
            <w:shd w:val="solid" w:color="002395" w:fill="002395"/>
          </w:tcPr>
          <w:p w:rsidR="00500553" w:rsidRDefault="00D978F2">
            <w:pPr>
              <w:pStyle w:val="TableHead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2015</w:t>
            </w:r>
          </w:p>
        </w:tc>
        <w:tc>
          <w:tcPr>
            <w:tcW w:w="1025" w:type="dxa"/>
            <w:shd w:val="solid" w:color="002395" w:fill="002395"/>
          </w:tcPr>
          <w:p w:rsidR="00500553" w:rsidRDefault="00D978F2">
            <w:pPr>
              <w:pStyle w:val="TableHead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2016</w:t>
            </w:r>
          </w:p>
        </w:tc>
      </w:tr>
      <w:tr w:rsidR="00500553">
        <w:trPr>
          <w:trHeight w:val="528"/>
        </w:trPr>
        <w:tc>
          <w:tcPr>
            <w:tcW w:w="6237" w:type="dxa"/>
            <w:shd w:val="solid" w:color="F2F2F2" w:fill="F2F2F2"/>
          </w:tcPr>
          <w:p w:rsidR="00500553" w:rsidRDefault="00D978F2">
            <w:pPr>
              <w:pStyle w:val="TableText"/>
              <w:spacing w:line="276" w:lineRule="auto"/>
              <w:rPr>
                <w:rFonts w:ascii="Times New Roman" w:hAnsi="Times New Roman" w:cs="Times New Roman"/>
                <w:noProof/>
                <w:sz w:val="24"/>
                <w:szCs w:val="24"/>
              </w:rPr>
            </w:pPr>
            <w:r>
              <w:rPr>
                <w:rFonts w:ascii="Times New Roman" w:hAnsi="Times New Roman" w:cs="Times New Roman"/>
                <w:noProof/>
                <w:sz w:val="24"/>
                <w:szCs w:val="24"/>
              </w:rPr>
              <w:t>EUR 23030101 - prevention and preparedness - Inside the EU</w:t>
            </w:r>
          </w:p>
        </w:tc>
        <w:tc>
          <w:tcPr>
            <w:tcW w:w="1134"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27.6 </w:t>
            </w:r>
          </w:p>
        </w:tc>
        <w:tc>
          <w:tcPr>
            <w:tcW w:w="1276"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29.1</w:t>
            </w:r>
          </w:p>
        </w:tc>
        <w:tc>
          <w:tcPr>
            <w:tcW w:w="1025"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28.0 </w:t>
            </w:r>
          </w:p>
        </w:tc>
      </w:tr>
      <w:tr w:rsidR="00500553">
        <w:trPr>
          <w:trHeight w:val="745"/>
        </w:trPr>
        <w:tc>
          <w:tcPr>
            <w:tcW w:w="6237" w:type="dxa"/>
            <w:shd w:val="solid" w:color="F2F2F2" w:fill="F2F2F2"/>
          </w:tcPr>
          <w:p w:rsidR="00500553" w:rsidRDefault="00D978F2">
            <w:pPr>
              <w:pStyle w:val="TableText"/>
              <w:spacing w:line="276" w:lineRule="auto"/>
              <w:rPr>
                <w:rFonts w:ascii="Times New Roman" w:hAnsi="Times New Roman" w:cs="Times New Roman"/>
                <w:noProof/>
                <w:sz w:val="24"/>
                <w:szCs w:val="24"/>
              </w:rPr>
            </w:pPr>
            <w:r>
              <w:rPr>
                <w:rFonts w:ascii="Times New Roman" w:hAnsi="Times New Roman" w:cs="Times New Roman"/>
                <w:noProof/>
                <w:sz w:val="24"/>
                <w:szCs w:val="24"/>
              </w:rPr>
              <w:t>EUR 23030102 - prevention and preparedness - Third countries (outside the EU)</w:t>
            </w:r>
          </w:p>
        </w:tc>
        <w:tc>
          <w:tcPr>
            <w:tcW w:w="1134"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4.0</w:t>
            </w:r>
          </w:p>
        </w:tc>
        <w:tc>
          <w:tcPr>
            <w:tcW w:w="1276"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5.5 </w:t>
            </w:r>
          </w:p>
        </w:tc>
        <w:tc>
          <w:tcPr>
            <w:tcW w:w="1025"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5.6</w:t>
            </w:r>
          </w:p>
        </w:tc>
      </w:tr>
      <w:tr w:rsidR="00500553">
        <w:trPr>
          <w:trHeight w:val="320"/>
        </w:trPr>
        <w:tc>
          <w:tcPr>
            <w:tcW w:w="6237"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 23030201 - response inside </w:t>
            </w:r>
            <w:r>
              <w:rPr>
                <w:rFonts w:ascii="Times New Roman" w:hAnsi="Times New Roman" w:cs="Times New Roman"/>
                <w:noProof/>
                <w:sz w:val="24"/>
                <w:szCs w:val="24"/>
              </w:rPr>
              <w:t>the EU</w:t>
            </w:r>
          </w:p>
        </w:tc>
        <w:tc>
          <w:tcPr>
            <w:tcW w:w="1134"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1.1</w:t>
            </w:r>
          </w:p>
        </w:tc>
        <w:tc>
          <w:tcPr>
            <w:tcW w:w="1276"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0.7</w:t>
            </w:r>
          </w:p>
        </w:tc>
        <w:tc>
          <w:tcPr>
            <w:tcW w:w="1025"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2.5</w:t>
            </w:r>
          </w:p>
        </w:tc>
      </w:tr>
      <w:tr w:rsidR="00500553">
        <w:trPr>
          <w:trHeight w:val="320"/>
        </w:trPr>
        <w:tc>
          <w:tcPr>
            <w:tcW w:w="6237"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EUR 23030202 - response outside the EU</w:t>
            </w:r>
          </w:p>
        </w:tc>
        <w:tc>
          <w:tcPr>
            <w:tcW w:w="1134"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11.1 </w:t>
            </w:r>
          </w:p>
        </w:tc>
        <w:tc>
          <w:tcPr>
            <w:tcW w:w="1276"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13.6 </w:t>
            </w:r>
          </w:p>
        </w:tc>
        <w:tc>
          <w:tcPr>
            <w:tcW w:w="1025" w:type="dxa"/>
            <w:shd w:val="solid" w:color="F2F2F2" w:fill="F2F2F2"/>
          </w:tcPr>
          <w:p w:rsidR="00500553" w:rsidRDefault="00D978F2">
            <w:pPr>
              <w:pStyle w:val="Table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3.09</w:t>
            </w:r>
          </w:p>
        </w:tc>
      </w:tr>
      <w:tr w:rsidR="00500553">
        <w:trPr>
          <w:trHeight w:val="320"/>
        </w:trPr>
        <w:tc>
          <w:tcPr>
            <w:tcW w:w="6237" w:type="dxa"/>
            <w:shd w:val="solid" w:color="F2F2F2" w:fill="F2F2F2"/>
          </w:tcPr>
          <w:p w:rsidR="00500553" w:rsidRDefault="00D978F2">
            <w:pPr>
              <w:pStyle w:val="Table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Total</w:t>
            </w:r>
          </w:p>
        </w:tc>
        <w:tc>
          <w:tcPr>
            <w:tcW w:w="1134" w:type="dxa"/>
            <w:shd w:val="solid" w:color="F2F2F2" w:fill="F2F2F2"/>
          </w:tcPr>
          <w:p w:rsidR="00500553" w:rsidRDefault="00D978F2">
            <w:pPr>
              <w:pStyle w:val="Table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43.8</w:t>
            </w:r>
          </w:p>
        </w:tc>
        <w:tc>
          <w:tcPr>
            <w:tcW w:w="1276" w:type="dxa"/>
            <w:shd w:val="solid" w:color="F2F2F2" w:fill="F2F2F2"/>
          </w:tcPr>
          <w:p w:rsidR="00500553" w:rsidRDefault="00D978F2">
            <w:pPr>
              <w:pStyle w:val="Table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49.09 </w:t>
            </w:r>
          </w:p>
        </w:tc>
        <w:tc>
          <w:tcPr>
            <w:tcW w:w="1025" w:type="dxa"/>
            <w:shd w:val="solid" w:color="F2F2F2" w:fill="F2F2F2"/>
          </w:tcPr>
          <w:p w:rsidR="00500553" w:rsidRDefault="00D978F2">
            <w:pPr>
              <w:pStyle w:val="Table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38.9</w:t>
            </w:r>
          </w:p>
        </w:tc>
      </w:tr>
    </w:tbl>
    <w:p w:rsidR="00500553" w:rsidRDefault="00500553">
      <w:pPr>
        <w:jc w:val="both"/>
        <w:rPr>
          <w:rFonts w:ascii="Times New Roman" w:hAnsi="Times New Roman" w:cs="Times New Roman"/>
          <w:noProof/>
          <w:sz w:val="24"/>
          <w:szCs w:val="24"/>
        </w:rPr>
      </w:pP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evaluators compared the average annual allocation by activity during the periods of 2007-2013 and 2014-2016. Whilst a direct comparison is difficult </w:t>
      </w:r>
      <w:r>
        <w:rPr>
          <w:rFonts w:ascii="Times New Roman" w:hAnsi="Times New Roman" w:cs="Times New Roman"/>
          <w:noProof/>
          <w:sz w:val="24"/>
          <w:szCs w:val="24"/>
        </w:rPr>
        <w:t>between the years due to differences in budget structures, this analysis gives a rough overview of the shift in priorities for the Mechanism over different periods.</w:t>
      </w:r>
    </w:p>
    <w:p w:rsidR="00500553" w:rsidRDefault="00D978F2">
      <w:pPr>
        <w:pStyle w:val="Caption"/>
        <w:keepNext/>
        <w:spacing w:line="276" w:lineRule="auto"/>
        <w:jc w:val="both"/>
        <w:rPr>
          <w:rFonts w:ascii="Times New Roman" w:hAnsi="Times New Roman" w:cs="Times New Roman"/>
          <w:noProof/>
          <w:sz w:val="20"/>
          <w:szCs w:val="24"/>
        </w:rPr>
      </w:pPr>
      <w:r>
        <w:rPr>
          <w:rFonts w:ascii="Times New Roman" w:hAnsi="Times New Roman" w:cs="Times New Roman"/>
          <w:noProof/>
          <w:sz w:val="20"/>
          <w:szCs w:val="24"/>
        </w:rPr>
        <w:t xml:space="preserve">Table </w:t>
      </w:r>
      <w:r>
        <w:rPr>
          <w:rFonts w:ascii="Times New Roman" w:hAnsi="Times New Roman" w:cs="Times New Roman"/>
          <w:noProof/>
          <w:sz w:val="20"/>
          <w:szCs w:val="24"/>
        </w:rPr>
        <w:fldChar w:fldCharType="begin"/>
      </w:r>
      <w:r>
        <w:rPr>
          <w:rFonts w:ascii="Times New Roman" w:hAnsi="Times New Roman" w:cs="Times New Roman"/>
          <w:noProof/>
          <w:sz w:val="20"/>
          <w:szCs w:val="24"/>
        </w:rPr>
        <w:instrText xml:space="preserve"> SEQ Table \* ARABIC </w:instrText>
      </w:r>
      <w:r>
        <w:rPr>
          <w:rFonts w:ascii="Times New Roman" w:hAnsi="Times New Roman" w:cs="Times New Roman"/>
          <w:noProof/>
          <w:sz w:val="20"/>
          <w:szCs w:val="24"/>
        </w:rPr>
        <w:fldChar w:fldCharType="separate"/>
      </w:r>
      <w:r>
        <w:rPr>
          <w:rFonts w:ascii="Times New Roman" w:hAnsi="Times New Roman" w:cs="Times New Roman"/>
          <w:noProof/>
          <w:sz w:val="20"/>
          <w:szCs w:val="24"/>
        </w:rPr>
        <w:t>2</w:t>
      </w:r>
      <w:r>
        <w:rPr>
          <w:rFonts w:ascii="Times New Roman" w:hAnsi="Times New Roman" w:cs="Times New Roman"/>
          <w:noProof/>
          <w:sz w:val="20"/>
          <w:szCs w:val="24"/>
        </w:rPr>
        <w:fldChar w:fldCharType="end"/>
      </w:r>
      <w:r>
        <w:rPr>
          <w:rFonts w:ascii="Times New Roman" w:hAnsi="Times New Roman" w:cs="Times New Roman"/>
          <w:noProof/>
          <w:sz w:val="20"/>
          <w:szCs w:val="24"/>
        </w:rPr>
        <w:t xml:space="preserve">: Planned budget for the periods 2014-2016 and 2007-2013 </w:t>
      </w:r>
      <w:r>
        <w:rPr>
          <w:rFonts w:ascii="Times New Roman" w:hAnsi="Times New Roman" w:cs="Times New Roman"/>
          <w:noProof/>
          <w:sz w:val="20"/>
          <w:szCs w:val="24"/>
        </w:rPr>
        <w:t>according to budget lines</w:t>
      </w:r>
      <w:r>
        <w:rPr>
          <w:rFonts w:ascii="Times New Roman" w:hAnsi="Times New Roman" w:cs="Times New Roman"/>
          <w:noProof/>
          <w:sz w:val="20"/>
          <w:szCs w:val="24"/>
        </w:rPr>
        <w:br/>
        <w:t xml:space="preserve"> </w:t>
      </w:r>
      <w:r>
        <w:rPr>
          <w:rFonts w:ascii="Times New Roman" w:hAnsi="Times New Roman" w:cs="Times New Roman"/>
          <w:noProof/>
          <w:sz w:val="20"/>
          <w:szCs w:val="24"/>
        </w:rPr>
        <w:tab/>
        <w:t xml:space="preserve"> (million EUR)</w:t>
      </w:r>
    </w:p>
    <w:p w:rsidR="00500553" w:rsidRDefault="00D978F2">
      <w:pPr>
        <w:rPr>
          <w:rFonts w:ascii="Times New Roman" w:hAnsi="Times New Roman" w:cs="Times New Roman"/>
          <w:i/>
          <w:noProof/>
          <w:sz w:val="24"/>
          <w:szCs w:val="24"/>
        </w:rPr>
      </w:pPr>
      <w:r>
        <w:rPr>
          <w:rFonts w:ascii="Times New Roman" w:hAnsi="Times New Roman" w:cs="Times New Roman"/>
          <w:noProof/>
          <w:sz w:val="24"/>
          <w:szCs w:val="24"/>
          <w:lang w:eastAsia="en-GB"/>
        </w:rPr>
        <w:drawing>
          <wp:inline distT="0" distB="0" distL="0" distR="0">
            <wp:extent cx="5760720" cy="33190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319048"/>
                    </a:xfrm>
                    <a:prstGeom prst="rect">
                      <a:avLst/>
                    </a:prstGeom>
                    <a:noFill/>
                  </pic:spPr>
                </pic:pic>
              </a:graphicData>
            </a:graphic>
          </wp:inline>
        </w:drawing>
      </w:r>
    </w:p>
    <w:p w:rsidR="00500553" w:rsidRDefault="00D978F2">
      <w:pPr>
        <w:jc w:val="both"/>
        <w:rPr>
          <w:rFonts w:ascii="Times New Roman" w:hAnsi="Times New Roman" w:cs="Times New Roman"/>
          <w:b/>
          <w:i/>
          <w:noProof/>
          <w:sz w:val="24"/>
          <w:szCs w:val="24"/>
        </w:rPr>
      </w:pPr>
      <w:r>
        <w:rPr>
          <w:rFonts w:ascii="Times New Roman" w:hAnsi="Times New Roman" w:cs="Times New Roman"/>
          <w:b/>
          <w:i/>
          <w:noProof/>
          <w:sz w:val="24"/>
          <w:szCs w:val="24"/>
        </w:rPr>
        <w:t>Prevention</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All 28 EU Member States complied with Article 6 of Decision 1313/2013 and made available to the Commission a summary of their National or Sub-national level Risk Assessment by the deadline set</w:t>
      </w:r>
      <w:r>
        <w:rPr>
          <w:rStyle w:val="FootnoteReference"/>
          <w:rFonts w:ascii="Times New Roman" w:hAnsi="Times New Roman" w:cs="Times New Roman"/>
          <w:noProof/>
        </w:rPr>
        <w:footnoteReference w:id="26"/>
      </w:r>
      <w:r>
        <w:rPr>
          <w:rFonts w:ascii="Times New Roman" w:hAnsi="Times New Roman" w:cs="Times New Roman"/>
          <w:noProof/>
          <w:sz w:val="24"/>
          <w:szCs w:val="24"/>
        </w:rPr>
        <w:t>. Based</w:t>
      </w:r>
      <w:r>
        <w:rPr>
          <w:rFonts w:ascii="Times New Roman" w:hAnsi="Times New Roman" w:cs="Times New Roman"/>
          <w:noProof/>
          <w:sz w:val="24"/>
          <w:szCs w:val="24"/>
        </w:rPr>
        <w:t xml:space="preserve"> on such summaries the Commission developed an EU-wide Overview of Risks</w:t>
      </w:r>
      <w:r>
        <w:rPr>
          <w:rStyle w:val="FootnoteReference"/>
          <w:rFonts w:ascii="Times New Roman" w:hAnsi="Times New Roman" w:cs="Times New Roman"/>
          <w:noProof/>
        </w:rPr>
        <w:footnoteReference w:id="27"/>
      </w:r>
      <w:r>
        <w:rPr>
          <w:rFonts w:ascii="Times New Roman" w:hAnsi="Times New Roman" w:cs="Times New Roman"/>
          <w:noProof/>
          <w:sz w:val="24"/>
          <w:szCs w:val="24"/>
        </w:rPr>
        <w:t>. The European Commission also published Risk Management Capability Assessment Guidelines</w:t>
      </w:r>
      <w:r>
        <w:rPr>
          <w:rStyle w:val="FootnoteReference"/>
          <w:rFonts w:ascii="Times New Roman" w:hAnsi="Times New Roman" w:cs="Times New Roman"/>
          <w:noProof/>
        </w:rPr>
        <w:footnoteReference w:id="28"/>
      </w:r>
      <w:r>
        <w:rPr>
          <w:rFonts w:ascii="Times New Roman" w:hAnsi="Times New Roman" w:cs="Times New Roman"/>
          <w:noProof/>
          <w:sz w:val="24"/>
          <w:szCs w:val="24"/>
        </w:rPr>
        <w:t xml:space="preserve"> to facilitate the national capability assessments that are due by end of 2018.</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total fun</w:t>
      </w:r>
      <w:r>
        <w:rPr>
          <w:rFonts w:ascii="Times New Roman" w:hAnsi="Times New Roman" w:cs="Times New Roman"/>
          <w:noProof/>
          <w:sz w:val="24"/>
          <w:szCs w:val="24"/>
        </w:rPr>
        <w:t xml:space="preserve">ds committed for </w:t>
      </w:r>
      <w:r>
        <w:rPr>
          <w:rFonts w:ascii="Times New Roman" w:hAnsi="Times New Roman" w:cs="Times New Roman"/>
          <w:i/>
          <w:noProof/>
          <w:sz w:val="24"/>
          <w:szCs w:val="24"/>
        </w:rPr>
        <w:t>Prevention Projects</w:t>
      </w:r>
      <w:r>
        <w:rPr>
          <w:rFonts w:ascii="Times New Roman" w:hAnsi="Times New Roman" w:cs="Times New Roman"/>
          <w:noProof/>
          <w:sz w:val="24"/>
          <w:szCs w:val="24"/>
        </w:rPr>
        <w:t xml:space="preserve"> amounted to over EUR 22 million for the period 2014-2016, compared to a budget of EUR 14 million for the period 2007-2013. The average project value was EUR 610 000 (with EU funding averaging EUR 470 000), which was 37%</w:t>
      </w:r>
      <w:r>
        <w:rPr>
          <w:rFonts w:ascii="Times New Roman" w:hAnsi="Times New Roman" w:cs="Times New Roman"/>
          <w:noProof/>
          <w:sz w:val="24"/>
          <w:szCs w:val="24"/>
        </w:rPr>
        <w:t xml:space="preserve"> higher than for 2007-2013. The success rate of applicants for prevention projects during 2014-2016 was 39%, decreasing from approximately 50% in 2014 and 2015 to 27% in 2016. Financed projects include the following activities: knowledge sharing (meeting, </w:t>
      </w:r>
      <w:r>
        <w:rPr>
          <w:rFonts w:ascii="Times New Roman" w:hAnsi="Times New Roman" w:cs="Times New Roman"/>
          <w:noProof/>
          <w:sz w:val="24"/>
          <w:szCs w:val="24"/>
        </w:rPr>
        <w:t>workshops, conferences, exchange programmes), studies (e.g. new methodologies and tools for risk reduction), and awareness raising activities (websites, awareness campaigns, etc.).</w:t>
      </w:r>
    </w:p>
    <w:p w:rsidR="00500553" w:rsidRDefault="00D978F2">
      <w:pPr>
        <w:rPr>
          <w:rFonts w:ascii="Times New Roman" w:hAnsi="Times New Roman" w:cs="Times New Roman"/>
          <w:b/>
          <w:i/>
          <w:noProof/>
          <w:sz w:val="24"/>
          <w:szCs w:val="24"/>
        </w:rPr>
      </w:pPr>
      <w:r>
        <w:rPr>
          <w:rFonts w:ascii="Times New Roman" w:hAnsi="Times New Roman" w:cs="Times New Roman"/>
          <w:b/>
          <w:i/>
          <w:noProof/>
          <w:sz w:val="24"/>
          <w:szCs w:val="24"/>
        </w:rPr>
        <w:t>Preparedness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Established in 2013 to provide a coordinated and quicker respo</w:t>
      </w:r>
      <w:r>
        <w:rPr>
          <w:rFonts w:ascii="Times New Roman" w:hAnsi="Times New Roman" w:cs="Times New Roman"/>
          <w:noProof/>
          <w:sz w:val="24"/>
          <w:szCs w:val="24"/>
        </w:rPr>
        <w:t>nse to disasters both inside and outside Europe, the ERCC replaced the previous Monitoring and Information Centre (MIC). The period 2014-2016 marked its full maturation, coordinating European assistance to West African countries in the context of the Ebola</w:t>
      </w:r>
      <w:r>
        <w:rPr>
          <w:rFonts w:ascii="Times New Roman" w:hAnsi="Times New Roman" w:cs="Times New Roman"/>
          <w:noProof/>
          <w:sz w:val="24"/>
          <w:szCs w:val="24"/>
        </w:rPr>
        <w:t xml:space="preserve"> outbreak (2014-2015), and serving as an operational hub for logistics and transport in the response to the 2014 Balkan floods as well as the devastating earthquake in Nepal in 2015. Furthermore, between 2014 and 2016 the ERCC’s supported the political dec</w:t>
      </w:r>
      <w:r>
        <w:rPr>
          <w:rFonts w:ascii="Times New Roman" w:hAnsi="Times New Roman" w:cs="Times New Roman"/>
          <w:noProof/>
          <w:sz w:val="24"/>
          <w:szCs w:val="24"/>
        </w:rPr>
        <w:t>ision-making in the Council, particularly in the context of Integrated Political Crisis Response (IPCR) arrangements that are triggered automatically by the invocation of the Solidarity Clause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or in cases of 'stand-alone' activations of the IPCR. In accordance with Article 9(7) of the Decision, Participating States designated national contact points to enable communication with the ERCC in the event of occurring or imminent disasters.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Between 2</w:t>
      </w:r>
      <w:r>
        <w:rPr>
          <w:rFonts w:ascii="Times New Roman" w:hAnsi="Times New Roman" w:cs="Times New Roman"/>
          <w:noProof/>
          <w:sz w:val="24"/>
          <w:szCs w:val="24"/>
        </w:rPr>
        <w:t>014 and 2016, CECIS registered 64 Requests for Assistance, 14 pre-alerts and 15 monitoring requests. The current platform, created in 2007, will undergo several improvements between 2017 and 2019 in order to improve user-friendliness and enhance its analys</w:t>
      </w:r>
      <w:r>
        <w:rPr>
          <w:rFonts w:ascii="Times New Roman" w:hAnsi="Times New Roman" w:cs="Times New Roman"/>
          <w:noProof/>
          <w:sz w:val="24"/>
          <w:szCs w:val="24"/>
        </w:rPr>
        <w:t>is and monitoring capabilities.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European Emergency Response Capacity</w:t>
      </w:r>
      <w:r>
        <w:rPr>
          <w:rFonts w:ascii="Times New Roman" w:hAnsi="Times New Roman" w:cs="Times New Roman"/>
          <w:noProof/>
          <w:sz w:val="24"/>
          <w:szCs w:val="24"/>
        </w:rPr>
        <w:t xml:space="preserve"> (EERC) or 'Voluntary Pool' was launched in October 2014 and, by the end of 2016, included a total of 77 response capacities from 16 Participating States.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The UCPM has taken advantage </w:t>
      </w:r>
      <w:r>
        <w:rPr>
          <w:rFonts w:ascii="Times New Roman" w:hAnsi="Times New Roman" w:cs="Times New Roman"/>
          <w:noProof/>
          <w:sz w:val="24"/>
          <w:szCs w:val="24"/>
        </w:rPr>
        <w:t xml:space="preserve">of the integration of the </w:t>
      </w:r>
      <w:r>
        <w:rPr>
          <w:rFonts w:ascii="Times New Roman" w:hAnsi="Times New Roman" w:cs="Times New Roman"/>
          <w:i/>
          <w:noProof/>
          <w:sz w:val="24"/>
          <w:szCs w:val="24"/>
        </w:rPr>
        <w:t>European Flood Alert System</w:t>
      </w:r>
      <w:r>
        <w:rPr>
          <w:rFonts w:ascii="Times New Roman" w:hAnsi="Times New Roman" w:cs="Times New Roman"/>
          <w:noProof/>
          <w:sz w:val="24"/>
          <w:szCs w:val="24"/>
        </w:rPr>
        <w:t xml:space="preserve"> (EFAS) and the </w:t>
      </w:r>
      <w:r>
        <w:rPr>
          <w:rFonts w:ascii="Times New Roman" w:hAnsi="Times New Roman" w:cs="Times New Roman"/>
          <w:i/>
          <w:noProof/>
          <w:sz w:val="24"/>
          <w:szCs w:val="24"/>
        </w:rPr>
        <w:t>European Forest Fires Information System</w:t>
      </w:r>
      <w:r>
        <w:rPr>
          <w:rFonts w:ascii="Times New Roman" w:hAnsi="Times New Roman" w:cs="Times New Roman"/>
          <w:noProof/>
          <w:sz w:val="24"/>
          <w:szCs w:val="24"/>
        </w:rPr>
        <w:t xml:space="preserve"> (EFFIS) under the umbrella of Copernicus' Emergency Management System (EMS)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in 2012. In close cooperation with the Joint Research Centre (JRC) (r</w:t>
      </w:r>
      <w:r>
        <w:rPr>
          <w:rFonts w:ascii="Times New Roman" w:hAnsi="Times New Roman" w:cs="Times New Roman"/>
          <w:noProof/>
          <w:sz w:val="24"/>
          <w:szCs w:val="24"/>
        </w:rPr>
        <w:t>esponsible for the design of the systems themselves) and DG GROW/Copernicus (managing the early warning systems) the UCPM has provided the link with the end-users, namely civil protection authorities from Participating States and the ERCC. Similarly, the r</w:t>
      </w:r>
      <w:r>
        <w:rPr>
          <w:rFonts w:ascii="Times New Roman" w:hAnsi="Times New Roman" w:cs="Times New Roman"/>
          <w:noProof/>
          <w:sz w:val="24"/>
          <w:szCs w:val="24"/>
        </w:rPr>
        <w:t>apid mapping services allow on-demand and quick provision of geospatial information (e.g. damage assessment maps) to inform emergency response and recovery. During the 2014-2016 period, more than 30 requests for maps have been received each year.</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1 680 ind</w:t>
      </w:r>
      <w:r>
        <w:rPr>
          <w:rFonts w:ascii="Times New Roman" w:hAnsi="Times New Roman" w:cs="Times New Roman"/>
          <w:noProof/>
          <w:sz w:val="24"/>
          <w:szCs w:val="24"/>
        </w:rPr>
        <w:t xml:space="preserve">ividual experts have undergone at least one course of the </w:t>
      </w:r>
      <w:r>
        <w:rPr>
          <w:rFonts w:ascii="Times New Roman" w:hAnsi="Times New Roman" w:cs="Times New Roman"/>
          <w:i/>
          <w:noProof/>
          <w:sz w:val="24"/>
          <w:szCs w:val="24"/>
        </w:rPr>
        <w:t>UCPM Training Programme</w:t>
      </w:r>
      <w:r>
        <w:rPr>
          <w:rFonts w:ascii="Times New Roman" w:hAnsi="Times New Roman" w:cs="Times New Roman"/>
          <w:noProof/>
          <w:sz w:val="24"/>
          <w:szCs w:val="24"/>
        </w:rPr>
        <w:t xml:space="preserve"> between 2014 and 2016, whereas there were 2 255 trained experts over the entire 7-year period of the previous Mechanism. The yearly average has been 740 for the current finan</w:t>
      </w:r>
      <w:r>
        <w:rPr>
          <w:rFonts w:ascii="Times New Roman" w:hAnsi="Times New Roman" w:cs="Times New Roman"/>
          <w:noProof/>
          <w:sz w:val="24"/>
          <w:szCs w:val="24"/>
        </w:rPr>
        <w:t>cial framework, compared to 322 during the previous one. Around 15% of the total trained experts over the evaluation period are women. A European Disaster Management Training Network was set up at the end of 2016 to improve all phases of disaster managemen</w:t>
      </w:r>
      <w:r>
        <w:rPr>
          <w:rFonts w:ascii="Times New Roman" w:hAnsi="Times New Roman" w:cs="Times New Roman"/>
          <w:noProof/>
          <w:sz w:val="24"/>
          <w:szCs w:val="24"/>
        </w:rPr>
        <w:t>t, create synergies and develop guidance on EU and international civil protection training.</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A number of disaster simulation exercises are financed every year through a </w:t>
      </w:r>
      <w:hyperlink r:id="rId30" w:history="1">
        <w:r>
          <w:rPr>
            <w:rFonts w:ascii="Times New Roman" w:hAnsi="Times New Roman" w:cs="Times New Roman"/>
            <w:noProof/>
            <w:sz w:val="24"/>
            <w:szCs w:val="24"/>
          </w:rPr>
          <w:t>Call</w:t>
        </w:r>
      </w:hyperlink>
      <w:r>
        <w:rPr>
          <w:rFonts w:ascii="Times New Roman" w:hAnsi="Times New Roman" w:cs="Times New Roman"/>
          <w:noProof/>
          <w:sz w:val="24"/>
          <w:szCs w:val="24"/>
        </w:rPr>
        <w:t xml:space="preserve"> for Proposals for full-scale exercises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and for module exercises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(ModEx). Between 2014 and 2016 8 ModEx in 7 Participating States and 13 full scale exercises in 10 Participating States have been organised. Differently from the p</w:t>
      </w:r>
      <w:r>
        <w:rPr>
          <w:rFonts w:ascii="Times New Roman" w:hAnsi="Times New Roman" w:cs="Times New Roman"/>
          <w:noProof/>
          <w:sz w:val="24"/>
          <w:szCs w:val="24"/>
        </w:rPr>
        <w:t>revious Mechanism (2007-2013), ModEx exercises under the UCPM have become an integral part of the process of certification for modules which will become part of the EERC. Overall, EUR 26.1 million were allocated to exercises.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During the first three years o</w:t>
      </w:r>
      <w:r>
        <w:rPr>
          <w:rFonts w:ascii="Times New Roman" w:hAnsi="Times New Roman" w:cs="Times New Roman"/>
          <w:noProof/>
          <w:sz w:val="24"/>
          <w:szCs w:val="24"/>
        </w:rPr>
        <w:t xml:space="preserve">f the UCPM (2014-2016) the committed amount for </w:t>
      </w:r>
      <w:r>
        <w:rPr>
          <w:rFonts w:ascii="Times New Roman" w:hAnsi="Times New Roman" w:cs="Times New Roman"/>
          <w:i/>
          <w:noProof/>
          <w:sz w:val="24"/>
          <w:szCs w:val="24"/>
        </w:rPr>
        <w:t>Preparedness Projects</w:t>
      </w:r>
      <w:r>
        <w:rPr>
          <w:rFonts w:ascii="Times New Roman" w:hAnsi="Times New Roman" w:cs="Times New Roman"/>
          <w:noProof/>
          <w:sz w:val="24"/>
          <w:szCs w:val="24"/>
        </w:rPr>
        <w:t xml:space="preserve"> reached nearly EUR 17 million, a significant increase from the budget of the previous Mechanism (nearly EUR 10 million for the entire framework 2007-2013). The average project value was </w:t>
      </w:r>
      <w:r>
        <w:rPr>
          <w:rFonts w:ascii="Times New Roman" w:hAnsi="Times New Roman" w:cs="Times New Roman"/>
          <w:noProof/>
          <w:sz w:val="24"/>
          <w:szCs w:val="24"/>
        </w:rPr>
        <w:t>EUR 691 000 (with EU funding averaging EUR 519 000), approximately 55% higher than the average figure during 2007-2013. The success rate of applicants for preparedness projects was 42% for the period spanning from 2014 to 2016. Financed projects included t</w:t>
      </w:r>
      <w:r>
        <w:rPr>
          <w:rFonts w:ascii="Times New Roman" w:hAnsi="Times New Roman" w:cs="Times New Roman"/>
          <w:noProof/>
          <w:sz w:val="24"/>
          <w:szCs w:val="24"/>
        </w:rPr>
        <w:t>he following activities: training and exercises; knowledge management (best practices; study visits; workshops; etc.); new tools and procedures for preparedness.</w:t>
      </w:r>
    </w:p>
    <w:p w:rsidR="00500553" w:rsidRDefault="00D978F2">
      <w:pPr>
        <w:pStyle w:val="BodyText"/>
        <w:spacing w:line="276"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Response</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UCPM was activated 19 times in 2014 and 2015, and 26 times in 2016. During the Ev</w:t>
      </w:r>
      <w:r>
        <w:rPr>
          <w:rFonts w:ascii="Times New Roman" w:hAnsi="Times New Roman" w:cs="Times New Roman"/>
          <w:noProof/>
          <w:sz w:val="24"/>
          <w:szCs w:val="24"/>
        </w:rPr>
        <w:t xml:space="preserve">aluation timeframe (2014-2016), on average 33% (or 21 out of 62) of requests came from inside the EU and the remaining from third-countries. </w:t>
      </w:r>
      <w:r>
        <w:rPr>
          <w:rFonts w:ascii="Times New Roman" w:hAnsi="Times New Roman" w:cs="Times New Roman"/>
          <w:noProof/>
          <w:color w:val="000000" w:themeColor="text1"/>
          <w:sz w:val="24"/>
          <w:szCs w:val="24"/>
        </w:rPr>
        <w:t xml:space="preserve">A total of EUR 28.4 million in transport grants were provided for operations inside (48 grants) and outside the EU </w:t>
      </w:r>
      <w:r>
        <w:rPr>
          <w:rFonts w:ascii="Times New Roman" w:hAnsi="Times New Roman" w:cs="Times New Roman"/>
          <w:noProof/>
          <w:color w:val="000000" w:themeColor="text1"/>
          <w:sz w:val="24"/>
          <w:szCs w:val="24"/>
        </w:rPr>
        <w:t>(247 grants).</w:t>
      </w:r>
    </w:p>
    <w:p w:rsidR="00500553" w:rsidRDefault="00D978F2">
      <w:pPr>
        <w:pStyle w:val="NoSpacing"/>
        <w:rPr>
          <w:rFonts w:ascii="Times New Roman" w:hAnsi="Times New Roman" w:cs="Times New Roman"/>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2</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xml:space="preserve">: Number of activations inside and outside EU, 2008-2016. </w:t>
      </w:r>
    </w:p>
    <w:p w:rsidR="00500553" w:rsidRDefault="00D978F2">
      <w:pPr>
        <w:pStyle w:val="NoSpacing"/>
        <w:ind w:firstLine="720"/>
        <w:rPr>
          <w:rFonts w:ascii="Times New Roman" w:hAnsi="Times New Roman" w:cs="Times New Roman"/>
          <w:i/>
          <w:noProof/>
          <w:sz w:val="20"/>
        </w:rPr>
      </w:pPr>
      <w:r>
        <w:rPr>
          <w:rFonts w:ascii="Times New Roman" w:hAnsi="Times New Roman" w:cs="Times New Roman"/>
          <w:i/>
          <w:noProof/>
          <w:color w:val="4F81BD" w:themeColor="accent1"/>
          <w:sz w:val="20"/>
        </w:rPr>
        <w:t>Source: DG ECHO, last update 24 February 2017</w:t>
      </w:r>
    </w:p>
    <w:p w:rsidR="00500553" w:rsidRDefault="00D978F2">
      <w:pPr>
        <w:pStyle w:val="TableSource"/>
        <w:spacing w:line="276" w:lineRule="auto"/>
        <w:jc w:val="both"/>
        <w:rPr>
          <w:rFonts w:ascii="Times New Roman" w:hAnsi="Times New Roman" w:cs="Times New Roman"/>
          <w:noProof/>
        </w:rPr>
      </w:pPr>
      <w:r>
        <w:rPr>
          <w:rFonts w:ascii="Times New Roman" w:hAnsi="Times New Roman" w:cs="Times New Roman"/>
          <w:noProof/>
          <w:sz w:val="24"/>
          <w:szCs w:val="24"/>
          <w:lang w:eastAsia="en-GB"/>
        </w:rPr>
        <w:drawing>
          <wp:inline distT="0" distB="0" distL="0" distR="0">
            <wp:extent cx="5638800" cy="13177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51951" cy="1320820"/>
                    </a:xfrm>
                    <a:prstGeom prst="rect">
                      <a:avLst/>
                    </a:prstGeom>
                    <a:noFill/>
                  </pic:spPr>
                </pic:pic>
              </a:graphicData>
            </a:graphic>
          </wp:inline>
        </w:drawing>
      </w:r>
    </w:p>
    <w:p w:rsidR="00500553" w:rsidRDefault="00500553">
      <w:pPr>
        <w:pStyle w:val="NoSpacing"/>
        <w:rPr>
          <w:rFonts w:ascii="Times New Roman" w:hAnsi="Times New Roman" w:cs="Times New Roman"/>
          <w:noProof/>
        </w:rPr>
      </w:pPr>
    </w:p>
    <w:p w:rsidR="00500553" w:rsidRDefault="00D978F2">
      <w:pPr>
        <w:pStyle w:val="NoSpacing"/>
        <w:rPr>
          <w:rFonts w:ascii="Times New Roman" w:hAnsi="Times New Roman" w:cs="Times New Roman"/>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3</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Number of experts deployed per mission, 2008-2016</w:t>
      </w:r>
    </w:p>
    <w:p w:rsidR="00500553" w:rsidRDefault="00D978F2">
      <w:pPr>
        <w:pStyle w:val="NoSpacing"/>
        <w:ind w:firstLine="720"/>
        <w:rPr>
          <w:rFonts w:ascii="Times New Roman" w:hAnsi="Times New Roman" w:cs="Times New Roman"/>
          <w:noProof/>
          <w:sz w:val="20"/>
        </w:rPr>
      </w:pPr>
      <w:r>
        <w:rPr>
          <w:rFonts w:ascii="Times New Roman" w:hAnsi="Times New Roman" w:cs="Times New Roman"/>
          <w:i/>
          <w:noProof/>
          <w:color w:val="4F81BD" w:themeColor="accent1"/>
          <w:sz w:val="20"/>
        </w:rPr>
        <w:t>Source: DG ECHO,</w:t>
      </w:r>
      <w:r>
        <w:rPr>
          <w:rFonts w:ascii="Times New Roman" w:hAnsi="Times New Roman" w:cs="Times New Roman"/>
          <w:i/>
          <w:noProof/>
          <w:color w:val="4F81BD" w:themeColor="accent1"/>
          <w:sz w:val="20"/>
        </w:rPr>
        <w:t xml:space="preserve"> last update 24 February 2017</w:t>
      </w:r>
    </w:p>
    <w:p w:rsidR="00500553" w:rsidRDefault="00D978F2">
      <w:pPr>
        <w:pStyle w:val="TableSource"/>
        <w:spacing w:line="276"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505450" cy="178651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15624" cy="1789815"/>
                    </a:xfrm>
                    <a:prstGeom prst="rect">
                      <a:avLst/>
                    </a:prstGeom>
                    <a:noFill/>
                  </pic:spPr>
                </pic:pic>
              </a:graphicData>
            </a:graphic>
          </wp:inline>
        </w:drawing>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Although the number of disaster response missions has not changed significantly, in 2016 the total number of experts deployed</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(86) increased when compared to first two years of the UCPM. On average, 4.8 experts were deploye</w:t>
      </w:r>
      <w:r>
        <w:rPr>
          <w:rFonts w:ascii="Times New Roman" w:hAnsi="Times New Roman" w:cs="Times New Roman"/>
          <w:noProof/>
          <w:sz w:val="24"/>
          <w:szCs w:val="24"/>
        </w:rPr>
        <w:t>d per mission in 2016. Regarding modules, statistical data shows that over the evaluation period (and before) the majority of modules were deployed outside the EU (see figure 4).</w:t>
      </w:r>
    </w:p>
    <w:p w:rsidR="00500553" w:rsidRDefault="00500553">
      <w:pPr>
        <w:jc w:val="both"/>
        <w:rPr>
          <w:rFonts w:ascii="Times New Roman" w:hAnsi="Times New Roman" w:cs="Times New Roman"/>
          <w:noProof/>
          <w:sz w:val="24"/>
          <w:szCs w:val="24"/>
        </w:rPr>
      </w:pPr>
    </w:p>
    <w:p w:rsidR="00500553" w:rsidRDefault="00D978F2">
      <w:pPr>
        <w:pStyle w:val="NoSpacing"/>
        <w:rPr>
          <w:rFonts w:ascii="Times New Roman" w:hAnsi="Times New Roman" w:cs="Times New Roman"/>
          <w:b/>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4</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xml:space="preserve">: Number of UCPM modules deployed inside and outside of EU, 2008-2016 </w:t>
      </w:r>
    </w:p>
    <w:p w:rsidR="00500553" w:rsidRDefault="00D978F2">
      <w:pPr>
        <w:pStyle w:val="NoSpacing"/>
        <w:ind w:firstLine="720"/>
        <w:rPr>
          <w:rFonts w:ascii="Times New Roman" w:hAnsi="Times New Roman" w:cs="Times New Roman"/>
          <w:i/>
          <w:noProof/>
          <w:sz w:val="20"/>
        </w:rPr>
      </w:pPr>
      <w:r>
        <w:rPr>
          <w:rFonts w:ascii="Times New Roman" w:hAnsi="Times New Roman" w:cs="Times New Roman"/>
          <w:i/>
          <w:noProof/>
          <w:color w:val="4F81BD" w:themeColor="accent1"/>
          <w:sz w:val="20"/>
        </w:rPr>
        <w:t>Source: DG ECHO, last update 24 February 2017</w:t>
      </w:r>
    </w:p>
    <w:p w:rsidR="00500553" w:rsidRDefault="00D978F2">
      <w:pPr>
        <w:pStyle w:val="BodyText"/>
        <w:spacing w:line="276" w:lineRule="auto"/>
        <w:jc w:val="both"/>
        <w:rPr>
          <w:rFonts w:ascii="Times New Roman" w:hAnsi="Times New Roman" w:cs="Times New Roman"/>
          <w:noProof/>
          <w:sz w:val="24"/>
          <w:szCs w:val="24"/>
        </w:rPr>
      </w:pPr>
      <w:r>
        <w:rPr>
          <w:rFonts w:ascii="Times New Roman" w:hAnsi="Times New Roman" w:cs="Times New Roman"/>
          <w:i/>
          <w:noProof/>
          <w:sz w:val="24"/>
          <w:szCs w:val="24"/>
          <w:lang w:eastAsia="en-GB"/>
        </w:rPr>
        <w:drawing>
          <wp:inline distT="0" distB="0" distL="0" distR="0">
            <wp:extent cx="5279390"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9390" cy="1383665"/>
                    </a:xfrm>
                    <a:prstGeom prst="rect">
                      <a:avLst/>
                    </a:prstGeom>
                    <a:noFill/>
                  </pic:spPr>
                </pic:pic>
              </a:graphicData>
            </a:graphic>
          </wp:inline>
        </w:drawing>
      </w:r>
    </w:p>
    <w:p w:rsidR="00500553" w:rsidRDefault="00D978F2">
      <w:pPr>
        <w:jc w:val="both"/>
        <w:rPr>
          <w:rFonts w:ascii="Times New Roman" w:hAnsi="Times New Roman" w:cs="Times New Roman"/>
          <w:b/>
          <w:i/>
          <w:noProof/>
          <w:sz w:val="24"/>
          <w:szCs w:val="24"/>
        </w:rPr>
      </w:pPr>
      <w:r>
        <w:rPr>
          <w:rFonts w:ascii="Times New Roman" w:hAnsi="Times New Roman" w:cs="Times New Roman"/>
          <w:b/>
          <w:i/>
          <w:noProof/>
          <w:sz w:val="24"/>
          <w:szCs w:val="24"/>
        </w:rPr>
        <w:t>Cross-cutting activities</w:t>
      </w:r>
    </w:p>
    <w:p w:rsidR="00500553" w:rsidRDefault="00D978F2">
      <w:pPr>
        <w:pStyle w:val="Bullet1Space"/>
        <w:numPr>
          <w:ilvl w:val="0"/>
          <w:numId w:val="0"/>
        </w:numPr>
        <w:spacing w:line="276" w:lineRule="auto"/>
        <w:jc w:val="both"/>
        <w:rPr>
          <w:rFonts w:ascii="Times New Roman" w:hAnsi="Times New Roman" w:cs="Times New Roman"/>
          <w:noProof/>
          <w:sz w:val="24"/>
          <w:szCs w:val="24"/>
        </w:rPr>
      </w:pPr>
      <w:r>
        <w:rPr>
          <w:rFonts w:ascii="Times New Roman" w:hAnsi="Times New Roman" w:cs="Times New Roman"/>
          <w:i/>
          <w:noProof/>
          <w:sz w:val="24"/>
          <w:szCs w:val="24"/>
        </w:rPr>
        <w:t>Peer reviews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Two </w:t>
      </w:r>
      <w:r>
        <w:rPr>
          <w:rFonts w:ascii="Times New Roman" w:hAnsi="Times New Roman" w:cs="Times New Roman"/>
          <w:b/>
          <w:noProof/>
          <w:sz w:val="24"/>
          <w:szCs w:val="24"/>
        </w:rPr>
        <w:t>"</w:t>
      </w:r>
      <w:r>
        <w:rPr>
          <w:rFonts w:ascii="Times New Roman" w:hAnsi="Times New Roman" w:cs="Times New Roman"/>
          <w:noProof/>
          <w:sz w:val="24"/>
          <w:szCs w:val="24"/>
        </w:rPr>
        <w:t xml:space="preserve">pilot" peer reviews were carried out in the UK and Finland in 2013 and 2014 </w:t>
      </w:r>
      <w:r>
        <w:rPr>
          <w:rFonts w:ascii="Times New Roman" w:hAnsi="Times New Roman" w:cs="Times New Roman"/>
          <w:noProof/>
          <w:snapToGrid w:val="0"/>
          <w:color w:val="000000"/>
          <w:sz w:val="24"/>
          <w:szCs w:val="24"/>
          <w:shd w:val="clear" w:color="auto" w:fill="FFFFFF"/>
        </w:rPr>
        <w:t xml:space="preserve">in cooperation </w:t>
      </w:r>
      <w:r>
        <w:rPr>
          <w:rFonts w:ascii="Times New Roman" w:hAnsi="Times New Roman" w:cs="Times New Roman"/>
          <w:noProof/>
          <w:snapToGrid w:val="0"/>
          <w:color w:val="000000"/>
          <w:sz w:val="24"/>
          <w:szCs w:val="24"/>
          <w:shd w:val="clear" w:color="auto" w:fill="FFFFFF"/>
        </w:rPr>
        <w:t>with the United Nations Office for Disaster Risk Reduction (UNISDR) and the Organisation for Economic Cooperation and Development (OECD)</w:t>
      </w:r>
      <w:r>
        <w:rPr>
          <w:rFonts w:ascii="Times New Roman" w:hAnsi="Times New Roman" w:cs="Times New Roman"/>
          <w:noProof/>
          <w:sz w:val="24"/>
          <w:szCs w:val="24"/>
        </w:rPr>
        <w:t xml:space="preserve">. While the two pilots focused on assessing progress in national implementation of the Hyogo Framework for Action, the </w:t>
      </w:r>
      <w:r>
        <w:rPr>
          <w:rFonts w:ascii="Times New Roman" w:hAnsi="Times New Roman" w:cs="Times New Roman"/>
          <w:noProof/>
          <w:sz w:val="24"/>
          <w:szCs w:val="24"/>
        </w:rPr>
        <w:t>subsequent six peer reviews focused on more specific issues of disaster risk management relevant to the selected countries. A total of EUR 1.3 million was allocated for peer reviews over 2014-2016.</w:t>
      </w:r>
    </w:p>
    <w:p w:rsidR="00500553" w:rsidRDefault="00D978F2">
      <w:pPr>
        <w:pStyle w:val="Bullet1Space"/>
        <w:numPr>
          <w:ilvl w:val="0"/>
          <w:numId w:val="0"/>
        </w:numPr>
        <w:spacing w:line="276" w:lineRule="auto"/>
        <w:jc w:val="both"/>
        <w:rPr>
          <w:rFonts w:ascii="Times New Roman" w:hAnsi="Times New Roman" w:cs="Times New Roman"/>
          <w:noProof/>
          <w:sz w:val="24"/>
          <w:szCs w:val="24"/>
          <w:lang w:eastAsia="en-GB"/>
        </w:rPr>
      </w:pPr>
      <w:r>
        <w:rPr>
          <w:rFonts w:ascii="Times New Roman" w:hAnsi="Times New Roman" w:cs="Times New Roman"/>
          <w:i/>
          <w:noProof/>
          <w:sz w:val="24"/>
          <w:szCs w:val="24"/>
        </w:rPr>
        <w:t>Prevention and Preparedness ("advisory") missions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Out of </w:t>
      </w:r>
      <w:r>
        <w:rPr>
          <w:rFonts w:ascii="Times New Roman" w:hAnsi="Times New Roman" w:cs="Times New Roman"/>
          <w:noProof/>
          <w:sz w:val="24"/>
          <w:szCs w:val="24"/>
          <w:lang w:eastAsia="en-GB"/>
        </w:rPr>
        <w:t>thirteen of such missions undertaken between 2014 and 2016, six were carried out in a post-emergency context; the remainder focused on capacity building for recovery planning (two of them were embedded in two Post-Disaster Needs Assessments, i.e. in Albani</w:t>
      </w:r>
      <w:r>
        <w:rPr>
          <w:rFonts w:ascii="Times New Roman" w:hAnsi="Times New Roman" w:cs="Times New Roman"/>
          <w:noProof/>
          <w:sz w:val="24"/>
          <w:szCs w:val="24"/>
          <w:lang w:eastAsia="en-GB"/>
        </w:rPr>
        <w:t xml:space="preserve">a and FYRoM); and </w:t>
      </w:r>
      <w:r>
        <w:rPr>
          <w:rFonts w:ascii="Times New Roman" w:hAnsi="Times New Roman" w:cs="Times New Roman"/>
          <w:i/>
          <w:noProof/>
          <w:sz w:val="24"/>
          <w:szCs w:val="24"/>
          <w:lang w:eastAsia="en-GB"/>
        </w:rPr>
        <w:t>ex ante</w:t>
      </w:r>
      <w:r>
        <w:rPr>
          <w:rFonts w:ascii="Times New Roman" w:hAnsi="Times New Roman" w:cs="Times New Roman"/>
          <w:noProof/>
          <w:sz w:val="24"/>
          <w:szCs w:val="24"/>
          <w:lang w:eastAsia="en-GB"/>
        </w:rPr>
        <w:t xml:space="preserve"> prevention measures. A total of 13 missions were carried out over 2014-2016, with EUR 230 000 allocated.</w:t>
      </w:r>
    </w:p>
    <w:p w:rsidR="00500553" w:rsidRDefault="00D978F2">
      <w:pPr>
        <w:pStyle w:val="Bullet1Space"/>
        <w:numPr>
          <w:ilvl w:val="0"/>
          <w:numId w:val="0"/>
        </w:numPr>
        <w:spacing w:line="276" w:lineRule="auto"/>
        <w:jc w:val="both"/>
        <w:rPr>
          <w:rFonts w:ascii="Times New Roman" w:hAnsi="Times New Roman" w:cs="Times New Roman"/>
          <w:noProof/>
          <w:sz w:val="24"/>
          <w:szCs w:val="24"/>
        </w:rPr>
      </w:pPr>
      <w:r>
        <w:rPr>
          <w:rFonts w:ascii="Times New Roman" w:hAnsi="Times New Roman" w:cs="Times New Roman"/>
          <w:i/>
          <w:noProof/>
          <w:sz w:val="24"/>
          <w:szCs w:val="24"/>
        </w:rPr>
        <w:t>Lessons learnt</w:t>
      </w:r>
      <w:r>
        <w:rPr>
          <w:rFonts w:ascii="Times New Roman" w:hAnsi="Times New Roman" w:cs="Times New Roman"/>
          <w:noProof/>
          <w:sz w:val="24"/>
          <w:szCs w:val="24"/>
        </w:rPr>
        <w:t>: DG ECHO implemented lessons learnt and technical workshops following the activation of the UCPM on a case-by-</w:t>
      </w:r>
      <w:r>
        <w:rPr>
          <w:rFonts w:ascii="Times New Roman" w:hAnsi="Times New Roman" w:cs="Times New Roman"/>
          <w:noProof/>
          <w:sz w:val="24"/>
          <w:szCs w:val="24"/>
        </w:rPr>
        <w:t>case basis, depending on the nature of the disaster. A total of EUR 1.85 million was allocated for lessons learned over 2014-2016</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of which EUR 598 358 were disbursed as of June 15, 2017.</w:t>
      </w:r>
    </w:p>
    <w:p w:rsidR="00500553" w:rsidRDefault="00D978F2">
      <w:pPr>
        <w:jc w:val="both"/>
        <w:rPr>
          <w:rFonts w:ascii="Times New Roman" w:hAnsi="Times New Roman" w:cs="Times New Roman"/>
          <w:noProof/>
          <w:sz w:val="24"/>
          <w:szCs w:val="24"/>
        </w:rPr>
      </w:pPr>
      <w:r>
        <w:rPr>
          <w:rFonts w:ascii="Times New Roman" w:hAnsi="Times New Roman" w:cs="Times New Roman"/>
          <w:i/>
          <w:noProof/>
          <w:sz w:val="24"/>
          <w:szCs w:val="24"/>
        </w:rPr>
        <w:t xml:space="preserve">Exchange of experts: </w:t>
      </w:r>
      <w:r>
        <w:rPr>
          <w:rFonts w:ascii="Times New Roman" w:hAnsi="Times New Roman" w:cs="Times New Roman"/>
          <w:noProof/>
          <w:sz w:val="24"/>
          <w:szCs w:val="24"/>
        </w:rPr>
        <w:t>The programme was implemented by an external or</w:t>
      </w:r>
      <w:r>
        <w:rPr>
          <w:rFonts w:ascii="Times New Roman" w:hAnsi="Times New Roman" w:cs="Times New Roman"/>
          <w:noProof/>
          <w:sz w:val="24"/>
          <w:szCs w:val="24"/>
        </w:rPr>
        <w:t>ganisation for the 2014-2016 period. Overall, 375 experts participated in exchanges within the EU and 47 experts from 11 partner countries joined the programme. Budget allocated to this activity was: EUR 900 000 for experts from Participating States and EU</w:t>
      </w:r>
      <w:r>
        <w:rPr>
          <w:rFonts w:ascii="Times New Roman" w:hAnsi="Times New Roman" w:cs="Times New Roman"/>
          <w:noProof/>
          <w:sz w:val="24"/>
          <w:szCs w:val="24"/>
        </w:rPr>
        <w:t>R 196 025 for experts from third countries.</w:t>
      </w:r>
    </w:p>
    <w:p w:rsidR="00500553" w:rsidRDefault="00D978F2">
      <w:pPr>
        <w:pStyle w:val="BodyText"/>
        <w:spacing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Monitoring</w:t>
      </w:r>
    </w:p>
    <w:p w:rsidR="00500553" w:rsidRDefault="00D978F2">
      <w:pPr>
        <w:pStyle w:val="BodyText"/>
        <w:spacing w:line="276"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The external evaluation found that existing monitoring arrangements are rather limited and may not fully capture the UCPM performance nor the follow-up required. The Commission shares this view, which </w:t>
      </w:r>
      <w:r>
        <w:rPr>
          <w:rFonts w:ascii="Times New Roman" w:hAnsi="Times New Roman" w:cs="Times New Roman"/>
          <w:bCs/>
          <w:noProof/>
          <w:sz w:val="24"/>
          <w:szCs w:val="24"/>
        </w:rPr>
        <w:t xml:space="preserve">applies to all of the three pillars of the UCPM. Monitoring of results is based on the four indicators listed in Article 3 of the Decision. </w:t>
      </w:r>
      <w:r>
        <w:rPr>
          <w:rFonts w:ascii="Times New Roman" w:hAnsi="Times New Roman" w:cs="Times New Roman"/>
          <w:noProof/>
          <w:sz w:val="24"/>
          <w:szCs w:val="24"/>
        </w:rPr>
        <w:t>However for most of these indicators baseline/target values are not indicated in the Decision 1313/2013 nor in the 2</w:t>
      </w:r>
      <w:r>
        <w:rPr>
          <w:rFonts w:ascii="Times New Roman" w:hAnsi="Times New Roman" w:cs="Times New Roman"/>
          <w:noProof/>
          <w:sz w:val="24"/>
          <w:szCs w:val="24"/>
        </w:rPr>
        <w:t>014 Implementing Decision</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which makes it difficult to assess progress. For instance, assessing "speed of intervention under the Union Mechanism and the extent to which the assistance contributes to the needs on the ground" (indicator for Objective 3) is </w:t>
      </w:r>
      <w:r>
        <w:rPr>
          <w:rFonts w:ascii="Times New Roman" w:hAnsi="Times New Roman" w:cs="Times New Roman"/>
          <w:noProof/>
          <w:sz w:val="24"/>
          <w:szCs w:val="24"/>
        </w:rPr>
        <w:t>hindered by not recording systematically via CECIS time milestones for all response operations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Similar considerations apply to the lack of a standardized format for needs assessments underpinning response operations, which in some cases can hinder the as</w:t>
      </w:r>
      <w:r>
        <w:rPr>
          <w:rFonts w:ascii="Times New Roman" w:hAnsi="Times New Roman" w:cs="Times New Roman"/>
          <w:noProof/>
          <w:sz w:val="24"/>
          <w:szCs w:val="24"/>
        </w:rPr>
        <w:t xml:space="preserve">sessment of whether and how assistance (especially in-kind) matched needs on the ground. The preparedness indicator set by the Decision for Objective 2, ("quantity of response capacities included in the Voluntary Pool in relation to the capacity goals and </w:t>
      </w:r>
      <w:r>
        <w:rPr>
          <w:rFonts w:ascii="Times New Roman" w:hAnsi="Times New Roman" w:cs="Times New Roman"/>
          <w:noProof/>
          <w:sz w:val="24"/>
          <w:szCs w:val="24"/>
        </w:rPr>
        <w:t>the number of modules registered in CECIS") remains vague about including the type/number of individual experts registered in the system. At the moment this analysis cannot be fully carried out on CECIS (not all UCPM trained experts are in CECIS and its re</w:t>
      </w:r>
      <w:r>
        <w:rPr>
          <w:rFonts w:ascii="Times New Roman" w:hAnsi="Times New Roman" w:cs="Times New Roman"/>
          <w:noProof/>
          <w:sz w:val="24"/>
          <w:szCs w:val="24"/>
        </w:rPr>
        <w:t>search filters are very limited, e.g. not allowing research by "tags" or keywords). This makes it challenging to comprehensively map Europe's response capacity in terms of experts. In addition, the Objective 4 (risk awareness) indicator ("progress in incre</w:t>
      </w:r>
      <w:r>
        <w:rPr>
          <w:rFonts w:ascii="Times New Roman" w:hAnsi="Times New Roman" w:cs="Times New Roman"/>
          <w:noProof/>
          <w:sz w:val="24"/>
          <w:szCs w:val="24"/>
        </w:rPr>
        <w:t>asing public awareness and preparedness for disasters") has not been systematically measured by the UCPM. Although the Eurobarometer surveys do support DG ECHO in its ability to assess the general level of awareness of civil protection among European citiz</w:t>
      </w:r>
      <w:r>
        <w:rPr>
          <w:rFonts w:ascii="Times New Roman" w:hAnsi="Times New Roman" w:cs="Times New Roman"/>
          <w:noProof/>
          <w:sz w:val="24"/>
          <w:szCs w:val="24"/>
        </w:rPr>
        <w:t>ens, this cannot be fully attributable to the UCPM (furthermore it is only limited to EU Member States and several Participating States are not covered). The section below on effectiveness (6.2) elaborates further on the limitation of the current monitorin</w:t>
      </w:r>
      <w:r>
        <w:rPr>
          <w:rFonts w:ascii="Times New Roman" w:hAnsi="Times New Roman" w:cs="Times New Roman"/>
          <w:noProof/>
          <w:sz w:val="24"/>
          <w:szCs w:val="24"/>
        </w:rPr>
        <w:t>g system. The external evaluation presents additional analytical limitations of CECIS, e.g. for producing automatic reports on response operations (e.g. speed, cost, etc.)</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Several of these shortcomings were already highlighted in the European Court of Au</w:t>
      </w:r>
      <w:r>
        <w:rPr>
          <w:rFonts w:ascii="Times New Roman" w:hAnsi="Times New Roman" w:cs="Times New Roman"/>
          <w:noProof/>
          <w:sz w:val="24"/>
          <w:szCs w:val="24"/>
        </w:rPr>
        <w:t>ditors' report on the UCPM</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rsidR="00500553" w:rsidRDefault="00500553">
      <w:pPr>
        <w:pStyle w:val="BodyText"/>
        <w:spacing w:line="276" w:lineRule="auto"/>
        <w:jc w:val="both"/>
        <w:rPr>
          <w:rFonts w:ascii="Times New Roman" w:hAnsi="Times New Roman" w:cs="Times New Roman"/>
          <w:noProof/>
        </w:rPr>
      </w:pPr>
    </w:p>
    <w:p w:rsidR="00500553" w:rsidRDefault="00D978F2">
      <w:pPr>
        <w:pStyle w:val="Heading1"/>
        <w:spacing w:line="276" w:lineRule="auto"/>
        <w:rPr>
          <w:rFonts w:ascii="Times New Roman" w:hAnsi="Times New Roman" w:cs="Times New Roman"/>
          <w:b w:val="0"/>
          <w:noProof/>
          <w:szCs w:val="24"/>
        </w:rPr>
      </w:pPr>
      <w:bookmarkStart w:id="41" w:name="_Toc485914856"/>
      <w:bookmarkStart w:id="42" w:name="_Toc485915482"/>
      <w:bookmarkStart w:id="43" w:name="_Toc489347866"/>
      <w:bookmarkStart w:id="44" w:name="_Toc489427639"/>
      <w:r>
        <w:rPr>
          <w:rFonts w:ascii="Times New Roman" w:hAnsi="Times New Roman" w:cs="Times New Roman"/>
          <w:noProof/>
          <w:szCs w:val="24"/>
        </w:rPr>
        <w:t>ANSWERS TO THE EVALUATION QUESTIONS</w:t>
      </w:r>
      <w:bookmarkEnd w:id="41"/>
      <w:bookmarkEnd w:id="42"/>
      <w:bookmarkEnd w:id="43"/>
      <w:bookmarkEnd w:id="44"/>
    </w:p>
    <w:p w:rsidR="00500553" w:rsidRDefault="00D978F2">
      <w:pPr>
        <w:pStyle w:val="Heading2"/>
        <w:spacing w:line="276" w:lineRule="auto"/>
        <w:rPr>
          <w:rFonts w:ascii="Times New Roman" w:hAnsi="Times New Roman" w:cs="Times New Roman"/>
          <w:b w:val="0"/>
          <w:noProof/>
          <w:sz w:val="24"/>
          <w:szCs w:val="24"/>
        </w:rPr>
      </w:pPr>
      <w:bookmarkStart w:id="45" w:name="_Toc485914857"/>
      <w:bookmarkStart w:id="46" w:name="_Toc485915483"/>
      <w:bookmarkStart w:id="47" w:name="_Toc489347867"/>
      <w:bookmarkStart w:id="48" w:name="_Toc489427640"/>
      <w:r>
        <w:rPr>
          <w:rFonts w:ascii="Times New Roman" w:hAnsi="Times New Roman" w:cs="Times New Roman"/>
          <w:noProof/>
          <w:sz w:val="24"/>
          <w:szCs w:val="24"/>
        </w:rPr>
        <w:t>Relevance</w:t>
      </w:r>
      <w:bookmarkEnd w:id="45"/>
      <w:bookmarkEnd w:id="46"/>
      <w:bookmarkEnd w:id="47"/>
      <w:bookmarkEnd w:id="48"/>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general and specific objectives of Decision 1313/2013 continue to be relevant to Europe's current social and economic context.</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Consultations with stakeholders in the context of</w:t>
      </w:r>
      <w:r>
        <w:rPr>
          <w:rFonts w:ascii="Times New Roman" w:hAnsi="Times New Roman" w:cs="Times New Roman"/>
          <w:noProof/>
          <w:sz w:val="24"/>
          <w:szCs w:val="24"/>
        </w:rPr>
        <w:t xml:space="preserve"> the Evaluation have highlighted that, over the past few years, civil protection authorities have been confronted with a changing risk landscape, which calls for new response capacities and an increased level of coordination with a much broader array of st</w:t>
      </w:r>
      <w:r>
        <w:rPr>
          <w:rFonts w:ascii="Times New Roman" w:hAnsi="Times New Roman" w:cs="Times New Roman"/>
          <w:noProof/>
          <w:sz w:val="24"/>
          <w:szCs w:val="24"/>
        </w:rPr>
        <w:t>akeholders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Within Europe, new response scenarios can range from supporting traditional police functions in the aftermath of a terrorist attack (e.g. victim identification) or dealing with the consequence of a cyber-attack affecting a lifeline infrastruct</w:t>
      </w:r>
      <w:r>
        <w:rPr>
          <w:rFonts w:ascii="Times New Roman" w:hAnsi="Times New Roman" w:cs="Times New Roman"/>
          <w:noProof/>
          <w:sz w:val="24"/>
          <w:szCs w:val="24"/>
        </w:rPr>
        <w:t>ure, to providing relief items to an exceptionally large number of migrants.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Outside Europe, the UCPM is increasingly being activated to respond to rapid onset disasters, including a significant number of complex emergencies (see figure 5) in which civil p</w:t>
      </w:r>
      <w:r>
        <w:rPr>
          <w:rFonts w:ascii="Times New Roman" w:hAnsi="Times New Roman" w:cs="Times New Roman"/>
          <w:noProof/>
          <w:sz w:val="24"/>
          <w:szCs w:val="24"/>
        </w:rPr>
        <w:t xml:space="preserve">rotection assets are being used to address acute health/shelter/water and sanitation needs. As the UCPM becomes increasingly in demand, the issue arises as to its core mandate. In particular, the challenge for the UCPM is to find the right balance between </w:t>
      </w:r>
      <w:r>
        <w:rPr>
          <w:rFonts w:ascii="Times New Roman" w:hAnsi="Times New Roman" w:cs="Times New Roman"/>
          <w:noProof/>
          <w:sz w:val="24"/>
          <w:szCs w:val="24"/>
        </w:rPr>
        <w:t>being a framework of mutual assistance between European countries in the aftermath of natural and man-made disasters and evolving towards a more complex instrument capable of addressing crises of a multiple nature and with a global reach</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rsidR="00500553" w:rsidRDefault="00D978F2">
      <w:pPr>
        <w:pStyle w:val="NoSpacing"/>
        <w:jc w:val="both"/>
        <w:rPr>
          <w:rFonts w:ascii="Times New Roman" w:hAnsi="Times New Roman" w:cs="Times New Roman"/>
          <w:b/>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w:instrText>
      </w:r>
      <w:r>
        <w:rPr>
          <w:rFonts w:ascii="Times New Roman" w:hAnsi="Times New Roman" w:cs="Times New Roman"/>
          <w:b/>
          <w:noProof/>
          <w:color w:val="4F81BD" w:themeColor="accent1"/>
          <w:sz w:val="20"/>
        </w:rPr>
        <w:instrText xml:space="preserve">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5</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Hazards having led to UCPM activation: comparison between 2007-2013 and 2014-</w:t>
      </w:r>
    </w:p>
    <w:p w:rsidR="00500553" w:rsidRDefault="00D978F2">
      <w:pPr>
        <w:pStyle w:val="NoSpacing"/>
        <w:ind w:left="720"/>
        <w:jc w:val="both"/>
        <w:rPr>
          <w:rFonts w:ascii="Times New Roman" w:hAnsi="Times New Roman" w:cs="Times New Roman"/>
          <w:b/>
          <w:noProof/>
          <w:sz w:val="20"/>
        </w:rPr>
      </w:pPr>
      <w:r>
        <w:rPr>
          <w:rFonts w:ascii="Times New Roman" w:hAnsi="Times New Roman" w:cs="Times New Roman"/>
          <w:b/>
          <w:noProof/>
          <w:color w:val="4F81BD" w:themeColor="accent1"/>
          <w:sz w:val="20"/>
        </w:rPr>
        <w:t>2016 (annual average)</w:t>
      </w:r>
    </w:p>
    <w:p w:rsidR="00500553" w:rsidRDefault="00D978F2">
      <w:pPr>
        <w:pStyle w:val="NoSpacing"/>
        <w:ind w:firstLine="720"/>
        <w:jc w:val="both"/>
        <w:rPr>
          <w:rFonts w:ascii="Times New Roman" w:hAnsi="Times New Roman" w:cs="Times New Roman"/>
          <w:noProof/>
          <w:sz w:val="20"/>
        </w:rPr>
      </w:pPr>
      <w:r>
        <w:rPr>
          <w:rFonts w:ascii="Times New Roman" w:hAnsi="Times New Roman" w:cs="Times New Roman"/>
          <w:i/>
          <w:noProof/>
          <w:color w:val="4F81BD" w:themeColor="accent1"/>
          <w:sz w:val="20"/>
        </w:rPr>
        <w:t>Source: Emergency Response Coordination Centre (ERCC), elaborated by ICF</w:t>
      </w:r>
    </w:p>
    <w:p w:rsidR="00500553" w:rsidRDefault="00D978F2">
      <w:pPr>
        <w:jc w:val="both"/>
        <w:rPr>
          <w:rFonts w:ascii="Times New Roman" w:hAnsi="Times New Roman" w:cs="Times New Roman"/>
          <w:noProof/>
          <w:sz w:val="24"/>
          <w:szCs w:val="24"/>
        </w:rPr>
      </w:pPr>
      <w:r>
        <w:rPr>
          <w:rFonts w:ascii="Times New Roman" w:hAnsi="Times New Roman" w:cs="Times New Roman"/>
          <w:noProof/>
          <w:color w:val="000000"/>
          <w:sz w:val="24"/>
          <w:szCs w:val="24"/>
          <w:lang w:eastAsia="en-GB"/>
        </w:rPr>
        <w:drawing>
          <wp:inline distT="0" distB="0" distL="0" distR="0">
            <wp:extent cx="5629275" cy="2200275"/>
            <wp:effectExtent l="0" t="0" r="9525" b="9525"/>
            <wp:docPr id="9" name="Picture 9" descr="cid:image002.png@01D2E365.59EB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E365.59EB2370"/>
                    <pic:cNvPicPr>
                      <a:picLocks noChangeAspect="1" noChangeArrowheads="1"/>
                    </pic:cNvPicPr>
                  </pic:nvPicPr>
                  <pic:blipFill>
                    <a:blip r:embed="rId34" r:link="rId36">
                      <a:extLst>
                        <a:ext uri="{BEBA8EAE-BF5A-486C-A8C5-ECC9F3942E4B}">
                          <a14:imgProps xmlns:a14="http://schemas.microsoft.com/office/drawing/2010/main">
                            <a14:imgLayer r:embed="rId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29275" cy="2200275"/>
                    </a:xfrm>
                    <a:prstGeom prst="rect">
                      <a:avLst/>
                    </a:prstGeom>
                    <a:noFill/>
                    <a:ln>
                      <a:noFill/>
                    </a:ln>
                  </pic:spPr>
                </pic:pic>
              </a:graphicData>
            </a:graphic>
          </wp:inline>
        </w:drawing>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UCPM's flexibility in addressing emerging or unanticipated</w:t>
      </w:r>
      <w:r>
        <w:rPr>
          <w:rFonts w:ascii="Times New Roman" w:hAnsi="Times New Roman" w:cs="Times New Roman"/>
          <w:noProof/>
          <w:sz w:val="24"/>
          <w:szCs w:val="24"/>
        </w:rPr>
        <w:t xml:space="preserve"> developments and needs in the civil protection/disaster risk management arena in Europe and beyond has also been recognized by many stakeholders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The activation of the Mechanism in response to the Ebola outbreak (March 2014) and to support Participating </w:t>
      </w:r>
      <w:r>
        <w:rPr>
          <w:rFonts w:ascii="Times New Roman" w:hAnsi="Times New Roman" w:cs="Times New Roman"/>
          <w:noProof/>
          <w:sz w:val="24"/>
          <w:szCs w:val="24"/>
        </w:rPr>
        <w:t>States facing an exceptional influx of migrants (2015-2017) are probably the examples that best demonstrate the UCPM's flexibility in responding to non-traditional civil protection emergencies. However, stakeholders have voiced concerns about whether the U</w:t>
      </w:r>
      <w:r>
        <w:rPr>
          <w:rFonts w:ascii="Times New Roman" w:hAnsi="Times New Roman" w:cs="Times New Roman"/>
          <w:noProof/>
          <w:sz w:val="24"/>
          <w:szCs w:val="24"/>
        </w:rPr>
        <w:t>CPM is the right tool to address emergencies that are not fully covered by Decision 1313/2013</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relevance of the UCPM is also confirmed by:</w:t>
      </w:r>
    </w:p>
    <w:p w:rsidR="00500553" w:rsidRDefault="00D978F2">
      <w:pPr>
        <w:pStyle w:val="ListParagraph"/>
        <w:numPr>
          <w:ilvl w:val="0"/>
          <w:numId w:val="27"/>
        </w:numPr>
        <w:spacing w:before="120"/>
        <w:jc w:val="both"/>
        <w:rPr>
          <w:rFonts w:ascii="Times New Roman" w:hAnsi="Times New Roman" w:cs="Times New Roman"/>
          <w:noProof/>
          <w:sz w:val="24"/>
          <w:szCs w:val="24"/>
        </w:rPr>
      </w:pPr>
      <w:r>
        <w:rPr>
          <w:rFonts w:ascii="Times New Roman" w:hAnsi="Times New Roman" w:cs="Times New Roman"/>
          <w:noProof/>
          <w:sz w:val="24"/>
          <w:szCs w:val="24"/>
        </w:rPr>
        <w:t>Several recent resolutions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of the European Parliament calling on the Commission and the Member States to foster</w:t>
      </w:r>
      <w:r>
        <w:rPr>
          <w:rFonts w:ascii="Times New Roman" w:hAnsi="Times New Roman" w:cs="Times New Roman"/>
          <w:noProof/>
          <w:sz w:val="24"/>
          <w:szCs w:val="24"/>
        </w:rPr>
        <w:t xml:space="preserve"> cooperation among civil protection authorities across Europe and to further simplify the procedures for the activation of the Mechanism in order to make it rapidly available and effective in the immediate aftermath of a disaster.</w:t>
      </w:r>
    </w:p>
    <w:p w:rsidR="00500553" w:rsidRDefault="00D978F2">
      <w:pPr>
        <w:pStyle w:val="ListParagraph"/>
        <w:numPr>
          <w:ilvl w:val="0"/>
          <w:numId w:val="27"/>
        </w:numPr>
        <w:spacing w:before="120"/>
        <w:jc w:val="both"/>
        <w:rPr>
          <w:rFonts w:ascii="Times New Roman" w:hAnsi="Times New Roman" w:cs="Times New Roman"/>
          <w:noProof/>
          <w:sz w:val="24"/>
          <w:szCs w:val="24"/>
        </w:rPr>
      </w:pPr>
      <w:r>
        <w:rPr>
          <w:rFonts w:ascii="Times New Roman" w:hAnsi="Times New Roman" w:cs="Times New Roman"/>
          <w:noProof/>
          <w:sz w:val="24"/>
          <w:szCs w:val="24"/>
        </w:rPr>
        <w:t>The 2017 Eurobarometer Re</w:t>
      </w:r>
      <w:r>
        <w:rPr>
          <w:rFonts w:ascii="Times New Roman" w:hAnsi="Times New Roman" w:cs="Times New Roman"/>
          <w:noProof/>
          <w:sz w:val="24"/>
          <w:szCs w:val="24"/>
        </w:rPr>
        <w:t>port on Civil Protection</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according to which 90% of European citizens think that the EU should coordinate the response to disasters in any of the Member States and 87% believe there should be a common civil protection policy. There is also strong agreemen</w:t>
      </w:r>
      <w:r>
        <w:rPr>
          <w:rFonts w:ascii="Times New Roman" w:hAnsi="Times New Roman" w:cs="Times New Roman"/>
          <w:noProof/>
          <w:sz w:val="24"/>
          <w:szCs w:val="24"/>
        </w:rPr>
        <w:t xml:space="preserve">t (86%) that the EU should help any country </w:t>
      </w:r>
      <w:r>
        <w:rPr>
          <w:rFonts w:ascii="Times New Roman" w:hAnsi="Times New Roman" w:cs="Times New Roman"/>
          <w:i/>
          <w:noProof/>
          <w:sz w:val="24"/>
          <w:szCs w:val="24"/>
        </w:rPr>
        <w:t>worldwide</w:t>
      </w:r>
      <w:r>
        <w:rPr>
          <w:rFonts w:ascii="Times New Roman" w:hAnsi="Times New Roman" w:cs="Times New Roman"/>
          <w:noProof/>
          <w:sz w:val="24"/>
          <w:szCs w:val="24"/>
        </w:rPr>
        <w:t xml:space="preserve"> hit by disasters in a coordinated manner, by sending experts and equipment to affected areas.</w:t>
      </w:r>
    </w:p>
    <w:p w:rsidR="00500553" w:rsidRDefault="00D978F2">
      <w:pPr>
        <w:pStyle w:val="ListParagraph"/>
        <w:numPr>
          <w:ilvl w:val="0"/>
          <w:numId w:val="27"/>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Overview of Risks in the EU</w:t>
      </w:r>
      <w:r>
        <w:rPr>
          <w:rFonts w:ascii="Times New Roman" w:hAnsi="Times New Roman" w:cs="Times New Roman"/>
          <w:noProof/>
          <w:sz w:val="24"/>
          <w:szCs w:val="24"/>
        </w:rPr>
        <w:t xml:space="preserve"> report</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stresses that disasters ‘know no borders’ and there is a need to further address cross-border and "cascading"/inter-connected risks.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As far as preparedness is concerned, the following challenges have emerged from consultations with national civil protecti</w:t>
      </w:r>
      <w:r>
        <w:rPr>
          <w:rFonts w:ascii="Times New Roman" w:hAnsi="Times New Roman" w:cs="Times New Roman"/>
          <w:noProof/>
          <w:sz w:val="24"/>
          <w:szCs w:val="24"/>
        </w:rPr>
        <w:t>on authorities and other key stakeholders (national training coordinators and international partners)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rsidR="00500553" w:rsidRDefault="00D978F2">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i/>
          <w:noProof/>
          <w:sz w:val="24"/>
          <w:szCs w:val="24"/>
        </w:rPr>
        <w:t>The training and exercise programmes require a needs-based approach which focuses on the competences necessary to implement the specific activities of t</w:t>
      </w:r>
      <w:r>
        <w:rPr>
          <w:rFonts w:ascii="Times New Roman" w:hAnsi="Times New Roman" w:cs="Times New Roman"/>
          <w:i/>
          <w:noProof/>
          <w:sz w:val="24"/>
          <w:szCs w:val="24"/>
        </w:rPr>
        <w:t>he UCPM, while incorporating relevant lessons learnt</w:t>
      </w:r>
      <w:r>
        <w:rPr>
          <w:rFonts w:ascii="Times New Roman" w:hAnsi="Times New Roman" w:cs="Times New Roman"/>
          <w:noProof/>
          <w:sz w:val="24"/>
          <w:szCs w:val="24"/>
        </w:rPr>
        <w:t>. It is therefore critical to thoroughly evaluate response missions, as well as prevention and preparedness activities, in order to distil specific training needs, with a view to develop a "competence cur</w:t>
      </w:r>
      <w:r>
        <w:rPr>
          <w:rFonts w:ascii="Times New Roman" w:hAnsi="Times New Roman" w:cs="Times New Roman"/>
          <w:noProof/>
          <w:sz w:val="24"/>
          <w:szCs w:val="24"/>
        </w:rPr>
        <w:t>riculum" for European civil protection experts. The UCPM's Training Policy Group has recently (March 2017) developed a new strategic framework for training and exercises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p>
    <w:p w:rsidR="00500553" w:rsidRDefault="00D978F2">
      <w:pPr>
        <w:pStyle w:val="NoSpacing"/>
        <w:jc w:val="both"/>
        <w:rPr>
          <w:rFonts w:ascii="Times New Roman" w:hAnsi="Times New Roman" w:cs="Times New Roman"/>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6</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xml:space="preserve">: Number of individuals attending at least one </w:t>
      </w:r>
      <w:r>
        <w:rPr>
          <w:rFonts w:ascii="Times New Roman" w:hAnsi="Times New Roman" w:cs="Times New Roman"/>
          <w:b/>
          <w:noProof/>
          <w:color w:val="4F81BD" w:themeColor="accent1"/>
          <w:sz w:val="20"/>
        </w:rPr>
        <w:t>training and number of individuals deployed</w:t>
      </w:r>
    </w:p>
    <w:p w:rsidR="00500553" w:rsidRDefault="00D978F2">
      <w:pPr>
        <w:pStyle w:val="NoSpacing"/>
        <w:ind w:firstLine="720"/>
        <w:jc w:val="both"/>
        <w:rPr>
          <w:rFonts w:ascii="Times New Roman" w:hAnsi="Times New Roman" w:cs="Times New Roman"/>
          <w:b/>
          <w:noProof/>
          <w:sz w:val="20"/>
        </w:rPr>
      </w:pPr>
      <w:r>
        <w:rPr>
          <w:rFonts w:ascii="Times New Roman" w:hAnsi="Times New Roman" w:cs="Times New Roman"/>
          <w:b/>
          <w:noProof/>
          <w:color w:val="4F81BD" w:themeColor="accent1"/>
          <w:sz w:val="20"/>
        </w:rPr>
        <w:t>2014-2016</w:t>
      </w:r>
    </w:p>
    <w:p w:rsidR="00500553" w:rsidRDefault="00D978F2">
      <w:pPr>
        <w:pStyle w:val="NoSpacing"/>
        <w:ind w:left="720"/>
        <w:jc w:val="both"/>
        <w:rPr>
          <w:rFonts w:ascii="Times New Roman" w:hAnsi="Times New Roman" w:cs="Times New Roman"/>
          <w:noProof/>
          <w:sz w:val="20"/>
        </w:rPr>
      </w:pPr>
      <w:r>
        <w:rPr>
          <w:rFonts w:ascii="Times New Roman" w:hAnsi="Times New Roman" w:cs="Times New Roman"/>
          <w:i/>
          <w:noProof/>
          <w:color w:val="4F81BD" w:themeColor="accent1"/>
          <w:sz w:val="20"/>
        </w:rPr>
        <w:t>Source: Data from ECHO, elaborated by ICF</w:t>
      </w:r>
    </w:p>
    <w:p w:rsidR="00500553" w:rsidRDefault="00D978F2">
      <w:pPr>
        <w:pStyle w:val="BodyText"/>
        <w:spacing w:line="276" w:lineRule="auto"/>
        <w:jc w:val="both"/>
        <w:rPr>
          <w:rFonts w:ascii="Times New Roman" w:hAnsi="Times New Roman" w:cs="Times New Roman"/>
          <w:noProof/>
          <w:sz w:val="24"/>
          <w:szCs w:val="24"/>
        </w:rPr>
      </w:pPr>
      <w:r>
        <w:rPr>
          <w:rFonts w:ascii="Times New Roman" w:hAnsi="Times New Roman" w:cs="Times New Roman"/>
          <w:i/>
          <w:noProof/>
          <w:sz w:val="24"/>
          <w:szCs w:val="24"/>
          <w:lang w:eastAsia="en-GB"/>
        </w:rPr>
        <w:drawing>
          <wp:inline distT="0" distB="0" distL="0" distR="0">
            <wp:extent cx="5560060" cy="2036445"/>
            <wp:effectExtent l="0" t="0" r="254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60060" cy="2036445"/>
                    </a:xfrm>
                    <a:prstGeom prst="rect">
                      <a:avLst/>
                    </a:prstGeom>
                    <a:noFill/>
                  </pic:spPr>
                </pic:pic>
              </a:graphicData>
            </a:graphic>
          </wp:inline>
        </w:drawing>
      </w:r>
    </w:p>
    <w:p w:rsidR="00500553" w:rsidRDefault="00D978F2">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i/>
          <w:noProof/>
          <w:sz w:val="24"/>
          <w:szCs w:val="24"/>
        </w:rPr>
        <w:t>Further developing the cross-border early warning systems platforms would increase its relevance for the entire Europe.</w:t>
      </w:r>
      <w:r>
        <w:rPr>
          <w:rFonts w:ascii="Times New Roman" w:hAnsi="Times New Roman" w:cs="Times New Roman"/>
          <w:noProof/>
          <w:sz w:val="24"/>
          <w:szCs w:val="24"/>
        </w:rPr>
        <w:t xml:space="preserve"> Forest fires continue to take a signif</w:t>
      </w:r>
      <w:r>
        <w:rPr>
          <w:rFonts w:ascii="Times New Roman" w:hAnsi="Times New Roman" w:cs="Times New Roman"/>
          <w:noProof/>
          <w:sz w:val="24"/>
          <w:szCs w:val="24"/>
        </w:rPr>
        <w:t>icant toll on Europe's society, economy and environment. Recent analyses from JRC have put the average annual losses caused by forest fires to EU Member States at nearly EUR 2.7 billion/year</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The case study carried out by the external evaluators (Cyprus f</w:t>
      </w:r>
      <w:r>
        <w:rPr>
          <w:rFonts w:ascii="Times New Roman" w:hAnsi="Times New Roman" w:cs="Times New Roman"/>
          <w:noProof/>
          <w:sz w:val="24"/>
          <w:szCs w:val="24"/>
        </w:rPr>
        <w:t>orest fires of June 2016) underlined the importance of EFFIS as a tool to assess the likelihood of locating available response capacities in other Participating States during the forest fire season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Currently the ERCC is working on the possibility of mapp</w:t>
      </w:r>
      <w:r>
        <w:rPr>
          <w:rFonts w:ascii="Times New Roman" w:hAnsi="Times New Roman" w:cs="Times New Roman"/>
          <w:noProof/>
          <w:sz w:val="24"/>
          <w:szCs w:val="24"/>
        </w:rPr>
        <w:t xml:space="preserve">ing such capacities. One important caveat about the relevance of the trans-boundary early warning systems for forest fires and floods concerns the different needs (and use) across Participating States. The countries that already manage comprehensive early </w:t>
      </w:r>
      <w:r>
        <w:rPr>
          <w:rFonts w:ascii="Times New Roman" w:hAnsi="Times New Roman" w:cs="Times New Roman"/>
          <w:noProof/>
          <w:sz w:val="24"/>
          <w:szCs w:val="24"/>
        </w:rPr>
        <w:t>warning systems at the national level consider the EU-level system as mainly relevant for informing disaster preparedness and response in other Participating States and third countries. Countries which are still in the process of consolidating their nation</w:t>
      </w:r>
      <w:r>
        <w:rPr>
          <w:rFonts w:ascii="Times New Roman" w:hAnsi="Times New Roman" w:cs="Times New Roman"/>
          <w:noProof/>
          <w:sz w:val="24"/>
          <w:szCs w:val="24"/>
        </w:rPr>
        <w:t>al early warning systems tend to see it as directly relevant for their national needs, in addition to response in third countries. Furthermore, interviews with Participating States and Commission officials have shown that the end-user side of early warning</w:t>
      </w:r>
      <w:r>
        <w:rPr>
          <w:rFonts w:ascii="Times New Roman" w:hAnsi="Times New Roman" w:cs="Times New Roman"/>
          <w:noProof/>
          <w:sz w:val="24"/>
          <w:szCs w:val="24"/>
        </w:rPr>
        <w:t xml:space="preserve"> systems platforms such as EFFIS and EFAS should be further developed, so as to create a community of practitioners that reflects on operational evidence emerging from disaster events and which shares knowledge, with the objective of improving practice</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S</w:t>
      </w:r>
      <w:r>
        <w:rPr>
          <w:rFonts w:ascii="Times New Roman" w:hAnsi="Times New Roman" w:cs="Times New Roman"/>
          <w:noProof/>
          <w:sz w:val="24"/>
          <w:szCs w:val="24"/>
        </w:rPr>
        <w:t>uch a development would increase relevance of UCPM early warning platforms for most countries within Europe, regardless of their level of preparedness.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Better linking prevention with preparedness and response activities was already recommended in 2014 by t</w:t>
      </w:r>
      <w:r>
        <w:rPr>
          <w:rFonts w:ascii="Times New Roman" w:hAnsi="Times New Roman" w:cs="Times New Roman"/>
          <w:noProof/>
          <w:sz w:val="24"/>
          <w:szCs w:val="24"/>
        </w:rPr>
        <w:t>he ex-post evaluation of the previous Civil Protection Mechanism (2007-2013). This need remains relevant at the mid-term mark of the 2014-2020 Mechanism, based on what the main stakeholders have expressed</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The need to match response capacities with the ma</w:t>
      </w:r>
      <w:r>
        <w:rPr>
          <w:rFonts w:ascii="Times New Roman" w:hAnsi="Times New Roman" w:cs="Times New Roman"/>
          <w:noProof/>
          <w:sz w:val="24"/>
          <w:szCs w:val="24"/>
        </w:rPr>
        <w:t>jor risks in Europe will represent the key challenge to ensure continued relevance of UCPM. In particular, an effort for forward looking assessments that take into account "emerging" threats (e.g. cyber-attacks, CBRN, critical infrastructure failure, etc.)</w:t>
      </w:r>
      <w:r>
        <w:rPr>
          <w:rFonts w:ascii="Times New Roman" w:hAnsi="Times New Roman" w:cs="Times New Roman"/>
          <w:noProof/>
          <w:sz w:val="24"/>
          <w:szCs w:val="24"/>
        </w:rPr>
        <w:t xml:space="preserve"> is required.</w:t>
      </w:r>
    </w:p>
    <w:p w:rsidR="00500553" w:rsidRDefault="00D978F2">
      <w:pPr>
        <w:pStyle w:val="Heading2"/>
        <w:spacing w:line="276" w:lineRule="auto"/>
        <w:rPr>
          <w:rFonts w:ascii="Times New Roman" w:hAnsi="Times New Roman" w:cs="Times New Roman"/>
          <w:noProof/>
          <w:sz w:val="24"/>
          <w:szCs w:val="24"/>
        </w:rPr>
      </w:pPr>
      <w:bookmarkStart w:id="49" w:name="_Toc485914858"/>
      <w:bookmarkStart w:id="50" w:name="_Toc485915484"/>
      <w:bookmarkStart w:id="51" w:name="_Toc489347868"/>
      <w:bookmarkStart w:id="52" w:name="_Toc489427641"/>
      <w:r>
        <w:rPr>
          <w:rFonts w:ascii="Times New Roman" w:hAnsi="Times New Roman" w:cs="Times New Roman"/>
          <w:noProof/>
          <w:sz w:val="24"/>
          <w:szCs w:val="24"/>
        </w:rPr>
        <w:t>Effectiveness</w:t>
      </w:r>
      <w:bookmarkEnd w:id="49"/>
      <w:bookmarkEnd w:id="50"/>
      <w:bookmarkEnd w:id="51"/>
      <w:bookmarkEnd w:id="52"/>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UCPM is making good progress towards achieving the objectives set out by the legislation, most notably in improving cooperation and coordination between stakeholders in the civil protection sector.</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Article 3 of Decision 1313</w:t>
      </w:r>
      <w:r>
        <w:rPr>
          <w:rFonts w:ascii="Times New Roman" w:hAnsi="Times New Roman" w:cs="Times New Roman"/>
          <w:noProof/>
          <w:sz w:val="24"/>
          <w:szCs w:val="24"/>
        </w:rPr>
        <w:t>/2013 spells out four specific objectives which, in turn, are expected to contribute to achieving the two overarching general objectives (See Annex 1: Intervention Logic).</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With regards to the specific objectives of the Decision:</w:t>
      </w:r>
    </w:p>
    <w:p w:rsidR="00500553" w:rsidRDefault="00D978F2">
      <w:pPr>
        <w:jc w:val="both"/>
        <w:rPr>
          <w:rFonts w:ascii="Times New Roman" w:hAnsi="Times New Roman" w:cs="Times New Roman"/>
          <w:i/>
          <w:noProof/>
          <w:sz w:val="24"/>
          <w:szCs w:val="24"/>
        </w:rPr>
      </w:pPr>
      <w:r>
        <w:rPr>
          <w:rFonts w:ascii="Times New Roman" w:hAnsi="Times New Roman" w:cs="Times New Roman"/>
          <w:i/>
          <w:noProof/>
          <w:sz w:val="24"/>
          <w:szCs w:val="24"/>
          <w:u w:val="single"/>
        </w:rPr>
        <w:t>Specific objective 1</w:t>
      </w:r>
      <w:r>
        <w:rPr>
          <w:rFonts w:ascii="Times New Roman" w:hAnsi="Times New Roman" w:cs="Times New Roman"/>
          <w:i/>
          <w:noProof/>
          <w:sz w:val="24"/>
          <w:szCs w:val="24"/>
        </w:rPr>
        <w:t xml:space="preserve">: To </w:t>
      </w:r>
      <w:r>
        <w:rPr>
          <w:rFonts w:ascii="Times New Roman" w:hAnsi="Times New Roman" w:cs="Times New Roman"/>
          <w:i/>
          <w:noProof/>
          <w:sz w:val="24"/>
          <w:szCs w:val="24"/>
        </w:rPr>
        <w:t>achieve a high level of protection against disasters by preventing or reducing their potential effects, by fostering a culture of prevention and by improving cooperation between the civil protection and other relevant services.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Mechanism is on track to</w:t>
      </w:r>
      <w:r>
        <w:rPr>
          <w:rFonts w:ascii="Times New Roman" w:hAnsi="Times New Roman" w:cs="Times New Roman"/>
          <w:noProof/>
          <w:sz w:val="24"/>
          <w:szCs w:val="24"/>
        </w:rPr>
        <w:t xml:space="preserve"> achieve this objective. The target for the first result indicator established by the legislation ("a National Risk Assessment submitted by all Member States by end 2015") was fully achieved</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As far as the second indicator is concerned ("an assessment of </w:t>
      </w:r>
      <w:r>
        <w:rPr>
          <w:rFonts w:ascii="Times New Roman" w:hAnsi="Times New Roman" w:cs="Times New Roman"/>
          <w:noProof/>
          <w:sz w:val="24"/>
          <w:szCs w:val="24"/>
        </w:rPr>
        <w:t>Member States' risk management capability"), the target is due by end 2018 and guidelines were issued by the Commission</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From the stakeholder consultation, a consensus emerged both among civil protection authorities and other national ministries from the </w:t>
      </w:r>
      <w:r>
        <w:rPr>
          <w:rFonts w:ascii="Times New Roman" w:hAnsi="Times New Roman" w:cs="Times New Roman"/>
          <w:noProof/>
          <w:sz w:val="24"/>
          <w:szCs w:val="24"/>
        </w:rPr>
        <w:t>Participating States consulted that the UCPM has contributed towards a higher level of protection against disasters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For instance, the views of stakeholders consulted by the evaluators indicate that the national risk assessments were helpful to inform ris</w:t>
      </w:r>
      <w:r>
        <w:rPr>
          <w:rFonts w:ascii="Times New Roman" w:hAnsi="Times New Roman" w:cs="Times New Roman"/>
          <w:noProof/>
          <w:sz w:val="24"/>
          <w:szCs w:val="24"/>
        </w:rPr>
        <w:t>k reduction policies and plans as well as improving the understanding of risks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However, while the Decision's indicators capture </w:t>
      </w:r>
      <w:r>
        <w:rPr>
          <w:rFonts w:ascii="Times New Roman" w:hAnsi="Times New Roman" w:cs="Times New Roman"/>
          <w:i/>
          <w:noProof/>
          <w:sz w:val="24"/>
          <w:szCs w:val="24"/>
        </w:rPr>
        <w:t>output</w:t>
      </w:r>
      <w:r>
        <w:rPr>
          <w:rFonts w:ascii="Times New Roman" w:hAnsi="Times New Roman" w:cs="Times New Roman"/>
          <w:noProof/>
          <w:sz w:val="24"/>
          <w:szCs w:val="24"/>
        </w:rPr>
        <w:t>s (National Risk Assessment and National Risk Management Capability reports), additional evidence would be needed to des</w:t>
      </w:r>
      <w:r>
        <w:rPr>
          <w:rFonts w:ascii="Times New Roman" w:hAnsi="Times New Roman" w:cs="Times New Roman"/>
          <w:noProof/>
          <w:sz w:val="24"/>
          <w:szCs w:val="24"/>
        </w:rPr>
        <w:t xml:space="preserve">cribe the UCPM progress in achieving </w:t>
      </w:r>
      <w:r>
        <w:rPr>
          <w:rFonts w:ascii="Times New Roman" w:hAnsi="Times New Roman" w:cs="Times New Roman"/>
          <w:i/>
          <w:noProof/>
          <w:sz w:val="24"/>
          <w:szCs w:val="24"/>
        </w:rPr>
        <w:t>outcomes</w:t>
      </w:r>
      <w:r>
        <w:rPr>
          <w:rFonts w:ascii="Times New Roman" w:hAnsi="Times New Roman" w:cs="Times New Roman"/>
          <w:noProof/>
          <w:sz w:val="24"/>
          <w:szCs w:val="24"/>
        </w:rPr>
        <w:t xml:space="preserve"> (preventing or reducing potential effects and fostering a culture of prevention). For instance, this would require monitoring the uptake of outputs delivered by UCPM prevention projects (e.g. how do risk assess</w:t>
      </w:r>
      <w:r>
        <w:rPr>
          <w:rFonts w:ascii="Times New Roman" w:hAnsi="Times New Roman" w:cs="Times New Roman"/>
          <w:noProof/>
          <w:sz w:val="24"/>
          <w:szCs w:val="24"/>
        </w:rPr>
        <w:t xml:space="preserve">ment studies or knowledge sharing activities result in more effective cross-border policies and investments for risk reduction once the project is closed?). The external evaluation did not conduct such an analysis nor pointed to possible measures to carry </w:t>
      </w:r>
      <w:r>
        <w:rPr>
          <w:rFonts w:ascii="Times New Roman" w:hAnsi="Times New Roman" w:cs="Times New Roman"/>
          <w:noProof/>
          <w:sz w:val="24"/>
          <w:szCs w:val="24"/>
        </w:rPr>
        <w:t xml:space="preserve">it out in future. As far as the second part of the objective (improving cooperation between civil protection and other services) is concerned, the Decision does not set any specific indicator. However, the survey carried out with national civil protection </w:t>
      </w:r>
      <w:r>
        <w:rPr>
          <w:rFonts w:ascii="Times New Roman" w:hAnsi="Times New Roman" w:cs="Times New Roman"/>
          <w:noProof/>
          <w:sz w:val="24"/>
          <w:szCs w:val="24"/>
        </w:rPr>
        <w:t>authorities in the context of the evaluation shows a significant number of agencies/ministries involved by civil protection authorities in the preparation of NRAs</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This information can be considered as a proxy of the good level of cooperation between civi</w:t>
      </w:r>
      <w:r>
        <w:rPr>
          <w:rFonts w:ascii="Times New Roman" w:hAnsi="Times New Roman" w:cs="Times New Roman"/>
          <w:noProof/>
          <w:sz w:val="24"/>
          <w:szCs w:val="24"/>
        </w:rPr>
        <w:t>l protection and other services on disaster prevention, at least in sharing risk information.</w:t>
      </w:r>
    </w:p>
    <w:p w:rsidR="00500553" w:rsidRDefault="00D978F2">
      <w:pPr>
        <w:pStyle w:val="NoSpacing"/>
        <w:rPr>
          <w:rFonts w:ascii="Times New Roman" w:hAnsi="Times New Roman" w:cs="Times New Roman"/>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7</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Survey of national civil protection authorities. Question: Which ministries and/or public agencies were consulted during the de</w:t>
      </w:r>
      <w:r>
        <w:rPr>
          <w:rFonts w:ascii="Times New Roman" w:hAnsi="Times New Roman" w:cs="Times New Roman"/>
          <w:b/>
          <w:noProof/>
          <w:color w:val="4F81BD" w:themeColor="accent1"/>
          <w:sz w:val="20"/>
        </w:rPr>
        <w:t>velopment of your NRA?</w:t>
      </w:r>
      <w:r>
        <w:rPr>
          <w:rFonts w:ascii="Times New Roman" w:hAnsi="Times New Roman" w:cs="Times New Roman"/>
          <w:b/>
          <w:noProof/>
          <w:color w:val="4F81BD" w:themeColor="accent1"/>
          <w:sz w:val="20"/>
        </w:rPr>
        <w:br/>
      </w:r>
      <w:r>
        <w:rPr>
          <w:rFonts w:ascii="Times New Roman" w:hAnsi="Times New Roman" w:cs="Times New Roman"/>
          <w:i/>
          <w:noProof/>
          <w:color w:val="4F81BD" w:themeColor="accent1"/>
          <w:sz w:val="20"/>
        </w:rPr>
        <w:t>Source: ICF, Survey of national civil protection authorities</w:t>
      </w:r>
    </w:p>
    <w:p w:rsidR="00500553" w:rsidRDefault="00D978F2">
      <w:pPr>
        <w:pStyle w:val="BodyText"/>
        <w:spacing w:line="276" w:lineRule="auto"/>
        <w:ind w:left="567"/>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505450"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05450" cy="1905000"/>
                    </a:xfrm>
                    <a:prstGeom prst="rect">
                      <a:avLst/>
                    </a:prstGeom>
                    <a:ln>
                      <a:noFill/>
                    </a:ln>
                  </pic:spPr>
                </pic:pic>
              </a:graphicData>
            </a:graphic>
          </wp:inline>
        </w:drawing>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Activities that stakeholders consider as having contributed the most to this specific objective are: (i) the introduction of the national disaster risk assessment </w:t>
      </w:r>
      <w:r>
        <w:rPr>
          <w:rFonts w:ascii="Times New Roman" w:hAnsi="Times New Roman" w:cs="Times New Roman"/>
          <w:noProof/>
          <w:sz w:val="24"/>
          <w:szCs w:val="24"/>
        </w:rPr>
        <w:t>provision in the legislation and (ii) the financing of prevention projects on a yearly basis. When compared with preparedness and response, the perception of the public</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is that results for the prevention pillar of the UCPM are less evident. A factor that </w:t>
      </w:r>
      <w:r>
        <w:rPr>
          <w:rFonts w:ascii="Times New Roman" w:hAnsi="Times New Roman" w:cs="Times New Roman"/>
          <w:noProof/>
          <w:sz w:val="24"/>
          <w:szCs w:val="24"/>
        </w:rPr>
        <w:t>needs to be taken into account is that annual financial resources allocated to the prevention pillar are only 20% of the UCPM total budget. The impact generated by UCPM prevention activities should also include what these activities have managed to leverag</w:t>
      </w:r>
      <w:r>
        <w:rPr>
          <w:rFonts w:ascii="Times New Roman" w:hAnsi="Times New Roman" w:cs="Times New Roman"/>
          <w:noProof/>
          <w:sz w:val="24"/>
          <w:szCs w:val="24"/>
        </w:rPr>
        <w:t>e (e.g. additional financing, technical resources, etc.) outside of the Mechanism. For instance, prevention (and preparedness) activities financed by the UCPM could work as 'seed funds' that national and sub-national authorities could use to mobilise and/o</w:t>
      </w:r>
      <w:r>
        <w:rPr>
          <w:rFonts w:ascii="Times New Roman" w:hAnsi="Times New Roman" w:cs="Times New Roman"/>
          <w:noProof/>
          <w:sz w:val="24"/>
          <w:szCs w:val="24"/>
        </w:rPr>
        <w:t>r steer additional resources for disaster risk management from other EU (e.g. Cohesion/European Regional Development Fund, Horizon 2020, LIFE programme, etc.) and international (European Investment Bank; World Bank; UN agencies; etc.) programmes. Currently</w:t>
      </w:r>
      <w:r>
        <w:rPr>
          <w:rFonts w:ascii="Times New Roman" w:hAnsi="Times New Roman" w:cs="Times New Roman"/>
          <w:noProof/>
          <w:sz w:val="24"/>
          <w:szCs w:val="24"/>
        </w:rPr>
        <w:t>, from the reporting carried out by the UCPM-funded prevention activities, it is not possible to appreciate this type of impact.</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Consultations with Participating States and Commission officials also highlighted a number of challenges relating to fully capt</w:t>
      </w:r>
      <w:r>
        <w:rPr>
          <w:rFonts w:ascii="Times New Roman" w:hAnsi="Times New Roman" w:cs="Times New Roman"/>
          <w:noProof/>
          <w:sz w:val="24"/>
          <w:szCs w:val="24"/>
        </w:rPr>
        <w:t>uring and deepening the impacts of the prevention activities, which will be critical for deciding how to allocate future financing</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These include:</w:t>
      </w:r>
    </w:p>
    <w:p w:rsidR="00500553" w:rsidRDefault="00D978F2">
      <w:pPr>
        <w:pStyle w:val="ListParagraph"/>
        <w:numPr>
          <w:ilvl w:val="0"/>
          <w:numId w:val="55"/>
        </w:numPr>
        <w:jc w:val="both"/>
        <w:rPr>
          <w:rFonts w:ascii="Times New Roman" w:hAnsi="Times New Roman" w:cs="Times New Roman"/>
          <w:noProof/>
          <w:sz w:val="24"/>
          <w:szCs w:val="24"/>
        </w:rPr>
      </w:pPr>
      <w:r>
        <w:rPr>
          <w:rFonts w:ascii="Times New Roman" w:hAnsi="Times New Roman" w:cs="Times New Roman"/>
          <w:i/>
          <w:noProof/>
          <w:sz w:val="24"/>
          <w:szCs w:val="24"/>
        </w:rPr>
        <w:t xml:space="preserve">Increasing the focus of the prevention (and preparedness) projects that the UCPM finances every year. </w:t>
      </w:r>
      <w:r>
        <w:rPr>
          <w:rFonts w:ascii="Times New Roman" w:hAnsi="Times New Roman" w:cs="Times New Roman"/>
          <w:noProof/>
          <w:sz w:val="24"/>
          <w:szCs w:val="24"/>
        </w:rPr>
        <w:t>The pr</w:t>
      </w:r>
      <w:r>
        <w:rPr>
          <w:rFonts w:ascii="Times New Roman" w:hAnsi="Times New Roman" w:cs="Times New Roman"/>
          <w:noProof/>
          <w:sz w:val="24"/>
          <w:szCs w:val="24"/>
        </w:rPr>
        <w:t>ogramme, which has been running since 2000, has financed a large number of projects without always capitalising on their results. Given the relatively small size of financing (between 2014 and 2016 average funding was EUR 470 000), projects need to be targ</w:t>
      </w:r>
      <w:r>
        <w:rPr>
          <w:rFonts w:ascii="Times New Roman" w:hAnsi="Times New Roman" w:cs="Times New Roman"/>
          <w:noProof/>
          <w:sz w:val="24"/>
          <w:szCs w:val="24"/>
        </w:rPr>
        <w:t xml:space="preserve">eting the needs of the end-users and need to incorporate measures for scaling up their results. </w:t>
      </w:r>
    </w:p>
    <w:p w:rsidR="00500553" w:rsidRDefault="00D978F2">
      <w:pPr>
        <w:pStyle w:val="CommentText"/>
        <w:numPr>
          <w:ilvl w:val="0"/>
          <w:numId w:val="55"/>
        </w:numPr>
        <w:jc w:val="both"/>
        <w:rPr>
          <w:rFonts w:ascii="Times New Roman" w:hAnsi="Times New Roman" w:cs="Times New Roman"/>
          <w:noProof/>
          <w:sz w:val="24"/>
          <w:szCs w:val="24"/>
        </w:rPr>
      </w:pPr>
      <w:r>
        <w:rPr>
          <w:rFonts w:ascii="Times New Roman" w:hAnsi="Times New Roman" w:cs="Times New Roman"/>
          <w:i/>
          <w:noProof/>
          <w:sz w:val="24"/>
          <w:szCs w:val="24"/>
        </w:rPr>
        <w:t>Integrate more systematically climate change adaptation into the National Risk Assessments across the Participating States.</w:t>
      </w:r>
      <w:r>
        <w:rPr>
          <w:rFonts w:ascii="Times New Roman" w:hAnsi="Times New Roman" w:cs="Times New Roman"/>
          <w:noProof/>
          <w:sz w:val="24"/>
          <w:szCs w:val="24"/>
        </w:rPr>
        <w:t xml:space="preserve"> The 2010 Risk Assessment and Mapping (voluntary) Guidelines for Disaster Management</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issued by the Commission has asked Participating States to adopt a longer term perspective to adequately capture the potential impacts of climate change on certain types </w:t>
      </w:r>
      <w:r>
        <w:rPr>
          <w:rFonts w:ascii="Times New Roman" w:hAnsi="Times New Roman" w:cs="Times New Roman"/>
          <w:noProof/>
          <w:sz w:val="24"/>
          <w:szCs w:val="24"/>
        </w:rPr>
        <w:t xml:space="preserve">of disasters such as floods and droughts. </w:t>
      </w:r>
    </w:p>
    <w:p w:rsidR="00500553" w:rsidRDefault="00D978F2">
      <w:pPr>
        <w:pStyle w:val="ListParagraph"/>
        <w:numPr>
          <w:ilvl w:val="0"/>
          <w:numId w:val="55"/>
        </w:numPr>
        <w:jc w:val="both"/>
        <w:rPr>
          <w:rFonts w:ascii="Times New Roman" w:hAnsi="Times New Roman" w:cs="Times New Roman"/>
          <w:noProof/>
          <w:sz w:val="24"/>
          <w:szCs w:val="24"/>
        </w:rPr>
      </w:pPr>
      <w:r>
        <w:rPr>
          <w:rFonts w:ascii="Times New Roman" w:hAnsi="Times New Roman" w:cs="Times New Roman"/>
          <w:i/>
          <w:noProof/>
          <w:sz w:val="24"/>
          <w:szCs w:val="24"/>
        </w:rPr>
        <w:t>Better articulating the linkages between the UCPM prevention (and preparedness) projects and broader EU programmes (e.g. Cohesion/European Regional Development Fund, etc.)</w:t>
      </w:r>
      <w:r>
        <w:rPr>
          <w:rFonts w:ascii="Times New Roman" w:hAnsi="Times New Roman" w:cs="Times New Roman"/>
          <w:noProof/>
          <w:sz w:val="24"/>
          <w:szCs w:val="24"/>
        </w:rPr>
        <w:t>. A more strategic link with such programm</w:t>
      </w:r>
      <w:r>
        <w:rPr>
          <w:rFonts w:ascii="Times New Roman" w:hAnsi="Times New Roman" w:cs="Times New Roman"/>
          <w:noProof/>
          <w:sz w:val="24"/>
          <w:szCs w:val="24"/>
        </w:rPr>
        <w:t>es could help maximize the uptake of projects results and leverage additional technical and financial resources for prevention.</w:t>
      </w:r>
      <w:r>
        <w:rPr>
          <w:rFonts w:ascii="Times New Roman" w:hAnsi="Times New Roman" w:cs="Times New Roman"/>
          <w:i/>
          <w:noProof/>
          <w:sz w:val="24"/>
          <w:szCs w:val="24"/>
        </w:rPr>
        <w:t xml:space="preserve"> </w:t>
      </w:r>
    </w:p>
    <w:p w:rsidR="00500553" w:rsidRDefault="00D978F2">
      <w:pPr>
        <w:jc w:val="both"/>
        <w:rPr>
          <w:rFonts w:ascii="Times New Roman" w:hAnsi="Times New Roman" w:cs="Times New Roman"/>
          <w:noProof/>
          <w:sz w:val="24"/>
          <w:szCs w:val="24"/>
        </w:rPr>
      </w:pPr>
      <w:r>
        <w:rPr>
          <w:rFonts w:ascii="Times New Roman" w:hAnsi="Times New Roman" w:cs="Times New Roman"/>
          <w:i/>
          <w:noProof/>
          <w:sz w:val="24"/>
          <w:szCs w:val="24"/>
        </w:rPr>
        <w:br/>
      </w:r>
      <w:r>
        <w:rPr>
          <w:rFonts w:ascii="Times New Roman" w:hAnsi="Times New Roman" w:cs="Times New Roman"/>
          <w:i/>
          <w:noProof/>
          <w:sz w:val="24"/>
          <w:szCs w:val="24"/>
          <w:u w:val="single"/>
        </w:rPr>
        <w:t>Specific objective 2</w:t>
      </w:r>
      <w:r>
        <w:rPr>
          <w:rFonts w:ascii="Times New Roman" w:hAnsi="Times New Roman" w:cs="Times New Roman"/>
          <w:i/>
          <w:noProof/>
          <w:sz w:val="24"/>
          <w:szCs w:val="24"/>
        </w:rPr>
        <w:t>: To enhance preparedness at Member State and Union Level to respond to disasters.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The UCPM has been very </w:t>
      </w:r>
      <w:r>
        <w:rPr>
          <w:rFonts w:ascii="Times New Roman" w:hAnsi="Times New Roman" w:cs="Times New Roman"/>
          <w:noProof/>
          <w:sz w:val="24"/>
          <w:szCs w:val="24"/>
        </w:rPr>
        <w:t>effective in achieving this objective, based on the indicator set by the Decision ("quantity of response capacities included in the Voluntary Pool in relation to the capacity goals and the number of modules registered in the CECIS"). As highlighted by a re</w:t>
      </w:r>
      <w:r>
        <w:rPr>
          <w:rFonts w:ascii="Times New Roman" w:hAnsi="Times New Roman" w:cs="Times New Roman"/>
          <w:noProof/>
          <w:sz w:val="24"/>
          <w:szCs w:val="24"/>
        </w:rPr>
        <w:t>cently published Commission report</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substantial progress was made with the establishment and the functioning of the EERC and, in particular, by exceeding the initial capacity goals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for most of the modules (see Figure 8) during its first three years. As f</w:t>
      </w:r>
      <w:r>
        <w:rPr>
          <w:rFonts w:ascii="Times New Roman" w:hAnsi="Times New Roman" w:cs="Times New Roman"/>
          <w:noProof/>
          <w:sz w:val="24"/>
          <w:szCs w:val="24"/>
        </w:rPr>
        <w:t>ar as the "other response capacities" set by the Implementing Decision, after a somewhat slow start (2 capacities registered by July 2015), significant progress was recorded with 14 other capacities registered in the EERC as of May 2017</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In addition to me</w:t>
      </w:r>
      <w:r>
        <w:rPr>
          <w:rFonts w:ascii="Times New Roman" w:hAnsi="Times New Roman" w:cs="Times New Roman"/>
          <w:noProof/>
          <w:sz w:val="24"/>
          <w:szCs w:val="24"/>
        </w:rPr>
        <w:t>eting these quantitative targets, the Decision has also resulted in higher quality standards for response capacities across Europe.</w:t>
      </w:r>
    </w:p>
    <w:p w:rsidR="00500553" w:rsidRDefault="00D978F2">
      <w:pPr>
        <w:rPr>
          <w:rFonts w:ascii="Times New Roman" w:hAnsi="Times New Roman" w:cs="Times New Roman"/>
          <w:noProof/>
          <w:sz w:val="24"/>
          <w:szCs w:val="24"/>
        </w:rPr>
      </w:pPr>
      <w:r>
        <w:rPr>
          <w:rFonts w:ascii="Times New Roman" w:hAnsi="Times New Roman" w:cs="Times New Roman"/>
          <w:noProof/>
          <w:sz w:val="24"/>
          <w:szCs w:val="24"/>
        </w:rPr>
        <w:br w:type="page"/>
      </w:r>
    </w:p>
    <w:p w:rsidR="00500553" w:rsidRDefault="00D978F2">
      <w:pPr>
        <w:pStyle w:val="NoSpacing"/>
        <w:jc w:val="both"/>
        <w:rPr>
          <w:rFonts w:ascii="Times New Roman" w:hAnsi="Times New Roman" w:cs="Times New Roman"/>
          <w:b/>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8</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ERCC capacity goals compared with modules registered in the EERC</w:t>
      </w:r>
      <w:r>
        <w:rPr>
          <w:rStyle w:val="FootnoteReference"/>
          <w:rFonts w:ascii="Times New Roman" w:hAnsi="Times New Roman" w:cs="Times New Roman"/>
          <w:b/>
          <w:noProof/>
          <w:color w:val="4F81BD" w:themeColor="accent1"/>
          <w:szCs w:val="24"/>
        </w:rPr>
        <w:footnoteReference w:id="63"/>
      </w:r>
      <w:r>
        <w:rPr>
          <w:rFonts w:ascii="Times New Roman" w:hAnsi="Times New Roman" w:cs="Times New Roman"/>
          <w:b/>
          <w:noProof/>
          <w:color w:val="4F81BD" w:themeColor="accent1"/>
          <w:sz w:val="20"/>
        </w:rPr>
        <w:t xml:space="preserve"> as of 31 May, 2017</w:t>
      </w:r>
    </w:p>
    <w:p w:rsidR="00500553" w:rsidRDefault="00D978F2">
      <w:pPr>
        <w:pStyle w:val="NoSpacing"/>
        <w:ind w:left="720"/>
        <w:jc w:val="both"/>
        <w:rPr>
          <w:rFonts w:ascii="Times New Roman" w:hAnsi="Times New Roman" w:cs="Times New Roman"/>
          <w:i/>
          <w:noProof/>
          <w:sz w:val="20"/>
        </w:rPr>
      </w:pPr>
      <w:r>
        <w:rPr>
          <w:rFonts w:ascii="Times New Roman" w:hAnsi="Times New Roman" w:cs="Times New Roman"/>
          <w:i/>
          <w:noProof/>
          <w:color w:val="4F81BD" w:themeColor="accent1"/>
          <w:sz w:val="20"/>
        </w:rPr>
        <w:t>Source: DG ECHO and the Commission Implementing Decision of 16 October 2014 (C(2014) 7489)</w:t>
      </w:r>
    </w:p>
    <w:p w:rsidR="00500553" w:rsidRDefault="00D978F2">
      <w:pPr>
        <w:pStyle w:val="BodyText"/>
        <w:spacing w:line="276" w:lineRule="auto"/>
        <w:rPr>
          <w:rFonts w:ascii="Times New Roman" w:hAnsi="Times New Roman" w:cs="Times New Roman"/>
          <w:i/>
          <w:noProof/>
          <w:sz w:val="24"/>
          <w:szCs w:val="24"/>
        </w:rPr>
      </w:pPr>
      <w:r>
        <w:rPr>
          <w:rFonts w:ascii="Times New Roman" w:hAnsi="Times New Roman" w:cs="Times New Roman"/>
          <w:noProof/>
          <w:sz w:val="24"/>
          <w:szCs w:val="24"/>
          <w:lang w:eastAsia="en-GB"/>
        </w:rPr>
        <w:drawing>
          <wp:inline distT="0" distB="0" distL="0" distR="0">
            <wp:extent cx="5743575" cy="240030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00553" w:rsidRDefault="00500553">
      <w:pPr>
        <w:jc w:val="both"/>
        <w:rPr>
          <w:rFonts w:ascii="Times New Roman" w:hAnsi="Times New Roman" w:cs="Times New Roman"/>
          <w:noProof/>
          <w:sz w:val="24"/>
          <w:szCs w:val="24"/>
        </w:rPr>
      </w:pP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This assessment is also confirmed by the results of the stakeholder consultation</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Nearly all of the civil protection authorities and more than two thirds of the </w:t>
      </w:r>
      <w:r>
        <w:rPr>
          <w:rFonts w:ascii="Times New Roman" w:hAnsi="Times New Roman" w:cs="Times New Roman"/>
          <w:noProof/>
          <w:sz w:val="24"/>
          <w:szCs w:val="24"/>
        </w:rPr>
        <w:t>national ministries consulted agreed that the UCPM has been effective in enhancing preparedness at Participating State and Union levels to respond to disasters. In addition to the EERC or Voluntary Pool, this pillar, which received 50% of the total UCPM bu</w:t>
      </w:r>
      <w:r>
        <w:rPr>
          <w:rFonts w:ascii="Times New Roman" w:hAnsi="Times New Roman" w:cs="Times New Roman"/>
          <w:noProof/>
          <w:sz w:val="24"/>
          <w:szCs w:val="24"/>
        </w:rPr>
        <w:t xml:space="preserve">dget, included some of the flagship activities of the UCPM, such as the training programme; the exercise programme; the functioning of the ERCC and the CECIS. Although the Decision does not set specific results indicators for training and exercises, these </w:t>
      </w:r>
      <w:r>
        <w:rPr>
          <w:rFonts w:ascii="Times New Roman" w:hAnsi="Times New Roman" w:cs="Times New Roman"/>
          <w:noProof/>
          <w:sz w:val="24"/>
          <w:szCs w:val="24"/>
        </w:rPr>
        <w:t>were recognized among the activities that contributed the most to achieving the preparedness objective of the UCPM. National civil protection authorities consider training and exercises as being generally fit for purpose, improving the capacities of Partic</w:t>
      </w:r>
      <w:r>
        <w:rPr>
          <w:rFonts w:ascii="Times New Roman" w:hAnsi="Times New Roman" w:cs="Times New Roman"/>
          <w:noProof/>
          <w:sz w:val="24"/>
          <w:szCs w:val="24"/>
        </w:rPr>
        <w:t>ipating States, establishing common approaches and facilitating cooperation. The stakeholder consultation also highlighted the need to assess the number of slots available to Participating States for training and exercises on operational criteria (e.g. num</w:t>
      </w:r>
      <w:r>
        <w:rPr>
          <w:rFonts w:ascii="Times New Roman" w:hAnsi="Times New Roman" w:cs="Times New Roman"/>
          <w:noProof/>
          <w:sz w:val="24"/>
          <w:szCs w:val="24"/>
        </w:rPr>
        <w:t>ber of pooled capacities and experts, level of national capacity, etc.) other than the population</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w:t>
      </w:r>
    </w:p>
    <w:p w:rsidR="00500553" w:rsidRDefault="00D978F2">
      <w:pPr>
        <w:rPr>
          <w:rFonts w:ascii="Times New Roman" w:hAnsi="Times New Roman" w:cs="Times New Roman"/>
          <w:noProof/>
          <w:sz w:val="24"/>
          <w:szCs w:val="24"/>
        </w:rPr>
      </w:pPr>
      <w:r>
        <w:rPr>
          <w:rFonts w:ascii="Times New Roman" w:hAnsi="Times New Roman" w:cs="Times New Roman"/>
          <w:noProof/>
          <w:sz w:val="24"/>
          <w:szCs w:val="24"/>
        </w:rPr>
        <w:br w:type="page"/>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external evaluation and its stakeholders' consultation point to a number of challenges that may affect the full achievement of this objective by the e</w:t>
      </w:r>
      <w:r>
        <w:rPr>
          <w:rFonts w:ascii="Times New Roman" w:hAnsi="Times New Roman" w:cs="Times New Roman"/>
          <w:noProof/>
          <w:sz w:val="24"/>
          <w:szCs w:val="24"/>
        </w:rPr>
        <w:t>nd of the UCPM implementation period</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These include:</w:t>
      </w:r>
    </w:p>
    <w:p w:rsidR="00500553" w:rsidRDefault="00D978F2">
      <w:pPr>
        <w:pStyle w:val="ListParagraph"/>
        <w:numPr>
          <w:ilvl w:val="0"/>
          <w:numId w:val="56"/>
        </w:numPr>
        <w:jc w:val="both"/>
        <w:rPr>
          <w:rFonts w:ascii="Times New Roman" w:hAnsi="Times New Roman" w:cs="Times New Roman"/>
          <w:noProof/>
          <w:sz w:val="24"/>
          <w:szCs w:val="24"/>
        </w:rPr>
      </w:pPr>
      <w:r>
        <w:rPr>
          <w:rFonts w:ascii="Times New Roman" w:hAnsi="Times New Roman" w:cs="Times New Roman"/>
          <w:i/>
          <w:noProof/>
          <w:sz w:val="24"/>
          <w:szCs w:val="24"/>
        </w:rPr>
        <w:t>A more evidence-based approach to preparedness is required</w:t>
      </w:r>
      <w:r>
        <w:rPr>
          <w:rFonts w:ascii="Times New Roman" w:hAnsi="Times New Roman" w:cs="Times New Roman"/>
          <w:noProof/>
          <w:sz w:val="24"/>
          <w:szCs w:val="24"/>
        </w:rPr>
        <w:t>. The capacity goals set by the Implementing Decision should be revised against the main/critical risks Europe is facing and prioritized accordi</w:t>
      </w:r>
      <w:r>
        <w:rPr>
          <w:rFonts w:ascii="Times New Roman" w:hAnsi="Times New Roman" w:cs="Times New Roman"/>
          <w:noProof/>
          <w:sz w:val="24"/>
          <w:szCs w:val="24"/>
        </w:rPr>
        <w:t>ngly. This is fully in line with Art. 14 (2) of the UCPM Implementing Decision</w:t>
      </w:r>
      <w:r>
        <w:rPr>
          <w:rStyle w:val="FootnoteReference"/>
          <w:rFonts w:ascii="Times New Roman" w:hAnsi="Times New Roman" w:cs="Times New Roman"/>
          <w:noProof/>
          <w:sz w:val="24"/>
          <w:szCs w:val="24"/>
        </w:rPr>
        <w:footnoteReference w:id="67"/>
      </w:r>
      <w:r>
        <w:rPr>
          <w:rStyle w:val="FootnoteReference"/>
          <w:rFonts w:ascii="Times New Roman" w:hAnsi="Times New Roman" w:cs="Times New Roman"/>
          <w:noProof/>
          <w:sz w:val="24"/>
          <w:szCs w:val="24"/>
        </w:rPr>
        <w:t>,</w:t>
      </w:r>
      <w:r>
        <w:rPr>
          <w:rFonts w:ascii="Times New Roman" w:hAnsi="Times New Roman" w:cs="Times New Roman"/>
          <w:noProof/>
          <w:sz w:val="24"/>
          <w:szCs w:val="24"/>
        </w:rPr>
        <w:t xml:space="preserve"> which requires the Commission to regularly assess and revise the suitability of capacity goals "on the basis of risks identified in national risk assessments or other appropri</w:t>
      </w:r>
      <w:r>
        <w:rPr>
          <w:rFonts w:ascii="Times New Roman" w:hAnsi="Times New Roman" w:cs="Times New Roman"/>
          <w:noProof/>
          <w:sz w:val="24"/>
          <w:szCs w:val="24"/>
        </w:rPr>
        <w:t>ate national or international source of information." A close dialogue with Participating States is critical in order to capture all national capacities, including those which are not registered in the EERC but may still be deployable via the UCPM. Similar</w:t>
      </w:r>
      <w:r>
        <w:rPr>
          <w:rFonts w:ascii="Times New Roman" w:hAnsi="Times New Roman" w:cs="Times New Roman"/>
          <w:noProof/>
          <w:sz w:val="24"/>
          <w:szCs w:val="24"/>
        </w:rPr>
        <w:t>ly, the spatial distribution of (natural and man-made) risks across Europe should inform the geographical distribution of response capacities.</w:t>
      </w:r>
    </w:p>
    <w:p w:rsidR="00500553" w:rsidRDefault="00D978F2">
      <w:pPr>
        <w:pStyle w:val="ListParagraph"/>
        <w:tabs>
          <w:tab w:val="left" w:pos="5867"/>
        </w:tabs>
        <w:jc w:val="both"/>
        <w:rPr>
          <w:rFonts w:ascii="Times New Roman" w:hAnsi="Times New Roman" w:cs="Times New Roman"/>
          <w:noProof/>
          <w:sz w:val="24"/>
          <w:szCs w:val="24"/>
        </w:rPr>
      </w:pPr>
      <w:r>
        <w:rPr>
          <w:rFonts w:ascii="Times New Roman" w:hAnsi="Times New Roman" w:cs="Times New Roman"/>
          <w:noProof/>
          <w:sz w:val="24"/>
          <w:szCs w:val="24"/>
        </w:rPr>
        <w:tab/>
      </w:r>
    </w:p>
    <w:p w:rsidR="00500553" w:rsidRDefault="00D978F2">
      <w:pPr>
        <w:pStyle w:val="ListParagraph"/>
        <w:numPr>
          <w:ilvl w:val="0"/>
          <w:numId w:val="56"/>
        </w:numPr>
        <w:jc w:val="both"/>
        <w:rPr>
          <w:rFonts w:ascii="Times New Roman" w:hAnsi="Times New Roman" w:cs="Times New Roman"/>
          <w:noProof/>
          <w:sz w:val="24"/>
          <w:szCs w:val="24"/>
        </w:rPr>
      </w:pPr>
      <w:r>
        <w:rPr>
          <w:rFonts w:ascii="Times New Roman" w:hAnsi="Times New Roman" w:cs="Times New Roman"/>
          <w:i/>
          <w:noProof/>
          <w:sz w:val="24"/>
          <w:szCs w:val="24"/>
        </w:rPr>
        <w:t xml:space="preserve">The need to re-assess the system of incentives for pooling assets in the EERC based on lessons learnt and other knowledge emerging from operations. </w:t>
      </w:r>
      <w:r>
        <w:rPr>
          <w:rFonts w:ascii="Times New Roman" w:hAnsi="Times New Roman" w:cs="Times New Roman"/>
          <w:noProof/>
          <w:sz w:val="24"/>
          <w:szCs w:val="24"/>
        </w:rPr>
        <w:t>A significant part of these incentives concern the level of co-financing for the deployment of EERC capaciti</w:t>
      </w:r>
      <w:r>
        <w:rPr>
          <w:rFonts w:ascii="Times New Roman" w:hAnsi="Times New Roman" w:cs="Times New Roman"/>
          <w:noProof/>
          <w:sz w:val="24"/>
          <w:szCs w:val="24"/>
        </w:rPr>
        <w:t>es or the mobilisation of buffer capacities; providing health and third-party liability insurance coverage for experts deployed. The deployment of EERC capacities, particularly for long-term missions outside the EU, would certainly benefit from the availab</w:t>
      </w:r>
      <w:r>
        <w:rPr>
          <w:rFonts w:ascii="Times New Roman" w:hAnsi="Times New Roman" w:cs="Times New Roman"/>
          <w:noProof/>
          <w:sz w:val="24"/>
          <w:szCs w:val="24"/>
        </w:rPr>
        <w:t>ility of more ‘robust’ EU co-financing possibilities. The administrative burden involved in registering and certifying modules also ranks among the main concerns of Participating States, although this is being addressed by the Commission with a more stream</w:t>
      </w:r>
      <w:r>
        <w:rPr>
          <w:rFonts w:ascii="Times New Roman" w:hAnsi="Times New Roman" w:cs="Times New Roman"/>
          <w:noProof/>
          <w:sz w:val="24"/>
          <w:szCs w:val="24"/>
        </w:rPr>
        <w:t>lined and coherent planning process for exercises, certification and registration of assets in the EERC.</w:t>
      </w:r>
    </w:p>
    <w:p w:rsidR="00500553" w:rsidRDefault="00500553">
      <w:pPr>
        <w:pStyle w:val="ListParagraph"/>
        <w:jc w:val="both"/>
        <w:rPr>
          <w:rFonts w:ascii="Times New Roman" w:hAnsi="Times New Roman" w:cs="Times New Roman"/>
          <w:noProof/>
          <w:sz w:val="24"/>
          <w:szCs w:val="24"/>
        </w:rPr>
      </w:pPr>
    </w:p>
    <w:p w:rsidR="00500553" w:rsidRDefault="00D978F2">
      <w:pPr>
        <w:pStyle w:val="ListParagraph"/>
        <w:numPr>
          <w:ilvl w:val="0"/>
          <w:numId w:val="56"/>
        </w:numPr>
        <w:jc w:val="both"/>
        <w:rPr>
          <w:rFonts w:ascii="Times New Roman" w:hAnsi="Times New Roman" w:cs="Times New Roman"/>
          <w:noProof/>
          <w:sz w:val="24"/>
          <w:szCs w:val="24"/>
        </w:rPr>
      </w:pPr>
      <w:r>
        <w:rPr>
          <w:rFonts w:ascii="Times New Roman" w:hAnsi="Times New Roman" w:cs="Times New Roman"/>
          <w:i/>
          <w:noProof/>
          <w:sz w:val="24"/>
          <w:szCs w:val="24"/>
        </w:rPr>
        <w:t xml:space="preserve">The training and exercise activities of the UCPM require a strategic approach focusing on results. </w:t>
      </w:r>
      <w:r>
        <w:rPr>
          <w:rFonts w:ascii="Times New Roman" w:hAnsi="Times New Roman" w:cs="Times New Roman"/>
          <w:noProof/>
          <w:sz w:val="24"/>
          <w:szCs w:val="24"/>
        </w:rPr>
        <w:t>Some of the consulted Participating States have hig</w:t>
      </w:r>
      <w:r>
        <w:rPr>
          <w:rFonts w:ascii="Times New Roman" w:hAnsi="Times New Roman" w:cs="Times New Roman"/>
          <w:noProof/>
          <w:sz w:val="24"/>
          <w:szCs w:val="24"/>
        </w:rPr>
        <w:t xml:space="preserve">hlighted the need to move from a system focused on </w:t>
      </w:r>
      <w:r>
        <w:rPr>
          <w:rFonts w:ascii="Times New Roman" w:hAnsi="Times New Roman" w:cs="Times New Roman"/>
          <w:i/>
          <w:noProof/>
          <w:sz w:val="24"/>
          <w:szCs w:val="24"/>
        </w:rPr>
        <w:t>outputs</w:t>
      </w:r>
      <w:r>
        <w:rPr>
          <w:rFonts w:ascii="Times New Roman" w:hAnsi="Times New Roman" w:cs="Times New Roman"/>
          <w:noProof/>
          <w:sz w:val="24"/>
          <w:szCs w:val="24"/>
        </w:rPr>
        <w:t xml:space="preserve"> (i.e. number of individuals trained) to addressing operational needs that stem from operations. This is currently being addressed with the Strategic Framework for Training and Exercises, recently l</w:t>
      </w:r>
      <w:r>
        <w:rPr>
          <w:rFonts w:ascii="Times New Roman" w:hAnsi="Times New Roman" w:cs="Times New Roman"/>
          <w:noProof/>
          <w:sz w:val="24"/>
          <w:szCs w:val="24"/>
        </w:rPr>
        <w:t xml:space="preserve">aunched by the Commission, which is focused on </w:t>
      </w:r>
      <w:r>
        <w:rPr>
          <w:rFonts w:ascii="Times New Roman" w:hAnsi="Times New Roman" w:cs="Times New Roman"/>
          <w:i/>
          <w:noProof/>
          <w:sz w:val="24"/>
          <w:szCs w:val="24"/>
        </w:rPr>
        <w:t>competences</w:t>
      </w:r>
      <w:r>
        <w:rPr>
          <w:rFonts w:ascii="Times New Roman" w:hAnsi="Times New Roman" w:cs="Times New Roman"/>
          <w:noProof/>
          <w:sz w:val="24"/>
          <w:szCs w:val="24"/>
        </w:rPr>
        <w:t>. Furthermore, a robust framework for evaluating the training courses administered as well as the individuals trained is considered as a priority in order to match the needs on the ground with the b</w:t>
      </w:r>
      <w:r>
        <w:rPr>
          <w:rFonts w:ascii="Times New Roman" w:hAnsi="Times New Roman" w:cs="Times New Roman"/>
          <w:noProof/>
          <w:sz w:val="24"/>
          <w:szCs w:val="24"/>
        </w:rPr>
        <w:t>est technical resources available. Similar considerations were raised with regards to the exercises.</w:t>
      </w:r>
    </w:p>
    <w:p w:rsidR="00500553" w:rsidRDefault="00D978F2">
      <w:pPr>
        <w:jc w:val="both"/>
        <w:rPr>
          <w:rFonts w:ascii="Times New Roman" w:hAnsi="Times New Roman" w:cs="Times New Roman"/>
          <w:i/>
          <w:noProof/>
          <w:sz w:val="24"/>
          <w:szCs w:val="24"/>
        </w:rPr>
      </w:pPr>
      <w:r>
        <w:rPr>
          <w:rFonts w:ascii="Times New Roman" w:hAnsi="Times New Roman" w:cs="Times New Roman"/>
          <w:i/>
          <w:noProof/>
          <w:sz w:val="24"/>
          <w:szCs w:val="24"/>
          <w:u w:val="single"/>
        </w:rPr>
        <w:t>Specific objective 3</w:t>
      </w:r>
      <w:r>
        <w:rPr>
          <w:rFonts w:ascii="Times New Roman" w:hAnsi="Times New Roman" w:cs="Times New Roman"/>
          <w:i/>
          <w:noProof/>
          <w:sz w:val="24"/>
          <w:szCs w:val="24"/>
        </w:rPr>
        <w:t>: To facilitate rapid and efficient response in the event of disasters or imminent disasters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Overall, the UCPM has made significant pro</w:t>
      </w:r>
      <w:r>
        <w:rPr>
          <w:rFonts w:ascii="Times New Roman" w:hAnsi="Times New Roman" w:cs="Times New Roman"/>
          <w:noProof/>
          <w:sz w:val="24"/>
          <w:szCs w:val="24"/>
        </w:rPr>
        <w:t>gress towards achieving a rapid and efficient response to disasters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Stakeholders across all categories, including those who participated in the Open Public Consultation, noted as one of the key achievements the improved coordination and flow of informati</w:t>
      </w:r>
      <w:r>
        <w:rPr>
          <w:rFonts w:ascii="Times New Roman" w:hAnsi="Times New Roman" w:cs="Times New Roman"/>
          <w:noProof/>
          <w:sz w:val="24"/>
          <w:szCs w:val="24"/>
        </w:rPr>
        <w:t>on at EU-level through the scaling-up of the ERCC and CECIS during the period 2014-2016. Civil protection authorities were generally satisfied with the ability of the UCPM to respond to disasters within the Union, a vast majority considering that informati</w:t>
      </w:r>
      <w:r>
        <w:rPr>
          <w:rFonts w:ascii="Times New Roman" w:hAnsi="Times New Roman" w:cs="Times New Roman"/>
          <w:noProof/>
          <w:sz w:val="24"/>
          <w:szCs w:val="24"/>
        </w:rPr>
        <w:t>on provided to countries for deploying assistance was comprehensive, sufficiently detailed, based on the needs on the ground and provided in a timely manner</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Three quarters of civil protection authorities consulted also considered response coordination to</w:t>
      </w:r>
      <w:r>
        <w:rPr>
          <w:rFonts w:ascii="Times New Roman" w:hAnsi="Times New Roman" w:cs="Times New Roman"/>
          <w:noProof/>
          <w:sz w:val="24"/>
          <w:szCs w:val="24"/>
        </w:rPr>
        <w:t xml:space="preserve"> be smooth and timely.</w:t>
      </w:r>
    </w:p>
    <w:p w:rsidR="00500553" w:rsidRDefault="00D978F2">
      <w:pPr>
        <w:pStyle w:val="Body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Outside of the EU, UCPM response was considered "broadly effective" by the recent audit of the ECA</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which focused on three disasters (floods in Bosnia and Herzegovina, Ebola outbreak in West Africa and Nepal earthquake) to which the</w:t>
      </w:r>
      <w:r>
        <w:rPr>
          <w:rFonts w:ascii="Times New Roman" w:hAnsi="Times New Roman" w:cs="Times New Roman"/>
          <w:noProof/>
          <w:sz w:val="24"/>
          <w:szCs w:val="24"/>
        </w:rPr>
        <w:t xml:space="preserve"> UCPM responded. According to the ECA, the UCPM activation was timely and, in each of the three cases observed, the EU Civil Protection Team facilitated coordination on the ground with the Participating States' response teams. The coordination among differ</w:t>
      </w:r>
      <w:r>
        <w:rPr>
          <w:rFonts w:ascii="Times New Roman" w:hAnsi="Times New Roman" w:cs="Times New Roman"/>
          <w:noProof/>
          <w:sz w:val="24"/>
          <w:szCs w:val="24"/>
        </w:rPr>
        <w:t>ent Commission services, as well as with other EU and non-EU bodies, was inclusive (see also Section 6.4 on coherence). The Commission also respected the UN’s overall lead, and took steps to ensure a smooth transition into the recovery phase. Response miss</w:t>
      </w:r>
      <w:r>
        <w:rPr>
          <w:rFonts w:ascii="Times New Roman" w:hAnsi="Times New Roman" w:cs="Times New Roman"/>
          <w:noProof/>
          <w:sz w:val="24"/>
          <w:szCs w:val="24"/>
        </w:rPr>
        <w:t>ions outside the Union were deemed effective also by international actors (UN OCHA, WFP, IOM, UNHCR, etc.) participating in the stakeholders' consultation</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The importance of gaining a better/broader understanding of the context and partners on the ground </w:t>
      </w:r>
      <w:r>
        <w:rPr>
          <w:rFonts w:ascii="Times New Roman" w:hAnsi="Times New Roman" w:cs="Times New Roman"/>
          <w:noProof/>
          <w:sz w:val="24"/>
          <w:szCs w:val="24"/>
        </w:rPr>
        <w:t>was highlighted by some of the international stakeholders</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This goes in the same direction as the ECA's recommendation to involve more systematically DG ECHO personnel in the field during UCPM response missions.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In order to complement the perception of st</w:t>
      </w:r>
      <w:r>
        <w:rPr>
          <w:rFonts w:ascii="Times New Roman" w:hAnsi="Times New Roman" w:cs="Times New Roman"/>
          <w:noProof/>
          <w:sz w:val="24"/>
          <w:szCs w:val="24"/>
        </w:rPr>
        <w:t>akeholders with statistical evidence on the speed of UCPM response to comparable disasters inside Europe (e.g. forest fires), the external evaluation looked at response times for selected emergencies based on data recorded in CECIS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While the analysis car</w:t>
      </w:r>
      <w:r>
        <w:rPr>
          <w:rFonts w:ascii="Times New Roman" w:hAnsi="Times New Roman" w:cs="Times New Roman"/>
          <w:noProof/>
          <w:sz w:val="24"/>
          <w:szCs w:val="24"/>
        </w:rPr>
        <w:t>ried out in the external evaluation report is too limited to allow any solid conclusion on the speed of response, it pointed to a discrepancy between the indicators set by the UCPM Implementing Decision and the data that are currently recorded (in some cas</w:t>
      </w:r>
      <w:r>
        <w:rPr>
          <w:rFonts w:ascii="Times New Roman" w:hAnsi="Times New Roman" w:cs="Times New Roman"/>
          <w:noProof/>
          <w:sz w:val="24"/>
          <w:szCs w:val="24"/>
        </w:rPr>
        <w:t xml:space="preserve">es manually entered) in CECIS. In particular, while the only speed indicator that the legislation (Implementing Decision 16 October 2014) refers to is the "availability" of each response module, the parameter monitored by the ERCC is the "departure time". </w:t>
      </w:r>
      <w:r>
        <w:rPr>
          <w:rFonts w:ascii="Times New Roman" w:hAnsi="Times New Roman" w:cs="Times New Roman"/>
          <w:noProof/>
          <w:sz w:val="24"/>
          <w:szCs w:val="24"/>
        </w:rPr>
        <w:t>Therefore, there is a need to harmonize indicators in order to allow comparisons and measure whether there is any progress in the speed of response. In addition to identifying and harmonizing the indicators, as already highlighted by a recommendation of th</w:t>
      </w:r>
      <w:r>
        <w:rPr>
          <w:rFonts w:ascii="Times New Roman" w:hAnsi="Times New Roman" w:cs="Times New Roman"/>
          <w:noProof/>
          <w:sz w:val="24"/>
          <w:szCs w:val="24"/>
        </w:rPr>
        <w:t>e ECA, statistics and reports based on CECIS data should be automatically generated and analysed.</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Moreover, the lack of baseline and target values (i.e. what can be considered as a "rapid response" to a forest fire/earthquake/flash flood/etc.?) is an obstacle to appreciating effective progress in making disaster response speedier. Similar challenges ex</w:t>
      </w:r>
      <w:r>
        <w:rPr>
          <w:rFonts w:ascii="Times New Roman" w:hAnsi="Times New Roman" w:cs="Times New Roman"/>
          <w:noProof/>
          <w:sz w:val="24"/>
          <w:szCs w:val="24"/>
        </w:rPr>
        <w:t xml:space="preserve">ist for the second dimension of this indicator ("efficient response"), as explained in section 6.3 on Efficiency. </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In addition to adequately monitoring the speed of response, the external evaluation raised other challenges to fully measuring and, possibly,</w:t>
      </w:r>
      <w:r>
        <w:rPr>
          <w:rFonts w:ascii="Times New Roman" w:hAnsi="Times New Roman" w:cs="Times New Roman"/>
          <w:noProof/>
          <w:sz w:val="24"/>
          <w:szCs w:val="24"/>
        </w:rPr>
        <w:t xml:space="preserve"> achieving the results under this specific objective:</w:t>
      </w:r>
    </w:p>
    <w:p w:rsidR="00500553" w:rsidRDefault="00D978F2">
      <w:pPr>
        <w:pStyle w:val="ListParagraph"/>
        <w:numPr>
          <w:ilvl w:val="0"/>
          <w:numId w:val="57"/>
        </w:numPr>
        <w:jc w:val="both"/>
        <w:rPr>
          <w:rFonts w:ascii="Times New Roman" w:hAnsi="Times New Roman" w:cs="Times New Roman"/>
          <w:noProof/>
          <w:sz w:val="24"/>
          <w:szCs w:val="24"/>
        </w:rPr>
      </w:pPr>
      <w:r>
        <w:rPr>
          <w:rFonts w:ascii="Times New Roman" w:hAnsi="Times New Roman" w:cs="Times New Roman"/>
          <w:i/>
          <w:noProof/>
          <w:sz w:val="24"/>
          <w:szCs w:val="24"/>
        </w:rPr>
        <w:t>Needs assessments in the Requests for Assistance are often not available and/or not collected in a standardised format</w:t>
      </w:r>
      <w:r>
        <w:rPr>
          <w:rFonts w:ascii="Times New Roman" w:hAnsi="Times New Roman" w:cs="Times New Roman"/>
          <w:noProof/>
          <w:sz w:val="24"/>
          <w:szCs w:val="24"/>
        </w:rPr>
        <w:t>. Due to this, the second indicator set by the Decision for assessing disaster respo</w:t>
      </w:r>
      <w:r>
        <w:rPr>
          <w:rFonts w:ascii="Times New Roman" w:hAnsi="Times New Roman" w:cs="Times New Roman"/>
          <w:noProof/>
          <w:sz w:val="24"/>
          <w:szCs w:val="24"/>
        </w:rPr>
        <w:t xml:space="preserve">nse, ("extent to which the assistance contributes to the needs on the ground") can only be measured based on perceptions and other qualitative input provided by the stakeholders. In this context the external evaluation noted a low level of awareness among </w:t>
      </w:r>
      <w:r>
        <w:rPr>
          <w:rFonts w:ascii="Times New Roman" w:hAnsi="Times New Roman" w:cs="Times New Roman"/>
          <w:noProof/>
          <w:sz w:val="24"/>
          <w:szCs w:val="24"/>
        </w:rPr>
        <w:t>Participating States of the common template for request for assistance, which was agreed in the context of the Host Nations Support Guidelines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w:t>
      </w:r>
    </w:p>
    <w:p w:rsidR="00500553" w:rsidRDefault="00500553">
      <w:pPr>
        <w:pStyle w:val="ListParagraph"/>
        <w:ind w:firstLine="60"/>
        <w:jc w:val="both"/>
        <w:rPr>
          <w:rFonts w:ascii="Times New Roman" w:hAnsi="Times New Roman" w:cs="Times New Roman"/>
          <w:noProof/>
          <w:sz w:val="24"/>
          <w:szCs w:val="24"/>
        </w:rPr>
      </w:pPr>
    </w:p>
    <w:p w:rsidR="00500553" w:rsidRDefault="00D978F2">
      <w:pPr>
        <w:pStyle w:val="ListParagraph"/>
        <w:numPr>
          <w:ilvl w:val="0"/>
          <w:numId w:val="57"/>
        </w:numPr>
        <w:jc w:val="both"/>
        <w:rPr>
          <w:rFonts w:ascii="Times New Roman" w:hAnsi="Times New Roman" w:cs="Times New Roman"/>
          <w:noProof/>
          <w:sz w:val="24"/>
          <w:szCs w:val="24"/>
        </w:rPr>
      </w:pPr>
      <w:r>
        <w:rPr>
          <w:rFonts w:ascii="Times New Roman" w:hAnsi="Times New Roman" w:cs="Times New Roman"/>
          <w:i/>
          <w:noProof/>
          <w:sz w:val="24"/>
          <w:szCs w:val="24"/>
        </w:rPr>
        <w:t xml:space="preserve">When facing imminent disasters, the pre-deployment of a small UCPM team ahead of the formal activation should </w:t>
      </w:r>
      <w:r>
        <w:rPr>
          <w:rFonts w:ascii="Times New Roman" w:hAnsi="Times New Roman" w:cs="Times New Roman"/>
          <w:i/>
          <w:noProof/>
          <w:sz w:val="24"/>
          <w:szCs w:val="24"/>
        </w:rPr>
        <w:t>be considered</w:t>
      </w:r>
      <w:r>
        <w:rPr>
          <w:rFonts w:ascii="Times New Roman" w:hAnsi="Times New Roman" w:cs="Times New Roman"/>
          <w:noProof/>
          <w:sz w:val="24"/>
          <w:szCs w:val="24"/>
        </w:rPr>
        <w:t>, as this could prepare the ground for the following deployment and make a significant difference to accelerate UCPM response.</w:t>
      </w:r>
    </w:p>
    <w:p w:rsidR="00500553" w:rsidRDefault="00500553">
      <w:pPr>
        <w:pStyle w:val="ListParagraph"/>
        <w:jc w:val="both"/>
        <w:rPr>
          <w:rFonts w:ascii="Times New Roman" w:hAnsi="Times New Roman" w:cs="Times New Roman"/>
          <w:noProof/>
          <w:sz w:val="24"/>
          <w:szCs w:val="24"/>
        </w:rPr>
      </w:pPr>
    </w:p>
    <w:p w:rsidR="00500553" w:rsidRDefault="00D978F2">
      <w:pPr>
        <w:pStyle w:val="ListParagraph"/>
        <w:numPr>
          <w:ilvl w:val="0"/>
          <w:numId w:val="57"/>
        </w:numPr>
        <w:jc w:val="both"/>
        <w:rPr>
          <w:rFonts w:ascii="Times New Roman" w:hAnsi="Times New Roman" w:cs="Times New Roman"/>
          <w:noProof/>
          <w:sz w:val="24"/>
          <w:szCs w:val="24"/>
        </w:rPr>
      </w:pPr>
      <w:r>
        <w:rPr>
          <w:rFonts w:ascii="Times New Roman" w:hAnsi="Times New Roman" w:cs="Times New Roman"/>
          <w:i/>
          <w:noProof/>
          <w:sz w:val="24"/>
          <w:szCs w:val="24"/>
        </w:rPr>
        <w:t>Further simplifying administrative and financial procedures</w:t>
      </w:r>
      <w:r>
        <w:rPr>
          <w:rFonts w:ascii="Times New Roman" w:hAnsi="Times New Roman" w:cs="Times New Roman"/>
          <w:noProof/>
          <w:sz w:val="24"/>
          <w:szCs w:val="24"/>
        </w:rPr>
        <w:t xml:space="preserve"> for engaging response capacities under the UCPM which, </w:t>
      </w:r>
      <w:r>
        <w:rPr>
          <w:rFonts w:ascii="Times New Roman" w:hAnsi="Times New Roman" w:cs="Times New Roman"/>
          <w:noProof/>
          <w:sz w:val="24"/>
          <w:szCs w:val="24"/>
        </w:rPr>
        <w:t>according to some Participating States, in some cases is less rapid than bilateral channels. A number of operational 'quick fixes' have already been identified by the users (e.g. integrating in CECIS the transport co-financing request form; revising the mi</w:t>
      </w:r>
      <w:r>
        <w:rPr>
          <w:rFonts w:ascii="Times New Roman" w:hAnsi="Times New Roman" w:cs="Times New Roman"/>
          <w:noProof/>
          <w:sz w:val="24"/>
          <w:szCs w:val="24"/>
        </w:rPr>
        <w:t>nimum threshold for individual transport grant applications; etc.) and could be addressed rapidly.</w:t>
      </w:r>
    </w:p>
    <w:p w:rsidR="00500553" w:rsidRDefault="00500553">
      <w:pPr>
        <w:pStyle w:val="ListParagraph"/>
        <w:jc w:val="both"/>
        <w:rPr>
          <w:rFonts w:ascii="Times New Roman" w:hAnsi="Times New Roman" w:cs="Times New Roman"/>
          <w:noProof/>
          <w:sz w:val="24"/>
          <w:szCs w:val="24"/>
        </w:rPr>
      </w:pPr>
    </w:p>
    <w:p w:rsidR="00500553" w:rsidRDefault="00D978F2">
      <w:pPr>
        <w:pStyle w:val="ListParagraph"/>
        <w:numPr>
          <w:ilvl w:val="0"/>
          <w:numId w:val="57"/>
        </w:numPr>
        <w:jc w:val="both"/>
        <w:rPr>
          <w:rFonts w:ascii="Times New Roman" w:hAnsi="Times New Roman" w:cs="Times New Roman"/>
          <w:noProof/>
          <w:sz w:val="24"/>
          <w:szCs w:val="24"/>
        </w:rPr>
      </w:pPr>
      <w:r>
        <w:rPr>
          <w:rFonts w:ascii="Times New Roman" w:hAnsi="Times New Roman" w:cs="Times New Roman"/>
          <w:i/>
          <w:noProof/>
          <w:sz w:val="24"/>
          <w:szCs w:val="24"/>
        </w:rPr>
        <w:t xml:space="preserve">Ensuring the best match between operational needs and experts deployed in the EU Civil Protection Team. </w:t>
      </w:r>
      <w:r>
        <w:rPr>
          <w:rFonts w:ascii="Times New Roman" w:hAnsi="Times New Roman" w:cs="Times New Roman"/>
          <w:noProof/>
          <w:sz w:val="24"/>
          <w:szCs w:val="24"/>
        </w:rPr>
        <w:t>Consulted civil protection authorities found the Ter</w:t>
      </w:r>
      <w:r>
        <w:rPr>
          <w:rFonts w:ascii="Times New Roman" w:hAnsi="Times New Roman" w:cs="Times New Roman"/>
          <w:noProof/>
          <w:sz w:val="24"/>
          <w:szCs w:val="24"/>
        </w:rPr>
        <w:t>ms of Reference produced by the ERCC for selecting experts (their use became increasingly systematic since 2015) helpful but raised some concerns on the selection process of the experts, which could still be improved.</w:t>
      </w:r>
    </w:p>
    <w:p w:rsidR="00500553" w:rsidRDefault="00500553">
      <w:pPr>
        <w:pStyle w:val="ListParagraph"/>
        <w:jc w:val="both"/>
        <w:rPr>
          <w:rFonts w:ascii="Times New Roman" w:hAnsi="Times New Roman" w:cs="Times New Roman"/>
          <w:noProof/>
          <w:sz w:val="24"/>
          <w:szCs w:val="24"/>
        </w:rPr>
      </w:pPr>
    </w:p>
    <w:p w:rsidR="00500553" w:rsidRDefault="00D978F2">
      <w:pPr>
        <w:jc w:val="both"/>
        <w:rPr>
          <w:rFonts w:ascii="Times New Roman" w:hAnsi="Times New Roman" w:cs="Times New Roman"/>
          <w:i/>
          <w:noProof/>
          <w:sz w:val="24"/>
          <w:szCs w:val="24"/>
        </w:rPr>
      </w:pPr>
      <w:r>
        <w:rPr>
          <w:rFonts w:ascii="Times New Roman" w:hAnsi="Times New Roman" w:cs="Times New Roman"/>
          <w:i/>
          <w:noProof/>
          <w:sz w:val="24"/>
          <w:szCs w:val="24"/>
          <w:u w:val="single"/>
        </w:rPr>
        <w:t>Specific Objective 4</w:t>
      </w:r>
      <w:r>
        <w:rPr>
          <w:rFonts w:ascii="Times New Roman" w:hAnsi="Times New Roman" w:cs="Times New Roman"/>
          <w:i/>
          <w:noProof/>
          <w:sz w:val="24"/>
          <w:szCs w:val="24"/>
        </w:rPr>
        <w:t>: "To increase pu</w:t>
      </w:r>
      <w:r>
        <w:rPr>
          <w:rFonts w:ascii="Times New Roman" w:hAnsi="Times New Roman" w:cs="Times New Roman"/>
          <w:i/>
          <w:noProof/>
          <w:sz w:val="24"/>
          <w:szCs w:val="24"/>
        </w:rPr>
        <w:t>blic awareness and preparedness for disasters"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UCPM has contributed to this objective mainly with the dissemination of good practices sharing and other knowledge management activities (e.g. Civil Protection Forum 2015,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edition of the World Reconstruction Conference, establishment of the online-based Disaster Risk Management Knowledge Centre, Guidelines on Risk Communication, etc.). When compared to the other three, stakeholders consulted in the context of the external e</w:t>
      </w:r>
      <w:r>
        <w:rPr>
          <w:rFonts w:ascii="Times New Roman" w:hAnsi="Times New Roman" w:cs="Times New Roman"/>
          <w:noProof/>
          <w:sz w:val="24"/>
          <w:szCs w:val="24"/>
        </w:rPr>
        <w:t>valuation feel that progress under this objective has been less advanced. This seems also in line with the trend showed by the 2017 Eurobarometer survey, whereby over the past years a significant part of the surveyed population (42%) is not aware of EU civ</w:t>
      </w:r>
      <w:r>
        <w:rPr>
          <w:rFonts w:ascii="Times New Roman" w:hAnsi="Times New Roman" w:cs="Times New Roman"/>
          <w:noProof/>
          <w:sz w:val="24"/>
          <w:szCs w:val="24"/>
        </w:rPr>
        <w:t>il protection work. Boosting the UCPM visibility (for instance during exercises, as observed by the evaluators during one of the case studies) to European citizens would also contribute to increasing the profile of the public awareness activities supported</w:t>
      </w:r>
      <w:r>
        <w:rPr>
          <w:rFonts w:ascii="Times New Roman" w:hAnsi="Times New Roman" w:cs="Times New Roman"/>
          <w:noProof/>
          <w:sz w:val="24"/>
          <w:szCs w:val="24"/>
        </w:rPr>
        <w:t xml:space="preserve"> by the UCPM.</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Finally, there is another factor related to the achievement of this specific objective which should be taken into account in the period leading up to the end of the UCPM implementation framework. The activities carried out by the UCPM (mainly</w:t>
      </w:r>
      <w:r>
        <w:rPr>
          <w:rFonts w:ascii="Times New Roman" w:hAnsi="Times New Roman" w:cs="Times New Roman"/>
          <w:noProof/>
          <w:sz w:val="24"/>
          <w:szCs w:val="24"/>
        </w:rPr>
        <w:t xml:space="preserve"> complementing the work carried out at the national level by civil protection authorities) and the UCPM indicator for this objective (level of awareness of Union citizens of the risks in their region) are on two different levels. This mismatch can make it </w:t>
      </w:r>
      <w:r>
        <w:rPr>
          <w:rFonts w:ascii="Times New Roman" w:hAnsi="Times New Roman" w:cs="Times New Roman"/>
          <w:noProof/>
          <w:sz w:val="24"/>
          <w:szCs w:val="24"/>
        </w:rPr>
        <w:t xml:space="preserve">difficult to find a direct link between the awareness raising and knowledge management activities financed by the UCPM and the increased level of awareness among the population at the local level. No baseline or target has been set for this risk awareness </w:t>
      </w:r>
      <w:r>
        <w:rPr>
          <w:rFonts w:ascii="Times New Roman" w:hAnsi="Times New Roman" w:cs="Times New Roman"/>
          <w:noProof/>
          <w:sz w:val="24"/>
          <w:szCs w:val="24"/>
        </w:rPr>
        <w:t>indicator which, moreover, has not been surveyed by the 2017 Eurobarometer report on Civil Protection.</w:t>
      </w:r>
    </w:p>
    <w:p w:rsidR="00500553" w:rsidRDefault="00D978F2">
      <w:pPr>
        <w:jc w:val="both"/>
        <w:rPr>
          <w:rFonts w:ascii="Times New Roman" w:hAnsi="Times New Roman" w:cs="Times New Roman"/>
          <w:noProof/>
          <w:sz w:val="24"/>
          <w:szCs w:val="24"/>
        </w:rPr>
      </w:pPr>
      <w:r>
        <w:rPr>
          <w:rFonts w:ascii="Times New Roman" w:hAnsi="Times New Roman" w:cs="Times New Roman"/>
          <w:i/>
          <w:noProof/>
          <w:sz w:val="24"/>
          <w:szCs w:val="24"/>
          <w:u w:val="single"/>
        </w:rPr>
        <w:t>General Objectives</w:t>
      </w:r>
      <w:r>
        <w:rPr>
          <w:rFonts w:ascii="Times New Roman" w:hAnsi="Times New Roman" w:cs="Times New Roman"/>
          <w:noProof/>
          <w:sz w:val="24"/>
          <w:szCs w:val="24"/>
        </w:rPr>
        <w:t>:</w:t>
      </w:r>
    </w:p>
    <w:p w:rsidR="00500553" w:rsidRDefault="00D978F2">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i/>
          <w:noProof/>
          <w:sz w:val="24"/>
          <w:szCs w:val="24"/>
        </w:rPr>
        <w:t>To strengthen cooperation between the Union and Member States and facilitate coordination in the field of civil protection in order t</w:t>
      </w:r>
      <w:r>
        <w:rPr>
          <w:rFonts w:ascii="Times New Roman" w:hAnsi="Times New Roman" w:cs="Times New Roman"/>
          <w:i/>
          <w:noProof/>
          <w:sz w:val="24"/>
          <w:szCs w:val="24"/>
        </w:rPr>
        <w:t xml:space="preserve">o improve the effectiveness of systems for preventing, preparing for and responding to natural and man-made disasters; </w:t>
      </w:r>
      <w:r>
        <w:rPr>
          <w:rFonts w:ascii="Times New Roman" w:hAnsi="Times New Roman" w:cs="Times New Roman"/>
          <w:noProof/>
          <w:sz w:val="24"/>
          <w:szCs w:val="24"/>
        </w:rPr>
        <w:t>and</w:t>
      </w:r>
    </w:p>
    <w:p w:rsidR="00500553" w:rsidRDefault="00D978F2">
      <w:pPr>
        <w:pStyle w:val="ListParagraph"/>
        <w:numPr>
          <w:ilvl w:val="0"/>
          <w:numId w:val="58"/>
        </w:numPr>
        <w:jc w:val="both"/>
        <w:rPr>
          <w:rFonts w:ascii="Times New Roman" w:hAnsi="Times New Roman" w:cs="Times New Roman"/>
          <w:i/>
          <w:noProof/>
          <w:sz w:val="24"/>
          <w:szCs w:val="24"/>
        </w:rPr>
      </w:pPr>
      <w:r>
        <w:rPr>
          <w:rFonts w:ascii="Times New Roman" w:hAnsi="Times New Roman" w:cs="Times New Roman"/>
          <w:i/>
          <w:noProof/>
          <w:sz w:val="24"/>
          <w:szCs w:val="24"/>
        </w:rPr>
        <w:t>To promote solidarity between the Member States and other participating countries through practical cooperation and coordination</w:t>
      </w:r>
    </w:p>
    <w:p w:rsidR="00500553" w:rsidRDefault="00D978F2">
      <w:pPr>
        <w:jc w:val="both"/>
        <w:rPr>
          <w:rFonts w:ascii="Times New Roman" w:hAnsi="Times New Roman" w:cs="Times New Roman"/>
          <w:b/>
          <w:noProof/>
          <w:sz w:val="24"/>
          <w:szCs w:val="24"/>
        </w:rPr>
      </w:pPr>
      <w:r>
        <w:rPr>
          <w:rFonts w:ascii="Times New Roman" w:hAnsi="Times New Roman" w:cs="Times New Roman"/>
          <w:noProof/>
          <w:sz w:val="24"/>
          <w:szCs w:val="24"/>
        </w:rPr>
        <w:t>Over</w:t>
      </w:r>
      <w:r>
        <w:rPr>
          <w:rFonts w:ascii="Times New Roman" w:hAnsi="Times New Roman" w:cs="Times New Roman"/>
          <w:noProof/>
          <w:sz w:val="24"/>
          <w:szCs w:val="24"/>
        </w:rPr>
        <w:t>all, based on the extent to which the specific objectives are being achieved, the UCPM has been successful in progressing towards the general objectives of the Decision. National civil protection authorities and other stakeholders agree that the UCPM contr</w:t>
      </w:r>
      <w:r>
        <w:rPr>
          <w:rFonts w:ascii="Times New Roman" w:hAnsi="Times New Roman" w:cs="Times New Roman"/>
          <w:noProof/>
          <w:sz w:val="24"/>
          <w:szCs w:val="24"/>
        </w:rPr>
        <w:t>ibuted to improving cooperation in the civil protection sector within Europe, in particular with regards to disaster response and preparedness. The creation of a well-established system of civil protection authorities and a network of colleagues who know e</w:t>
      </w:r>
      <w:r>
        <w:rPr>
          <w:rFonts w:ascii="Times New Roman" w:hAnsi="Times New Roman" w:cs="Times New Roman"/>
          <w:noProof/>
          <w:sz w:val="24"/>
          <w:szCs w:val="24"/>
        </w:rPr>
        <w:t>ach other across all the Participating States was instrumental to enhance communication and information exchange. Survey results and interviews also suggest that the UCPM contributed to improving the effectiveness of systems for preventing, preparing for a</w:t>
      </w:r>
      <w:r>
        <w:rPr>
          <w:rFonts w:ascii="Times New Roman" w:hAnsi="Times New Roman" w:cs="Times New Roman"/>
          <w:noProof/>
          <w:sz w:val="24"/>
          <w:szCs w:val="24"/>
        </w:rPr>
        <w:t>nd responding to disasters</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The legislation does not set specific result indicators for the General Objectives and the external evaluation did not suggest potential indicators to use as proxies.</w:t>
      </w:r>
    </w:p>
    <w:p w:rsidR="00500553" w:rsidRDefault="00D978F2">
      <w:pPr>
        <w:pStyle w:val="Heading2"/>
        <w:spacing w:line="276" w:lineRule="auto"/>
        <w:rPr>
          <w:rFonts w:ascii="Times New Roman" w:hAnsi="Times New Roman" w:cs="Times New Roman"/>
          <w:noProof/>
          <w:sz w:val="24"/>
          <w:szCs w:val="24"/>
        </w:rPr>
      </w:pPr>
      <w:bookmarkStart w:id="53" w:name="_Toc485914859"/>
      <w:bookmarkStart w:id="54" w:name="_Toc485915485"/>
      <w:bookmarkStart w:id="55" w:name="_Toc489347869"/>
      <w:bookmarkStart w:id="56" w:name="_Toc489427642"/>
      <w:r>
        <w:rPr>
          <w:rFonts w:ascii="Times New Roman" w:hAnsi="Times New Roman" w:cs="Times New Roman"/>
          <w:noProof/>
          <w:sz w:val="24"/>
          <w:szCs w:val="24"/>
        </w:rPr>
        <w:t>Efficiency</w:t>
      </w:r>
      <w:bookmarkEnd w:id="53"/>
      <w:bookmarkEnd w:id="54"/>
      <w:bookmarkEnd w:id="55"/>
      <w:bookmarkEnd w:id="56"/>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Generally speaking, the stakeholders' perception </w:t>
      </w:r>
      <w:r>
        <w:rPr>
          <w:rFonts w:ascii="Times New Roman" w:hAnsi="Times New Roman" w:cs="Times New Roman"/>
          <w:noProof/>
          <w:sz w:val="24"/>
          <w:szCs w:val="24"/>
        </w:rPr>
        <w:t>of the UCPM's efficiency is very positive, particularly with regards to emergency response and, overall, administrative costs associated to implementing the UCPM decision are considered acceptable by most Participating States</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While the efficiency questio</w:t>
      </w:r>
      <w:r>
        <w:rPr>
          <w:rFonts w:ascii="Times New Roman" w:hAnsi="Times New Roman" w:cs="Times New Roman"/>
          <w:noProof/>
          <w:sz w:val="24"/>
          <w:szCs w:val="24"/>
        </w:rPr>
        <w:t xml:space="preserve">n encompasses the entire spectrum of UCPM activities, it is particularly critical for the response pillar since one of the specific results indicators set by the Decision refers to "promoting rapid and </w:t>
      </w:r>
      <w:r>
        <w:rPr>
          <w:rFonts w:ascii="Times New Roman" w:hAnsi="Times New Roman" w:cs="Times New Roman"/>
          <w:i/>
          <w:noProof/>
          <w:sz w:val="24"/>
          <w:szCs w:val="24"/>
        </w:rPr>
        <w:t>efficient</w:t>
      </w:r>
      <w:r>
        <w:rPr>
          <w:rFonts w:ascii="Times New Roman" w:hAnsi="Times New Roman" w:cs="Times New Roman"/>
          <w:noProof/>
          <w:sz w:val="24"/>
          <w:szCs w:val="24"/>
        </w:rPr>
        <w:t xml:space="preserve"> response". The external evaluators' analysis</w:t>
      </w:r>
      <w:r>
        <w:rPr>
          <w:rFonts w:ascii="Times New Roman" w:hAnsi="Times New Roman" w:cs="Times New Roman"/>
          <w:noProof/>
          <w:sz w:val="24"/>
          <w:szCs w:val="24"/>
        </w:rPr>
        <w:t xml:space="preserve"> of efficiency focused on transport provision under the UCPM. In particular, the external evaluator attempted to carry out a cost analysis of transport grants requested by Participating States for comparable response operations, namely aerial forest fire f</w:t>
      </w:r>
      <w:r>
        <w:rPr>
          <w:rFonts w:ascii="Times New Roman" w:hAnsi="Times New Roman" w:cs="Times New Roman"/>
          <w:noProof/>
          <w:sz w:val="24"/>
          <w:szCs w:val="24"/>
        </w:rPr>
        <w:t>ighting, water purification in the aftermath of floods and in-kind assistance in the context of the refugee crisis. Preliminary evidence</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collected in the context of the evaluation points to some discrepancies in the net contribution requested by Participa</w:t>
      </w:r>
      <w:r>
        <w:rPr>
          <w:rFonts w:ascii="Times New Roman" w:hAnsi="Times New Roman" w:cs="Times New Roman"/>
          <w:noProof/>
          <w:sz w:val="24"/>
          <w:szCs w:val="24"/>
        </w:rPr>
        <w:t>ting States for comparable types of services (cost/mile ratio). This is the case for Canadair aircraft operations carried out by different Participating States, where the cost per mile ratio seems to vary significantly (even though the aircraft used is sim</w:t>
      </w:r>
      <w:r>
        <w:rPr>
          <w:rFonts w:ascii="Times New Roman" w:hAnsi="Times New Roman" w:cs="Times New Roman"/>
          <w:noProof/>
          <w:sz w:val="24"/>
          <w:szCs w:val="24"/>
        </w:rPr>
        <w:t>ilar)</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Similar discrepancies also emerge from the net contribution granted to two Participating States providing a water purification module during a flood response operation inside Europe and from transport of in-kind resources by truck or plane. Althoug</w:t>
      </w:r>
      <w:r>
        <w:rPr>
          <w:rFonts w:ascii="Times New Roman" w:hAnsi="Times New Roman" w:cs="Times New Roman"/>
          <w:noProof/>
          <w:sz w:val="24"/>
          <w:szCs w:val="24"/>
        </w:rPr>
        <w:t>h the analysis carried out by the external evaluators remains preliminary due to the limited data sample considered, they point to the need to systematically collect cost data and run analysis of comparability of transport reimbursement. Similarly, a robus</w:t>
      </w:r>
      <w:r>
        <w:rPr>
          <w:rFonts w:ascii="Times New Roman" w:hAnsi="Times New Roman" w:cs="Times New Roman"/>
          <w:noProof/>
          <w:sz w:val="24"/>
          <w:szCs w:val="24"/>
        </w:rPr>
        <w:t>t analysis of transport costs for in-kind assistance goods and/or capacities via the EC broker or framework contractors could help in order to look for any significant variation and determine whether EU transport co-financing is always the most cost-effici</w:t>
      </w:r>
      <w:r>
        <w:rPr>
          <w:rFonts w:ascii="Times New Roman" w:hAnsi="Times New Roman" w:cs="Times New Roman"/>
          <w:noProof/>
          <w:sz w:val="24"/>
          <w:szCs w:val="24"/>
        </w:rPr>
        <w:t>ent option. Similarly, the external evaluation highlights that useful data concerning costs remain locked in paper forms instead of being recorded in CECIS and analysed</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Such analysis could lead to determining benchmarks (lower/higher bounds or ranges) fo</w:t>
      </w:r>
      <w:r>
        <w:rPr>
          <w:rFonts w:ascii="Times New Roman" w:hAnsi="Times New Roman" w:cs="Times New Roman"/>
          <w:noProof/>
          <w:sz w:val="24"/>
          <w:szCs w:val="24"/>
        </w:rPr>
        <w:t>r cost of deploying certain assets. In some cases this information could lead to quicker approval of deployments and to faster reimbursement processes.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As far as efficiency of UCPM-financed activities, the following challenge emerged from the external eval</w:t>
      </w:r>
      <w:r>
        <w:rPr>
          <w:rFonts w:ascii="Times New Roman" w:hAnsi="Times New Roman" w:cs="Times New Roman"/>
          <w:noProof/>
          <w:sz w:val="24"/>
          <w:szCs w:val="24"/>
        </w:rPr>
        <w:t>uation:</w:t>
      </w:r>
    </w:p>
    <w:p w:rsidR="00500553" w:rsidRDefault="00D978F2">
      <w:pPr>
        <w:pStyle w:val="ListParagraph"/>
        <w:numPr>
          <w:ilvl w:val="0"/>
          <w:numId w:val="64"/>
        </w:numPr>
        <w:jc w:val="both"/>
        <w:rPr>
          <w:rFonts w:ascii="Times New Roman" w:hAnsi="Times New Roman" w:cs="Times New Roman"/>
          <w:noProof/>
          <w:sz w:val="24"/>
          <w:szCs w:val="24"/>
        </w:rPr>
      </w:pPr>
      <w:r>
        <w:rPr>
          <w:rFonts w:ascii="Times New Roman" w:hAnsi="Times New Roman" w:cs="Times New Roman"/>
          <w:i/>
          <w:noProof/>
          <w:sz w:val="24"/>
          <w:szCs w:val="24"/>
        </w:rPr>
        <w:t>The UCPM needs to monitor more systematically and consistently cost and speed of response missions</w:t>
      </w:r>
      <w:r>
        <w:rPr>
          <w:rFonts w:ascii="Times New Roman" w:hAnsi="Times New Roman" w:cs="Times New Roman"/>
          <w:noProof/>
          <w:sz w:val="24"/>
          <w:szCs w:val="24"/>
        </w:rPr>
        <w:t>. This can help establish baselines/benchmarks (lower/higher bounds or a range) allowing comparisons between emergencies responses and produce analyse</w:t>
      </w:r>
      <w:r>
        <w:rPr>
          <w:rFonts w:ascii="Times New Roman" w:hAnsi="Times New Roman" w:cs="Times New Roman"/>
          <w:noProof/>
          <w:sz w:val="24"/>
          <w:szCs w:val="24"/>
        </w:rPr>
        <w:t>s needed to improve efficiency of future performance. Moreover, rigorous monitoring arrangements could also help speed up the reimbursement process (for instance via pre-agreed ceilings).</w:t>
      </w:r>
    </w:p>
    <w:p w:rsidR="00500553" w:rsidRDefault="00D978F2">
      <w:pPr>
        <w:pStyle w:val="Heading2"/>
        <w:spacing w:line="276" w:lineRule="auto"/>
        <w:rPr>
          <w:rFonts w:ascii="Times New Roman" w:hAnsi="Times New Roman" w:cs="Times New Roman"/>
          <w:b w:val="0"/>
          <w:noProof/>
          <w:sz w:val="24"/>
          <w:szCs w:val="24"/>
        </w:rPr>
      </w:pPr>
      <w:bookmarkStart w:id="57" w:name="_Toc485914860"/>
      <w:bookmarkStart w:id="58" w:name="_Toc485915486"/>
      <w:bookmarkStart w:id="59" w:name="_Toc489347870"/>
      <w:bookmarkStart w:id="60" w:name="_Toc489427643"/>
      <w:r>
        <w:rPr>
          <w:rFonts w:ascii="Times New Roman" w:hAnsi="Times New Roman" w:cs="Times New Roman"/>
          <w:noProof/>
          <w:sz w:val="24"/>
          <w:szCs w:val="24"/>
        </w:rPr>
        <w:t>Coherence</w:t>
      </w:r>
      <w:bookmarkEnd w:id="57"/>
      <w:bookmarkEnd w:id="58"/>
      <w:bookmarkEnd w:id="59"/>
      <w:bookmarkEnd w:id="60"/>
    </w:p>
    <w:p w:rsidR="00500553" w:rsidRDefault="00D978F2">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The UCPM has achieved internal coherence between its </w:t>
      </w:r>
      <w:r>
        <w:rPr>
          <w:rFonts w:ascii="Times New Roman" w:hAnsi="Times New Roman" w:cs="Times New Roman"/>
          <w:noProof/>
          <w:sz w:val="24"/>
          <w:szCs w:val="24"/>
        </w:rPr>
        <w:t>different components and a good level of cooperation with other policy areas.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Internally, a number of cross-cutting activities (e.g. lessons learned, advisory missions, peer reviews, exchange of experts, etc.) within the UCPM provide for an integrated prev</w:t>
      </w:r>
      <w:r>
        <w:rPr>
          <w:rFonts w:ascii="Times New Roman" w:hAnsi="Times New Roman" w:cs="Times New Roman"/>
          <w:noProof/>
          <w:sz w:val="24"/>
          <w:szCs w:val="24"/>
        </w:rPr>
        <w:t>ention-preparedness-response approach and therefore help different activities of the UCPM reinforce each other. This is confirmed by the views collected through the stakeholder consultations with Participating States (see figures 9-10), where a vast majori</w:t>
      </w:r>
      <w:r>
        <w:rPr>
          <w:rFonts w:ascii="Times New Roman" w:hAnsi="Times New Roman" w:cs="Times New Roman"/>
          <w:noProof/>
          <w:sz w:val="24"/>
          <w:szCs w:val="24"/>
        </w:rPr>
        <w:t>ty of the responding national civil protection authorities and ministries agreed that the UCPM promoted sufficient linkages and synergies across its three pillars</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w:t>
      </w:r>
    </w:p>
    <w:p w:rsidR="00500553" w:rsidRDefault="00D978F2">
      <w:pPr>
        <w:pStyle w:val="NoSpacing"/>
        <w:rPr>
          <w:rFonts w:ascii="Times New Roman" w:hAnsi="Times New Roman" w:cs="Times New Roman"/>
          <w:b/>
          <w:noProof/>
          <w:sz w:val="20"/>
          <w:szCs w:val="24"/>
        </w:rPr>
      </w:pPr>
      <w:r>
        <w:rPr>
          <w:rFonts w:ascii="Times New Roman" w:hAnsi="Times New Roman" w:cs="Times New Roman"/>
          <w:b/>
          <w:noProof/>
          <w:color w:val="4F81BD" w:themeColor="accent1"/>
          <w:sz w:val="20"/>
          <w:szCs w:val="24"/>
        </w:rPr>
        <w:t xml:space="preserve">Figure </w:t>
      </w:r>
      <w:r>
        <w:rPr>
          <w:rFonts w:ascii="Times New Roman" w:hAnsi="Times New Roman" w:cs="Times New Roman"/>
          <w:b/>
          <w:noProof/>
          <w:color w:val="4F81BD" w:themeColor="accent1"/>
          <w:sz w:val="20"/>
          <w:szCs w:val="24"/>
        </w:rPr>
        <w:fldChar w:fldCharType="begin"/>
      </w:r>
      <w:r>
        <w:rPr>
          <w:rFonts w:ascii="Times New Roman" w:hAnsi="Times New Roman" w:cs="Times New Roman"/>
          <w:b/>
          <w:noProof/>
          <w:color w:val="4F81BD" w:themeColor="accent1"/>
          <w:sz w:val="20"/>
          <w:szCs w:val="24"/>
        </w:rPr>
        <w:instrText xml:space="preserve"> SEQ Figure \* ARABIC </w:instrText>
      </w:r>
      <w:r>
        <w:rPr>
          <w:rFonts w:ascii="Times New Roman" w:hAnsi="Times New Roman" w:cs="Times New Roman"/>
          <w:b/>
          <w:noProof/>
          <w:color w:val="4F81BD" w:themeColor="accent1"/>
          <w:sz w:val="20"/>
          <w:szCs w:val="24"/>
        </w:rPr>
        <w:fldChar w:fldCharType="separate"/>
      </w:r>
      <w:r>
        <w:rPr>
          <w:rFonts w:ascii="Times New Roman" w:hAnsi="Times New Roman" w:cs="Times New Roman"/>
          <w:b/>
          <w:noProof/>
          <w:color w:val="4F81BD" w:themeColor="accent1"/>
          <w:sz w:val="20"/>
          <w:szCs w:val="24"/>
        </w:rPr>
        <w:t>9</w:t>
      </w:r>
      <w:r>
        <w:rPr>
          <w:rFonts w:ascii="Times New Roman" w:hAnsi="Times New Roman" w:cs="Times New Roman"/>
          <w:b/>
          <w:noProof/>
          <w:color w:val="4F81BD" w:themeColor="accent1"/>
          <w:sz w:val="20"/>
          <w:szCs w:val="24"/>
        </w:rPr>
        <w:fldChar w:fldCharType="end"/>
      </w:r>
      <w:r>
        <w:rPr>
          <w:rFonts w:ascii="Times New Roman" w:hAnsi="Times New Roman" w:cs="Times New Roman"/>
          <w:b/>
          <w:noProof/>
          <w:color w:val="4F81BD" w:themeColor="accent1"/>
          <w:sz w:val="20"/>
          <w:szCs w:val="24"/>
        </w:rPr>
        <w:t xml:space="preserve">: Stakeholder consultations. </w:t>
      </w:r>
    </w:p>
    <w:p w:rsidR="00500553" w:rsidRDefault="00D978F2">
      <w:pPr>
        <w:pStyle w:val="NoSpacing"/>
        <w:ind w:left="720"/>
        <w:rPr>
          <w:rFonts w:ascii="Times New Roman" w:hAnsi="Times New Roman" w:cs="Times New Roman"/>
          <w:noProof/>
          <w:sz w:val="20"/>
          <w:szCs w:val="24"/>
        </w:rPr>
      </w:pPr>
      <w:r>
        <w:rPr>
          <w:rFonts w:ascii="Times New Roman" w:hAnsi="Times New Roman" w:cs="Times New Roman"/>
          <w:i/>
          <w:noProof/>
          <w:color w:val="4F81BD" w:themeColor="accent1"/>
          <w:sz w:val="20"/>
        </w:rPr>
        <w:t xml:space="preserve">  Source: ICF, Survey of national civil protection authorities from 27 Participating States</w:t>
      </w:r>
    </w:p>
    <w:p w:rsidR="00500553" w:rsidRDefault="00D978F2">
      <w:pPr>
        <w:jc w:val="both"/>
        <w:rPr>
          <w:rFonts w:ascii="Times New Roman" w:hAnsi="Times New Roman" w:cs="Times New Roman"/>
          <w:i/>
          <w:noProof/>
          <w:sz w:val="24"/>
          <w:szCs w:val="24"/>
        </w:rPr>
      </w:pPr>
      <w:r>
        <w:rPr>
          <w:rFonts w:ascii="Times New Roman" w:hAnsi="Times New Roman" w:cs="Times New Roman"/>
          <w:noProof/>
          <w:sz w:val="24"/>
          <w:szCs w:val="24"/>
          <w:lang w:eastAsia="en-GB"/>
        </w:rPr>
        <w:drawing>
          <wp:inline distT="0" distB="0" distL="0" distR="0">
            <wp:extent cx="5731510" cy="926816"/>
            <wp:effectExtent l="0" t="0" r="2540" b="6985"/>
            <wp:docPr id="4099"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Grp="1"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926816"/>
                    </a:xfrm>
                    <a:prstGeom prst="rect">
                      <a:avLst/>
                    </a:prstGeom>
                    <a:noFill/>
                    <a:ln>
                      <a:noFill/>
                    </a:ln>
                    <a:effectLst/>
                    <a:extLst/>
                  </pic:spPr>
                </pic:pic>
              </a:graphicData>
            </a:graphic>
          </wp:inline>
        </w:drawing>
      </w:r>
      <w:r>
        <w:rPr>
          <w:rFonts w:ascii="Times New Roman" w:hAnsi="Times New Roman" w:cs="Times New Roman"/>
          <w:i/>
          <w:noProof/>
          <w:sz w:val="24"/>
          <w:szCs w:val="24"/>
        </w:rPr>
        <w:br/>
      </w:r>
    </w:p>
    <w:p w:rsidR="00500553" w:rsidRDefault="00D978F2">
      <w:pPr>
        <w:pStyle w:val="NoSpacing"/>
        <w:rPr>
          <w:rFonts w:ascii="Times New Roman" w:hAnsi="Times New Roman" w:cs="Times New Roman"/>
          <w:i/>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10</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xml:space="preserve">: Stakeholder consultations. </w:t>
      </w:r>
    </w:p>
    <w:p w:rsidR="00500553" w:rsidRDefault="00D978F2">
      <w:pPr>
        <w:pStyle w:val="NoSpacing"/>
        <w:ind w:firstLine="720"/>
        <w:rPr>
          <w:rFonts w:ascii="Times New Roman" w:hAnsi="Times New Roman" w:cs="Times New Roman"/>
          <w:noProof/>
          <w:sz w:val="20"/>
        </w:rPr>
      </w:pPr>
      <w:r>
        <w:rPr>
          <w:rFonts w:ascii="Times New Roman" w:hAnsi="Times New Roman" w:cs="Times New Roman"/>
          <w:i/>
          <w:noProof/>
          <w:color w:val="4F81BD" w:themeColor="accent1"/>
          <w:sz w:val="20"/>
        </w:rPr>
        <w:t xml:space="preserve">    Source: ICF, Survey of National Ministries (other than civil protection) from 13 Participating States</w:t>
      </w:r>
    </w:p>
    <w:p w:rsidR="00500553" w:rsidRDefault="00D978F2">
      <w:pPr>
        <w:spacing w:before="240"/>
        <w:ind w:left="1440"/>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4237630" cy="1972102"/>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37630" cy="1972102"/>
                    </a:xfrm>
                    <a:prstGeom prst="rect">
                      <a:avLst/>
                    </a:prstGeom>
                    <a:noFill/>
                    <a:ln>
                      <a:noFill/>
                    </a:ln>
                    <a:effectLst/>
                    <a:extLst/>
                  </pic:spPr>
                </pic:pic>
              </a:graphicData>
            </a:graphic>
          </wp:inline>
        </w:drawing>
      </w:r>
      <w:r>
        <w:rPr>
          <w:rFonts w:ascii="Times New Roman" w:hAnsi="Times New Roman" w:cs="Times New Roman"/>
          <w:noProof/>
          <w:sz w:val="24"/>
          <w:szCs w:val="24"/>
        </w:rPr>
        <w:t xml:space="preserve">          </w:t>
      </w:r>
    </w:p>
    <w:p w:rsidR="00500553" w:rsidRDefault="00D978F2">
      <w:pPr>
        <w:spacing w:before="240"/>
        <w:jc w:val="both"/>
        <w:rPr>
          <w:rFonts w:ascii="Times New Roman" w:hAnsi="Times New Roman" w:cs="Times New Roman"/>
          <w:noProof/>
          <w:sz w:val="24"/>
          <w:szCs w:val="24"/>
        </w:rPr>
      </w:pPr>
      <w:r>
        <w:rPr>
          <w:rFonts w:ascii="Times New Roman" w:hAnsi="Times New Roman" w:cs="Times New Roman"/>
          <w:noProof/>
          <w:sz w:val="24"/>
          <w:szCs w:val="24"/>
        </w:rPr>
        <w:t>Consultations with stakeholders in the context of the external evaluation also highlighted a number of significant challenges for strength</w:t>
      </w:r>
      <w:r>
        <w:rPr>
          <w:rFonts w:ascii="Times New Roman" w:hAnsi="Times New Roman" w:cs="Times New Roman"/>
          <w:noProof/>
          <w:sz w:val="24"/>
          <w:szCs w:val="24"/>
        </w:rPr>
        <w:t>ening the internal coherence of the UCPM through its cross-cutting activities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w:t>
      </w:r>
    </w:p>
    <w:p w:rsidR="00500553" w:rsidRDefault="00D978F2">
      <w:pPr>
        <w:pStyle w:val="ListParagraph"/>
        <w:numPr>
          <w:ilvl w:val="0"/>
          <w:numId w:val="59"/>
        </w:numPr>
        <w:spacing w:before="240"/>
        <w:jc w:val="both"/>
        <w:rPr>
          <w:rFonts w:ascii="Times New Roman" w:hAnsi="Times New Roman" w:cs="Times New Roman"/>
          <w:noProof/>
          <w:sz w:val="24"/>
          <w:szCs w:val="24"/>
        </w:rPr>
      </w:pPr>
      <w:r>
        <w:rPr>
          <w:rFonts w:ascii="Times New Roman" w:hAnsi="Times New Roman" w:cs="Times New Roman"/>
          <w:i/>
          <w:noProof/>
          <w:sz w:val="24"/>
          <w:szCs w:val="24"/>
        </w:rPr>
        <w:t xml:space="preserve">There needs to be a continuous feedback loop between lessons learnt and the implementation of activities (including prevention and preparedness ones, in addition to response). </w:t>
      </w:r>
      <w:r>
        <w:rPr>
          <w:rFonts w:ascii="Times New Roman" w:hAnsi="Times New Roman" w:cs="Times New Roman"/>
          <w:noProof/>
          <w:sz w:val="24"/>
          <w:szCs w:val="24"/>
        </w:rPr>
        <w:t>Participating States have highlighted that some specific activities (e.g. training and exercises) would benefit from a stronger link with UCPM operations, for instance focusing on specific challenges arising from the deployment of modules in the field (e.g</w:t>
      </w:r>
      <w:r>
        <w:rPr>
          <w:rFonts w:ascii="Times New Roman" w:hAnsi="Times New Roman" w:cs="Times New Roman"/>
          <w:noProof/>
          <w:sz w:val="24"/>
          <w:szCs w:val="24"/>
        </w:rPr>
        <w:t xml:space="preserve">. custom clearance in fragile and conflict-affected states; cooperation with host countries; integration in broader international frameworks for disaster response and recovery planning; etc.). To this end, there is a shared feeling that the lessons learnt </w:t>
      </w:r>
      <w:r>
        <w:rPr>
          <w:rFonts w:ascii="Times New Roman" w:hAnsi="Times New Roman" w:cs="Times New Roman"/>
          <w:noProof/>
          <w:sz w:val="24"/>
          <w:szCs w:val="24"/>
        </w:rPr>
        <w:t>process of the UCPM needs to be more structured and systematic from identification and throughout implementation (on both the Commission and Participating States sides), with regular monitoring and transparent reporting on the progress.</w:t>
      </w:r>
    </w:p>
    <w:p w:rsidR="00500553" w:rsidRDefault="00500553">
      <w:pPr>
        <w:pStyle w:val="ListParagraph"/>
        <w:spacing w:before="240"/>
        <w:jc w:val="both"/>
        <w:rPr>
          <w:rFonts w:ascii="Times New Roman" w:hAnsi="Times New Roman" w:cs="Times New Roman"/>
          <w:noProof/>
          <w:sz w:val="24"/>
          <w:szCs w:val="24"/>
        </w:rPr>
      </w:pPr>
    </w:p>
    <w:p w:rsidR="00500553" w:rsidRDefault="00D978F2">
      <w:pPr>
        <w:pStyle w:val="ListParagraph"/>
        <w:numPr>
          <w:ilvl w:val="0"/>
          <w:numId w:val="59"/>
        </w:numPr>
        <w:spacing w:before="240"/>
        <w:jc w:val="both"/>
        <w:rPr>
          <w:rFonts w:ascii="Times New Roman" w:hAnsi="Times New Roman" w:cs="Times New Roman"/>
          <w:noProof/>
          <w:sz w:val="24"/>
          <w:szCs w:val="24"/>
        </w:rPr>
      </w:pPr>
      <w:r>
        <w:rPr>
          <w:rFonts w:ascii="Times New Roman" w:hAnsi="Times New Roman" w:cs="Times New Roman"/>
          <w:i/>
          <w:noProof/>
          <w:sz w:val="24"/>
          <w:szCs w:val="24"/>
        </w:rPr>
        <w:t xml:space="preserve">The UCPM training </w:t>
      </w:r>
      <w:r>
        <w:rPr>
          <w:rFonts w:ascii="Times New Roman" w:hAnsi="Times New Roman" w:cs="Times New Roman"/>
          <w:i/>
          <w:noProof/>
          <w:sz w:val="24"/>
          <w:szCs w:val="24"/>
        </w:rPr>
        <w:t xml:space="preserve">and exercise programme should promote a more coherent approach between training and deployment. </w:t>
      </w:r>
      <w:r>
        <w:rPr>
          <w:rFonts w:ascii="Times New Roman" w:hAnsi="Times New Roman" w:cs="Times New Roman"/>
          <w:noProof/>
          <w:sz w:val="24"/>
          <w:szCs w:val="24"/>
        </w:rPr>
        <w:t xml:space="preserve">Training should be focused on the competences needed during deployment (including for preparedness and prevention activities). In this respect, as confirmed by </w:t>
      </w:r>
      <w:r>
        <w:rPr>
          <w:rFonts w:ascii="Times New Roman" w:hAnsi="Times New Roman" w:cs="Times New Roman"/>
          <w:noProof/>
          <w:sz w:val="24"/>
          <w:szCs w:val="24"/>
        </w:rPr>
        <w:t>one of the case studies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the link between training and exercises is critical and should be strengthened. Consultations with Participating States suggested potential synergies between training (particularly the most advanced courses) and ModEx or full-scal</w:t>
      </w:r>
      <w:r>
        <w:rPr>
          <w:rFonts w:ascii="Times New Roman" w:hAnsi="Times New Roman" w:cs="Times New Roman"/>
          <w:noProof/>
          <w:sz w:val="24"/>
          <w:szCs w:val="24"/>
        </w:rPr>
        <w:t>e exercises, in order to enhance operational preparedness of experts</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Some of these recommendations are already being addressed by the Commission.</w:t>
      </w:r>
    </w:p>
    <w:p w:rsidR="00500553" w:rsidRDefault="00500553">
      <w:pPr>
        <w:pStyle w:val="ListParagraph"/>
        <w:spacing w:before="240"/>
        <w:jc w:val="both"/>
        <w:rPr>
          <w:rFonts w:ascii="Times New Roman" w:hAnsi="Times New Roman" w:cs="Times New Roman"/>
          <w:noProof/>
          <w:sz w:val="24"/>
          <w:szCs w:val="24"/>
        </w:rPr>
      </w:pPr>
    </w:p>
    <w:p w:rsidR="00500553" w:rsidRDefault="00D978F2">
      <w:pPr>
        <w:pStyle w:val="ListParagraph"/>
        <w:numPr>
          <w:ilvl w:val="0"/>
          <w:numId w:val="59"/>
        </w:numPr>
        <w:spacing w:before="240"/>
        <w:jc w:val="both"/>
        <w:rPr>
          <w:rFonts w:ascii="Times New Roman" w:hAnsi="Times New Roman" w:cs="Times New Roman"/>
          <w:noProof/>
          <w:sz w:val="24"/>
          <w:szCs w:val="24"/>
        </w:rPr>
      </w:pPr>
      <w:r>
        <w:rPr>
          <w:rFonts w:ascii="Times New Roman" w:hAnsi="Times New Roman" w:cs="Times New Roman"/>
          <w:i/>
          <w:noProof/>
          <w:sz w:val="24"/>
          <w:szCs w:val="24"/>
        </w:rPr>
        <w:t xml:space="preserve">Peer reviews should ensure a good match between reviewers and the needs of reviewed countries </w:t>
      </w:r>
      <w:r>
        <w:rPr>
          <w:rFonts w:ascii="Times New Roman" w:hAnsi="Times New Roman" w:cs="Times New Roman"/>
          <w:noProof/>
          <w:sz w:val="24"/>
          <w:szCs w:val="24"/>
        </w:rPr>
        <w:t>(i.e. between</w:t>
      </w:r>
      <w:r>
        <w:rPr>
          <w:rFonts w:ascii="Times New Roman" w:hAnsi="Times New Roman" w:cs="Times New Roman"/>
          <w:noProof/>
          <w:sz w:val="24"/>
          <w:szCs w:val="24"/>
        </w:rPr>
        <w:t xml:space="preserve"> profile/competences of the reviewer and specificities of the country/sector to be reviewed). Additional linkages could be explored between training and the deployment of experts on peer review missions. This may include a process to certify experts' techn</w:t>
      </w:r>
      <w:r>
        <w:rPr>
          <w:rFonts w:ascii="Times New Roman" w:hAnsi="Times New Roman" w:cs="Times New Roman"/>
          <w:noProof/>
          <w:sz w:val="24"/>
          <w:szCs w:val="24"/>
        </w:rPr>
        <w:t>ical and operational competence in order to better address the needs of the reviewed countries.</w:t>
      </w:r>
    </w:p>
    <w:p w:rsidR="00500553" w:rsidRDefault="00500553">
      <w:pPr>
        <w:pStyle w:val="ListParagraph"/>
        <w:spacing w:before="240"/>
        <w:jc w:val="both"/>
        <w:rPr>
          <w:rFonts w:ascii="Times New Roman" w:hAnsi="Times New Roman" w:cs="Times New Roman"/>
          <w:noProof/>
          <w:sz w:val="24"/>
          <w:szCs w:val="24"/>
        </w:rPr>
      </w:pPr>
    </w:p>
    <w:p w:rsidR="00500553" w:rsidRDefault="00D978F2">
      <w:pPr>
        <w:pStyle w:val="ListParagraph"/>
        <w:numPr>
          <w:ilvl w:val="0"/>
          <w:numId w:val="59"/>
        </w:numPr>
        <w:spacing w:before="240"/>
        <w:jc w:val="both"/>
        <w:rPr>
          <w:rFonts w:ascii="Times New Roman" w:hAnsi="Times New Roman" w:cs="Times New Roman"/>
          <w:noProof/>
          <w:sz w:val="24"/>
          <w:szCs w:val="24"/>
        </w:rPr>
      </w:pPr>
      <w:r>
        <w:rPr>
          <w:rFonts w:ascii="Times New Roman" w:hAnsi="Times New Roman" w:cs="Times New Roman"/>
          <w:i/>
          <w:noProof/>
          <w:sz w:val="24"/>
          <w:szCs w:val="24"/>
        </w:rPr>
        <w:t>Prevention and preparedness ("advisory") missions should build on a well-formulated, result-oriented approach.</w:t>
      </w:r>
      <w:r>
        <w:rPr>
          <w:rFonts w:ascii="Times New Roman" w:hAnsi="Times New Roman" w:cs="Times New Roman"/>
          <w:noProof/>
          <w:sz w:val="24"/>
          <w:szCs w:val="24"/>
        </w:rPr>
        <w:t xml:space="preserve"> A structured process needs to be put in place to</w:t>
      </w:r>
      <w:r>
        <w:rPr>
          <w:rFonts w:ascii="Times New Roman" w:hAnsi="Times New Roman" w:cs="Times New Roman"/>
          <w:noProof/>
          <w:sz w:val="24"/>
          <w:szCs w:val="24"/>
        </w:rPr>
        <w:t xml:space="preserve"> prepare and implement these missions, be it in preparation for potential disasters (e.g. assessment of national emergency management capacity) or, in the aftermath of a disaster, to inform recovery and reconstruction strategies. Synergies with other EU-fu</w:t>
      </w:r>
      <w:r>
        <w:rPr>
          <w:rFonts w:ascii="Times New Roman" w:hAnsi="Times New Roman" w:cs="Times New Roman"/>
          <w:noProof/>
          <w:sz w:val="24"/>
          <w:szCs w:val="24"/>
        </w:rPr>
        <w:t>nded programmes (in particular the Prevention Preparedness and Response to Natural and man-made Disasters (PPRD) and the Instrument for Pre-Accession (IPA) programmes) and/or Participating States engaged in third countries should be strategically considere</w:t>
      </w:r>
      <w:r>
        <w:rPr>
          <w:rFonts w:ascii="Times New Roman" w:hAnsi="Times New Roman" w:cs="Times New Roman"/>
          <w:noProof/>
          <w:sz w:val="24"/>
          <w:szCs w:val="24"/>
        </w:rPr>
        <w:t>d, with a view to provide additional resources (technical and financial) needed for implementing recommendations.</w:t>
      </w:r>
    </w:p>
    <w:p w:rsidR="00500553" w:rsidRDefault="00D978F2">
      <w:pPr>
        <w:spacing w:before="240"/>
        <w:jc w:val="both"/>
        <w:rPr>
          <w:rFonts w:ascii="Times New Roman" w:hAnsi="Times New Roman" w:cs="Times New Roman"/>
          <w:noProof/>
          <w:sz w:val="24"/>
          <w:szCs w:val="24"/>
        </w:rPr>
      </w:pPr>
      <w:r>
        <w:rPr>
          <w:rFonts w:ascii="Times New Roman" w:hAnsi="Times New Roman" w:cs="Times New Roman"/>
          <w:noProof/>
          <w:sz w:val="24"/>
          <w:szCs w:val="24"/>
        </w:rPr>
        <w:t>In general, the consultations highlighted the need for a more result-oriented focus for the cross-cutting activities of the Mechanism (e.g. le</w:t>
      </w:r>
      <w:r>
        <w:rPr>
          <w:rFonts w:ascii="Times New Roman" w:hAnsi="Times New Roman" w:cs="Times New Roman"/>
          <w:noProof/>
          <w:sz w:val="24"/>
          <w:szCs w:val="24"/>
        </w:rPr>
        <w:t>ssons learned, peer reviews, advisory missions, exchange of experts)</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This includes focusing on measurable policy and/or operational results which should be achieved, in a given timeframe by the beneficiary. In some cases, activities conducted in response</w:t>
      </w:r>
      <w:r>
        <w:rPr>
          <w:rFonts w:ascii="Times New Roman" w:hAnsi="Times New Roman" w:cs="Times New Roman"/>
          <w:noProof/>
          <w:sz w:val="24"/>
          <w:szCs w:val="24"/>
        </w:rPr>
        <w:t xml:space="preserve"> to a request from a Participating States or a third country (e.g. advisory missions) could be conditioned to the requesting country meeting some policy/capacity targets prior to the UCPM fielding a technical assistance mission.</w:t>
      </w:r>
    </w:p>
    <w:p w:rsidR="00500553" w:rsidRDefault="00D978F2">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i/>
          <w:noProof/>
          <w:sz w:val="24"/>
          <w:szCs w:val="24"/>
        </w:rPr>
        <w:t>external coh</w:t>
      </w:r>
      <w:r>
        <w:rPr>
          <w:rFonts w:ascii="Times New Roman" w:hAnsi="Times New Roman" w:cs="Times New Roman"/>
          <w:i/>
          <w:noProof/>
          <w:sz w:val="24"/>
          <w:szCs w:val="24"/>
        </w:rPr>
        <w:t>erence</w:t>
      </w:r>
      <w:r>
        <w:rPr>
          <w:rFonts w:ascii="Times New Roman" w:hAnsi="Times New Roman" w:cs="Times New Roman"/>
          <w:noProof/>
          <w:sz w:val="24"/>
          <w:szCs w:val="24"/>
        </w:rPr>
        <w:t>, the external evaluation mapped the extent to which the UCPM has been pursuing synergies with other policy areas and instruments in the period 2014-2016. When compared to the final evaluation of the Civil Protection Mechanism (2007-2013), the evalua</w:t>
      </w:r>
      <w:r>
        <w:rPr>
          <w:rFonts w:ascii="Times New Roman" w:hAnsi="Times New Roman" w:cs="Times New Roman"/>
          <w:noProof/>
          <w:sz w:val="24"/>
          <w:szCs w:val="24"/>
        </w:rPr>
        <w:t xml:space="preserve">tors noted that the current Union Mechanism is cutting across a larger number of policy areas. Although the degree of coordination could only be assessed on the basis of qualitative input provided during interviews and mostly at Commission level, a higher </w:t>
      </w:r>
      <w:r>
        <w:rPr>
          <w:rFonts w:ascii="Times New Roman" w:hAnsi="Times New Roman" w:cs="Times New Roman"/>
          <w:noProof/>
          <w:sz w:val="24"/>
          <w:szCs w:val="24"/>
        </w:rPr>
        <w:t>degree of coordination with other areas</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was observed, compared with the previous Mechanism. The level of cooperation between the UCPM and other policy areas related to civil protection, based on the external evaluation (online survey of national civil pro</w:t>
      </w:r>
      <w:r>
        <w:rPr>
          <w:rFonts w:ascii="Times New Roman" w:hAnsi="Times New Roman" w:cs="Times New Roman"/>
          <w:noProof/>
          <w:sz w:val="24"/>
          <w:szCs w:val="24"/>
        </w:rPr>
        <w:t>tection authorities and interviews with several EC/EU services) is presented in figure 11 below.</w:t>
      </w:r>
    </w:p>
    <w:p w:rsidR="00500553" w:rsidRDefault="00D978F2">
      <w:pPr>
        <w:pStyle w:val="NoSpacing"/>
        <w:spacing w:line="276" w:lineRule="auto"/>
        <w:jc w:val="both"/>
        <w:rPr>
          <w:rFonts w:ascii="Times New Roman" w:hAnsi="Times New Roman" w:cs="Times New Roman"/>
          <w:noProof/>
          <w:sz w:val="24"/>
          <w:szCs w:val="24"/>
        </w:rPr>
      </w:pPr>
      <w:r>
        <w:rPr>
          <w:rFonts w:ascii="Times New Roman" w:hAnsi="Times New Roman" w:cs="Times New Roman"/>
          <w:b/>
          <w:noProof/>
          <w:color w:val="4F81BD" w:themeColor="accent1"/>
          <w:sz w:val="20"/>
          <w:szCs w:val="20"/>
        </w:rPr>
        <w:t xml:space="preserve">Figure </w:t>
      </w:r>
      <w:r>
        <w:rPr>
          <w:rFonts w:ascii="Times New Roman" w:hAnsi="Times New Roman" w:cs="Times New Roman"/>
          <w:b/>
          <w:noProof/>
          <w:color w:val="4F81BD" w:themeColor="accent1"/>
          <w:sz w:val="20"/>
          <w:szCs w:val="20"/>
        </w:rPr>
        <w:fldChar w:fldCharType="begin"/>
      </w:r>
      <w:r>
        <w:rPr>
          <w:rFonts w:ascii="Times New Roman" w:hAnsi="Times New Roman" w:cs="Times New Roman"/>
          <w:b/>
          <w:noProof/>
          <w:color w:val="4F81BD" w:themeColor="accent1"/>
          <w:sz w:val="20"/>
          <w:szCs w:val="20"/>
        </w:rPr>
        <w:instrText xml:space="preserve"> SEQ Figure \* ARABIC </w:instrText>
      </w:r>
      <w:r>
        <w:rPr>
          <w:rFonts w:ascii="Times New Roman" w:hAnsi="Times New Roman" w:cs="Times New Roman"/>
          <w:b/>
          <w:noProof/>
          <w:color w:val="4F81BD" w:themeColor="accent1"/>
          <w:sz w:val="20"/>
          <w:szCs w:val="20"/>
        </w:rPr>
        <w:fldChar w:fldCharType="separate"/>
      </w:r>
      <w:r>
        <w:rPr>
          <w:rFonts w:ascii="Times New Roman" w:hAnsi="Times New Roman" w:cs="Times New Roman"/>
          <w:b/>
          <w:noProof/>
          <w:color w:val="4F81BD" w:themeColor="accent1"/>
          <w:sz w:val="20"/>
          <w:szCs w:val="20"/>
        </w:rPr>
        <w:t>11</w:t>
      </w:r>
      <w:r>
        <w:rPr>
          <w:rFonts w:ascii="Times New Roman" w:hAnsi="Times New Roman" w:cs="Times New Roman"/>
          <w:b/>
          <w:noProof/>
          <w:color w:val="4F81BD" w:themeColor="accent1"/>
          <w:sz w:val="20"/>
          <w:szCs w:val="20"/>
        </w:rPr>
        <w:fldChar w:fldCharType="end"/>
      </w:r>
      <w:r>
        <w:rPr>
          <w:rFonts w:ascii="Times New Roman" w:hAnsi="Times New Roman" w:cs="Times New Roman"/>
          <w:b/>
          <w:noProof/>
          <w:color w:val="4F81BD" w:themeColor="accent1"/>
          <w:sz w:val="20"/>
          <w:szCs w:val="20"/>
        </w:rPr>
        <w:t xml:space="preserve">: Current status of coordination between UCPM and other policy areas. Red arrows show  </w:t>
      </w:r>
      <w:r>
        <w:rPr>
          <w:rFonts w:ascii="Times New Roman" w:hAnsi="Times New Roman" w:cs="Times New Roman"/>
          <w:b/>
          <w:noProof/>
          <w:color w:val="4F81BD" w:themeColor="accent1"/>
          <w:sz w:val="20"/>
          <w:szCs w:val="20"/>
        </w:rPr>
        <w:tab/>
      </w:r>
      <w:r>
        <w:rPr>
          <w:rFonts w:ascii="Times New Roman" w:hAnsi="Times New Roman" w:cs="Times New Roman"/>
          <w:b/>
          <w:noProof/>
          <w:color w:val="4F81BD" w:themeColor="accent1"/>
          <w:sz w:val="20"/>
          <w:szCs w:val="20"/>
        </w:rPr>
        <w:t xml:space="preserve">growing importance of the policy area and need for inter-institutional cooperation. Green arrows </w:t>
      </w:r>
      <w:r>
        <w:rPr>
          <w:rFonts w:ascii="Times New Roman" w:hAnsi="Times New Roman" w:cs="Times New Roman"/>
          <w:b/>
          <w:noProof/>
          <w:color w:val="4F81BD" w:themeColor="accent1"/>
          <w:sz w:val="20"/>
          <w:szCs w:val="20"/>
        </w:rPr>
        <w:tab/>
        <w:t>mean that inter-institutional cooperation has grown over the period 2014-2016.</w:t>
      </w:r>
      <w:r>
        <w:rPr>
          <w:rFonts w:ascii="Times New Roman" w:hAnsi="Times New Roman" w:cs="Times New Roman"/>
          <w:noProof/>
          <w:color w:val="4F81BD" w:themeColor="accent1"/>
          <w:sz w:val="20"/>
          <w:szCs w:val="20"/>
        </w:rPr>
        <w:t xml:space="preserve"> </w:t>
      </w:r>
      <w:r>
        <w:rPr>
          <w:rFonts w:ascii="Times New Roman" w:hAnsi="Times New Roman" w:cs="Times New Roman"/>
          <w:noProof/>
          <w:color w:val="4F81BD" w:themeColor="accent1"/>
          <w:sz w:val="20"/>
          <w:szCs w:val="20"/>
        </w:rPr>
        <w:br/>
      </w:r>
      <w:r>
        <w:rPr>
          <w:rFonts w:ascii="Times New Roman" w:hAnsi="Times New Roman" w:cs="Times New Roman"/>
          <w:i/>
          <w:noProof/>
          <w:color w:val="4F81BD" w:themeColor="accent1"/>
          <w:sz w:val="20"/>
          <w:szCs w:val="20"/>
        </w:rPr>
        <w:t xml:space="preserve"> </w:t>
      </w:r>
      <w:r>
        <w:rPr>
          <w:rFonts w:ascii="Times New Roman" w:hAnsi="Times New Roman" w:cs="Times New Roman"/>
          <w:i/>
          <w:noProof/>
          <w:color w:val="4F81BD" w:themeColor="accent1"/>
          <w:sz w:val="20"/>
          <w:szCs w:val="20"/>
        </w:rPr>
        <w:tab/>
        <w:t>Source: ICF External Evaluation (based on stakeholder consultation)</w:t>
      </w:r>
      <w:r>
        <w:rPr>
          <w:rFonts w:ascii="Times New Roman" w:hAnsi="Times New Roman" w:cs="Times New Roman"/>
          <w:noProof/>
          <w:sz w:val="24"/>
          <w:szCs w:val="24"/>
          <w:lang w:eastAsia="en-GB"/>
        </w:rPr>
        <w:drawing>
          <wp:inline distT="0" distB="0" distL="0" distR="0">
            <wp:extent cx="5760720" cy="41723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4172363"/>
                    </a:xfrm>
                    <a:prstGeom prst="rect">
                      <a:avLst/>
                    </a:prstGeom>
                    <a:noFill/>
                  </pic:spPr>
                </pic:pic>
              </a:graphicData>
            </a:graphic>
          </wp:inline>
        </w:drawing>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w:t>
      </w:r>
      <w:r>
        <w:rPr>
          <w:rFonts w:ascii="Times New Roman" w:hAnsi="Times New Roman" w:cs="Times New Roman"/>
          <w:noProof/>
          <w:sz w:val="24"/>
          <w:szCs w:val="24"/>
        </w:rPr>
        <w:t xml:space="preserve">the first half of its implementation, the UCPM strengthened its linkages with key policy areas. These include: </w:t>
      </w:r>
      <w:r>
        <w:rPr>
          <w:rFonts w:ascii="Times New Roman" w:hAnsi="Times New Roman" w:cs="Times New Roman"/>
          <w:noProof/>
          <w:sz w:val="24"/>
          <w:szCs w:val="24"/>
          <w:u w:val="single"/>
        </w:rPr>
        <w:t>research and innovation</w:t>
      </w:r>
      <w:r>
        <w:rPr>
          <w:rFonts w:ascii="Times New Roman" w:hAnsi="Times New Roman" w:cs="Times New Roman"/>
          <w:noProof/>
          <w:sz w:val="24"/>
          <w:szCs w:val="24"/>
        </w:rPr>
        <w:t xml:space="preserve"> (including the Disaster Risk Management Knowledge Centre  and the Copernicus rapid mapping services); </w:t>
      </w:r>
      <w:r>
        <w:rPr>
          <w:rFonts w:ascii="Times New Roman" w:hAnsi="Times New Roman" w:cs="Times New Roman"/>
          <w:noProof/>
          <w:sz w:val="24"/>
          <w:szCs w:val="24"/>
          <w:u w:val="single"/>
        </w:rPr>
        <w:t>regional policy</w:t>
      </w:r>
      <w:r>
        <w:rPr>
          <w:rFonts w:ascii="Times New Roman" w:hAnsi="Times New Roman" w:cs="Times New Roman"/>
          <w:noProof/>
          <w:sz w:val="24"/>
          <w:szCs w:val="24"/>
        </w:rPr>
        <w:t xml:space="preserve"> (ex</w:t>
      </w:r>
      <w:r>
        <w:rPr>
          <w:rFonts w:ascii="Times New Roman" w:hAnsi="Times New Roman" w:cs="Times New Roman"/>
          <w:noProof/>
          <w:sz w:val="24"/>
          <w:szCs w:val="24"/>
        </w:rPr>
        <w:t xml:space="preserve">-ante conditionality to cohesion funds on disaster risk management and policy coordination with the cohesion policy instrument); </w:t>
      </w:r>
      <w:r>
        <w:rPr>
          <w:rFonts w:ascii="Times New Roman" w:hAnsi="Times New Roman" w:cs="Times New Roman"/>
          <w:noProof/>
          <w:sz w:val="24"/>
          <w:szCs w:val="24"/>
          <w:u w:val="single"/>
        </w:rPr>
        <w:t>environment</w:t>
      </w:r>
      <w:r>
        <w:rPr>
          <w:rFonts w:ascii="Times New Roman" w:hAnsi="Times New Roman" w:cs="Times New Roman"/>
          <w:noProof/>
          <w:sz w:val="24"/>
          <w:szCs w:val="24"/>
        </w:rPr>
        <w:t xml:space="preserve"> (integration of hydrological and civil protection early warning systems for floods under the Flood Directive and, t</w:t>
      </w:r>
      <w:r>
        <w:rPr>
          <w:rFonts w:ascii="Times New Roman" w:hAnsi="Times New Roman" w:cs="Times New Roman"/>
          <w:noProof/>
          <w:sz w:val="24"/>
          <w:szCs w:val="24"/>
        </w:rPr>
        <w:t xml:space="preserve">o a lesser extent, promoting the UCPM to support implementation of the Seveso Directive), </w:t>
      </w:r>
      <w:r>
        <w:rPr>
          <w:rFonts w:ascii="Times New Roman" w:hAnsi="Times New Roman" w:cs="Times New Roman"/>
          <w:noProof/>
          <w:sz w:val="24"/>
          <w:szCs w:val="24"/>
          <w:u w:val="single"/>
        </w:rPr>
        <w:t>climate adaptation</w:t>
      </w:r>
      <w:r>
        <w:rPr>
          <w:rFonts w:ascii="Times New Roman" w:hAnsi="Times New Roman" w:cs="Times New Roman"/>
          <w:noProof/>
          <w:sz w:val="24"/>
          <w:szCs w:val="24"/>
        </w:rPr>
        <w:t xml:space="preserve"> (sharing of knowledge under the Disaster Risk Management Knowledge Centre and, to a lesser extent, integration of climate change in the national ri</w:t>
      </w:r>
      <w:r>
        <w:rPr>
          <w:rFonts w:ascii="Times New Roman" w:hAnsi="Times New Roman" w:cs="Times New Roman"/>
          <w:noProof/>
          <w:sz w:val="24"/>
          <w:szCs w:val="24"/>
        </w:rPr>
        <w:t xml:space="preserve">sk assessments); </w:t>
      </w:r>
      <w:r>
        <w:rPr>
          <w:rFonts w:ascii="Times New Roman" w:hAnsi="Times New Roman" w:cs="Times New Roman"/>
          <w:noProof/>
          <w:sz w:val="24"/>
          <w:szCs w:val="24"/>
          <w:u w:val="single"/>
        </w:rPr>
        <w:t>health</w:t>
      </w:r>
      <w:r>
        <w:rPr>
          <w:rFonts w:ascii="Times New Roman" w:hAnsi="Times New Roman" w:cs="Times New Roman"/>
          <w:noProof/>
          <w:sz w:val="24"/>
          <w:szCs w:val="24"/>
        </w:rPr>
        <w:t xml:space="preserve"> (cooperation with DG SANTE and the European Centre for Disease Prevention and Control (ECDC) on health-related activities, including the European Medical Corps), </w:t>
      </w:r>
      <w:r>
        <w:rPr>
          <w:rFonts w:ascii="Times New Roman" w:hAnsi="Times New Roman" w:cs="Times New Roman"/>
          <w:noProof/>
          <w:sz w:val="24"/>
          <w:szCs w:val="24"/>
          <w:u w:val="single"/>
        </w:rPr>
        <w:t>neighbourhood and enlargement</w:t>
      </w:r>
      <w:r>
        <w:rPr>
          <w:rFonts w:ascii="Times New Roman" w:hAnsi="Times New Roman" w:cs="Times New Roman"/>
          <w:noProof/>
          <w:sz w:val="24"/>
          <w:szCs w:val="24"/>
        </w:rPr>
        <w:t xml:space="preserve"> policy (in cooperation with DG NEAR) as </w:t>
      </w:r>
      <w:r>
        <w:rPr>
          <w:rFonts w:ascii="Times New Roman" w:hAnsi="Times New Roman" w:cs="Times New Roman"/>
          <w:noProof/>
          <w:sz w:val="24"/>
          <w:szCs w:val="24"/>
        </w:rPr>
        <w:t>well as coherence and complementarity between CP, humanitarian and development assistance.</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As far as the neighbourhood policy is concerned, further coherence between UCPM and DG NEAR activities in Partner countries is needed. In particular, coordination be</w:t>
      </w:r>
      <w:r>
        <w:rPr>
          <w:rFonts w:ascii="Times New Roman" w:hAnsi="Times New Roman" w:cs="Times New Roman"/>
          <w:noProof/>
          <w:sz w:val="24"/>
          <w:szCs w:val="24"/>
        </w:rPr>
        <w:t>tween the yearly Prevention and Preparedness Calls for Proposals of the UCPM and the disaster risk management related activities of the PPRD was found to be insufficient by the 2017 final evaluation of the PPRD-East II</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The evaluation called for enhancing</w:t>
      </w:r>
      <w:r>
        <w:rPr>
          <w:rFonts w:ascii="Times New Roman" w:hAnsi="Times New Roman" w:cs="Times New Roman"/>
          <w:noProof/>
          <w:sz w:val="24"/>
          <w:szCs w:val="24"/>
        </w:rPr>
        <w:t xml:space="preserve"> coordination between DG ECHO and DG NEAR on their respective programmes. Similarly the 2017 final evaluation of the PPRD-South Programme</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underscored the need to provide to both decision- makers and practitioners in partner countries with more knowledge o</w:t>
      </w:r>
      <w:r>
        <w:rPr>
          <w:rFonts w:ascii="Times New Roman" w:hAnsi="Times New Roman" w:cs="Times New Roman"/>
          <w:noProof/>
          <w:sz w:val="24"/>
          <w:szCs w:val="24"/>
        </w:rPr>
        <w:t>n the UCPM and the opportunities it offers them in prevention/preparedness/response. The IPA programme, would benefit from further integration in the UCPM</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This includes, among others, participation in UCPM exercises and increased awareness of UCPM proced</w:t>
      </w:r>
      <w:r>
        <w:rPr>
          <w:rFonts w:ascii="Times New Roman" w:hAnsi="Times New Roman" w:cs="Times New Roman"/>
          <w:noProof/>
          <w:sz w:val="24"/>
          <w:szCs w:val="24"/>
        </w:rPr>
        <w:t>ures; integration of IPA-supported multi-countries response modules in the EERC; and joint efforts with UCPM to strengthen the governance of the prevention activities (e.g. on the Disaster Risk Assessment and Mapping initiative).</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Recent developments affect</w:t>
      </w:r>
      <w:r>
        <w:rPr>
          <w:rFonts w:ascii="Times New Roman" w:hAnsi="Times New Roman" w:cs="Times New Roman"/>
          <w:noProof/>
          <w:sz w:val="24"/>
          <w:szCs w:val="24"/>
        </w:rPr>
        <w:t>ing Europe's security (mainly related to terrorist attacks) have also prompted the security policy as a priority area for cooperation with civil protection. The "Security Union" initiative launched towards the end of 2016 aims at providing a platform for c</w:t>
      </w:r>
      <w:r>
        <w:rPr>
          <w:rFonts w:ascii="Times New Roman" w:hAnsi="Times New Roman" w:cs="Times New Roman"/>
          <w:noProof/>
          <w:sz w:val="24"/>
          <w:szCs w:val="24"/>
        </w:rPr>
        <w:t>ooperation across several EU instruments, including the UCPM and is expected to take on a primary role in the second half of the UCPM implementation. The approach taken by the UCPM-Security Union coordination goes beyond the exchange of information and foc</w:t>
      </w:r>
      <w:r>
        <w:rPr>
          <w:rFonts w:ascii="Times New Roman" w:hAnsi="Times New Roman" w:cs="Times New Roman"/>
          <w:noProof/>
          <w:sz w:val="24"/>
          <w:szCs w:val="24"/>
        </w:rPr>
        <w:t>uses on a common agenda with specific milestones. This result-oriented approach could possibly be replicated in other areas.</w:t>
      </w:r>
    </w:p>
    <w:p w:rsidR="00500553" w:rsidRDefault="00D978F2">
      <w:pPr>
        <w:jc w:val="both"/>
        <w:rPr>
          <w:rFonts w:ascii="Times New Roman" w:hAnsi="Times New Roman" w:cs="Times New Roman"/>
          <w:b/>
          <w:noProof/>
          <w:sz w:val="24"/>
          <w:szCs w:val="24"/>
        </w:rPr>
      </w:pPr>
      <w:r>
        <w:rPr>
          <w:rFonts w:ascii="Times New Roman" w:hAnsi="Times New Roman" w:cs="Times New Roman"/>
          <w:noProof/>
          <w:sz w:val="24"/>
          <w:szCs w:val="24"/>
        </w:rPr>
        <w:t xml:space="preserve">Finally, as far as the response outside of Europe is concerned, the comparative advantage of civil protection intervention </w:t>
      </w:r>
      <w:r>
        <w:rPr>
          <w:rFonts w:ascii="Times New Roman" w:hAnsi="Times New Roman" w:cs="Times New Roman"/>
          <w:noProof/>
          <w:sz w:val="24"/>
          <w:szCs w:val="24"/>
        </w:rPr>
        <w:t xml:space="preserve">vis-a-vis humanitarian assistance needs to be carefully considered as the UCPM becomes increasingly activated for dealing with humanitarian and complex emergencies (see section 6.1). In particular, the UCPM can fill important emergency gaps in cases where </w:t>
      </w:r>
      <w:r>
        <w:rPr>
          <w:rFonts w:ascii="Times New Roman" w:hAnsi="Times New Roman" w:cs="Times New Roman"/>
          <w:noProof/>
          <w:sz w:val="24"/>
          <w:szCs w:val="24"/>
        </w:rPr>
        <w:t>it is not possible to fully deploy humanitarian teams or where specific technical expertise and/or assets are needed. In the same vein, linkages with other prevention, preparedness or response activities outside of Europe should be ensured from early stage</w:t>
      </w:r>
      <w:r>
        <w:rPr>
          <w:rFonts w:ascii="Times New Roman" w:hAnsi="Times New Roman" w:cs="Times New Roman"/>
          <w:noProof/>
          <w:sz w:val="24"/>
          <w:szCs w:val="24"/>
        </w:rPr>
        <w:t>s of intervention under the UCPM. For example, in the aftermath of the Nepal earthquake the support offered through the UCPM (e.g. structural engineering, water purification systems) was followed by the development of a Post Disaster Needs Assessment (PDNA</w:t>
      </w:r>
      <w:r>
        <w:rPr>
          <w:rFonts w:ascii="Times New Roman" w:hAnsi="Times New Roman" w:cs="Times New Roman"/>
          <w:noProof/>
          <w:sz w:val="24"/>
          <w:szCs w:val="24"/>
        </w:rPr>
        <w:t>), which became the recovery and rehabilitation framework for the country. In such situations, the assessments carried out by civil protection experts deployed by EU Member States or the Commission should feed into wider recovery frameworks conducted by pa</w:t>
      </w:r>
      <w:r>
        <w:rPr>
          <w:rFonts w:ascii="Times New Roman" w:hAnsi="Times New Roman" w:cs="Times New Roman"/>
          <w:noProof/>
          <w:sz w:val="24"/>
          <w:szCs w:val="24"/>
        </w:rPr>
        <w:t>rtner countries governments, with support from the international community.</w:t>
      </w:r>
    </w:p>
    <w:p w:rsidR="00500553" w:rsidRDefault="00D978F2">
      <w:pPr>
        <w:pStyle w:val="Heading2"/>
        <w:spacing w:line="276" w:lineRule="auto"/>
        <w:rPr>
          <w:rFonts w:ascii="Times New Roman" w:hAnsi="Times New Roman" w:cs="Times New Roman"/>
          <w:b w:val="0"/>
          <w:noProof/>
          <w:sz w:val="24"/>
          <w:szCs w:val="24"/>
        </w:rPr>
      </w:pPr>
      <w:bookmarkStart w:id="61" w:name="_Toc485914861"/>
      <w:bookmarkStart w:id="62" w:name="_Toc485915487"/>
      <w:bookmarkStart w:id="63" w:name="_Toc489347871"/>
      <w:bookmarkStart w:id="64" w:name="_Toc489427644"/>
      <w:r>
        <w:rPr>
          <w:rFonts w:ascii="Times New Roman" w:hAnsi="Times New Roman" w:cs="Times New Roman"/>
          <w:noProof/>
          <w:sz w:val="24"/>
          <w:szCs w:val="24"/>
        </w:rPr>
        <w:t>EU Added Value</w:t>
      </w:r>
      <w:bookmarkEnd w:id="61"/>
      <w:bookmarkEnd w:id="62"/>
      <w:bookmarkEnd w:id="63"/>
      <w:bookmarkEnd w:id="64"/>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UCPM provides Participating States with cooperation opportunities and increased capacity – and predictability – in terms of expertise and resources that would no</w:t>
      </w:r>
      <w:r>
        <w:rPr>
          <w:rFonts w:ascii="Times New Roman" w:hAnsi="Times New Roman" w:cs="Times New Roman"/>
          <w:noProof/>
          <w:sz w:val="24"/>
          <w:szCs w:val="24"/>
        </w:rPr>
        <w:t>t be possible without coordinated effort at EU level. The vast majority of Participating States consulted see an added value in EU-level action under the UCPM as opposed to bilateral actions or to the action of international organisations or NGOs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w:t>
      </w:r>
    </w:p>
    <w:p w:rsidR="00500553" w:rsidRDefault="00D978F2">
      <w:pPr>
        <w:jc w:val="both"/>
        <w:rPr>
          <w:rFonts w:ascii="Times New Roman" w:hAnsi="Times New Roman" w:cs="Times New Roman"/>
          <w:noProof/>
          <w:sz w:val="24"/>
          <w:szCs w:val="24"/>
        </w:rPr>
      </w:pPr>
      <w:r>
        <w:rPr>
          <w:rFonts w:ascii="Times New Roman" w:hAnsi="Times New Roman" w:cs="Times New Roman"/>
          <w:i/>
          <w:noProof/>
          <w:sz w:val="24"/>
          <w:szCs w:val="24"/>
        </w:rPr>
        <w:t>Prevent</w:t>
      </w:r>
      <w:r>
        <w:rPr>
          <w:rFonts w:ascii="Times New Roman" w:hAnsi="Times New Roman" w:cs="Times New Roman"/>
          <w:i/>
          <w:noProof/>
          <w:sz w:val="24"/>
          <w:szCs w:val="24"/>
        </w:rPr>
        <w:t>ion</w:t>
      </w:r>
      <w:r>
        <w:rPr>
          <w:rFonts w:ascii="Times New Roman" w:hAnsi="Times New Roman" w:cs="Times New Roman"/>
          <w:noProof/>
          <w:sz w:val="24"/>
          <w:szCs w:val="24"/>
        </w:rPr>
        <w:t>: Consulted stakeholders noted the importance of the Decision's provisions on prevention (e.g. National Risk Assessments) as a "pull factor" to develop throughout all the Member States policies and strategies addressing disaster prevention. Furthermore,</w:t>
      </w:r>
      <w:r>
        <w:rPr>
          <w:rFonts w:ascii="Times New Roman" w:hAnsi="Times New Roman" w:cs="Times New Roman"/>
          <w:noProof/>
          <w:sz w:val="24"/>
          <w:szCs w:val="24"/>
        </w:rPr>
        <w:t xml:space="preserve"> the introduction of European Commission guidelines for risk assessments had a very significant impact on this pillar of the UCPM, contributing to the first-ever overview of risks in the EU. Prevention and preparedness projects, which must necessarily invo</w:t>
      </w:r>
      <w:r>
        <w:rPr>
          <w:rFonts w:ascii="Times New Roman" w:hAnsi="Times New Roman" w:cs="Times New Roman"/>
          <w:noProof/>
          <w:sz w:val="24"/>
          <w:szCs w:val="24"/>
        </w:rPr>
        <w:t>lve three or more Participating States, deliver an inherent cross-border value by facilitating the establishment of informal channels between national authorities having to manage common risks. Most of the Participating States consulted by the external eva</w:t>
      </w:r>
      <w:r>
        <w:rPr>
          <w:rFonts w:ascii="Times New Roman" w:hAnsi="Times New Roman" w:cs="Times New Roman"/>
          <w:noProof/>
          <w:sz w:val="24"/>
          <w:szCs w:val="24"/>
        </w:rPr>
        <w:t>luators do not believe these projects would have been carried out in the absence of UCPM funding or, if they had been, they would have involved duplications and fragmentations</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w:t>
      </w:r>
    </w:p>
    <w:p w:rsidR="00500553" w:rsidRDefault="00D978F2">
      <w:pPr>
        <w:rPr>
          <w:rFonts w:ascii="Times New Roman" w:hAnsi="Times New Roman" w:cs="Times New Roman"/>
          <w:noProof/>
          <w:sz w:val="24"/>
          <w:szCs w:val="24"/>
        </w:rPr>
      </w:pPr>
      <w:r>
        <w:rPr>
          <w:rFonts w:ascii="Times New Roman" w:hAnsi="Times New Roman" w:cs="Times New Roman"/>
          <w:noProof/>
          <w:sz w:val="24"/>
          <w:szCs w:val="24"/>
        </w:rPr>
        <w:br w:type="page"/>
      </w:r>
    </w:p>
    <w:p w:rsidR="00500553" w:rsidRDefault="00D978F2">
      <w:pPr>
        <w:pStyle w:val="NoSpacing"/>
        <w:rPr>
          <w:rFonts w:ascii="Times New Roman" w:hAnsi="Times New Roman" w:cs="Times New Roman"/>
          <w:i/>
          <w:noProof/>
          <w:sz w:val="20"/>
        </w:rPr>
      </w:pPr>
      <w:r>
        <w:rPr>
          <w:rFonts w:ascii="Times New Roman" w:hAnsi="Times New Roman" w:cs="Times New Roman"/>
          <w:b/>
          <w:noProof/>
          <w:color w:val="4F81BD" w:themeColor="accent1"/>
          <w:sz w:val="20"/>
        </w:rPr>
        <w:t xml:space="preserve">Figure </w:t>
      </w:r>
      <w:r>
        <w:rPr>
          <w:rFonts w:ascii="Times New Roman" w:hAnsi="Times New Roman" w:cs="Times New Roman"/>
          <w:b/>
          <w:noProof/>
          <w:color w:val="4F81BD" w:themeColor="accent1"/>
          <w:sz w:val="20"/>
        </w:rPr>
        <w:fldChar w:fldCharType="begin"/>
      </w:r>
      <w:r>
        <w:rPr>
          <w:rFonts w:ascii="Times New Roman" w:hAnsi="Times New Roman" w:cs="Times New Roman"/>
          <w:b/>
          <w:noProof/>
          <w:color w:val="4F81BD" w:themeColor="accent1"/>
          <w:sz w:val="20"/>
        </w:rPr>
        <w:instrText xml:space="preserve"> SEQ Figure \* ARABIC </w:instrText>
      </w:r>
      <w:r>
        <w:rPr>
          <w:rFonts w:ascii="Times New Roman" w:hAnsi="Times New Roman" w:cs="Times New Roman"/>
          <w:b/>
          <w:noProof/>
          <w:color w:val="4F81BD" w:themeColor="accent1"/>
          <w:sz w:val="20"/>
        </w:rPr>
        <w:fldChar w:fldCharType="separate"/>
      </w:r>
      <w:r>
        <w:rPr>
          <w:rFonts w:ascii="Times New Roman" w:hAnsi="Times New Roman" w:cs="Times New Roman"/>
          <w:b/>
          <w:noProof/>
          <w:color w:val="4F81BD" w:themeColor="accent1"/>
          <w:sz w:val="20"/>
        </w:rPr>
        <w:t>12</w:t>
      </w:r>
      <w:r>
        <w:rPr>
          <w:rFonts w:ascii="Times New Roman" w:hAnsi="Times New Roman" w:cs="Times New Roman"/>
          <w:b/>
          <w:noProof/>
          <w:color w:val="4F81BD" w:themeColor="accent1"/>
          <w:sz w:val="20"/>
        </w:rPr>
        <w:fldChar w:fldCharType="end"/>
      </w:r>
      <w:r>
        <w:rPr>
          <w:rFonts w:ascii="Times New Roman" w:hAnsi="Times New Roman" w:cs="Times New Roman"/>
          <w:b/>
          <w:noProof/>
          <w:color w:val="4F81BD" w:themeColor="accent1"/>
          <w:sz w:val="20"/>
        </w:rPr>
        <w:t xml:space="preserve">: Stakeholder consultations. </w:t>
      </w:r>
    </w:p>
    <w:p w:rsidR="00500553" w:rsidRDefault="00D978F2">
      <w:pPr>
        <w:pStyle w:val="NoSpacing"/>
        <w:ind w:left="915"/>
        <w:rPr>
          <w:rFonts w:ascii="Times New Roman" w:hAnsi="Times New Roman" w:cs="Times New Roman"/>
          <w:noProof/>
          <w:sz w:val="20"/>
        </w:rPr>
      </w:pPr>
      <w:r>
        <w:rPr>
          <w:rFonts w:ascii="Times New Roman" w:hAnsi="Times New Roman" w:cs="Times New Roman"/>
          <w:i/>
          <w:noProof/>
          <w:color w:val="4F81BD" w:themeColor="accent1"/>
          <w:sz w:val="20"/>
        </w:rPr>
        <w:t>Source: ICF,</w:t>
      </w:r>
      <w:r>
        <w:rPr>
          <w:rFonts w:ascii="Times New Roman" w:hAnsi="Times New Roman" w:cs="Times New Roman"/>
          <w:i/>
          <w:noProof/>
          <w:color w:val="4F81BD" w:themeColor="accent1"/>
          <w:sz w:val="20"/>
        </w:rPr>
        <w:t xml:space="preserve"> Survey of Project Leads of Prevention and Preparedness Projects from 12 Participating States.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58866" cy="2777320"/>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760720" cy="2778214"/>
                    </a:xfrm>
                    <a:prstGeom prst="rect">
                      <a:avLst/>
                    </a:prstGeom>
                  </pic:spPr>
                </pic:pic>
              </a:graphicData>
            </a:graphic>
          </wp:inline>
        </w:drawing>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A more robust UCPM monitoring framework (as explained in section 6.2 on Effectiveness) that, for instance, allowed to keep better track of outputs and outcomes</w:t>
      </w:r>
      <w:r>
        <w:rPr>
          <w:rFonts w:ascii="Times New Roman" w:hAnsi="Times New Roman" w:cs="Times New Roman"/>
          <w:noProof/>
          <w:sz w:val="24"/>
          <w:szCs w:val="24"/>
        </w:rPr>
        <w:t xml:space="preserve"> of cross-border prevention projects (e.g. number of cross-border risk assessments developed by the UCPM, or number of macro-regional development plans that take into account findings of risk analysis developed by the UCPM) would also help to better apprec</w:t>
      </w:r>
      <w:r>
        <w:rPr>
          <w:rFonts w:ascii="Times New Roman" w:hAnsi="Times New Roman" w:cs="Times New Roman"/>
          <w:noProof/>
          <w:sz w:val="24"/>
          <w:szCs w:val="24"/>
        </w:rPr>
        <w:t>iate and communicate to stakeholders and the public the added value of EU action in the area of civil protection and disaster risk management.</w:t>
      </w:r>
    </w:p>
    <w:p w:rsidR="00500553" w:rsidRDefault="00D978F2">
      <w:pPr>
        <w:jc w:val="both"/>
        <w:rPr>
          <w:rFonts w:ascii="Times New Roman" w:hAnsi="Times New Roman" w:cs="Times New Roman"/>
          <w:noProof/>
          <w:sz w:val="24"/>
          <w:szCs w:val="24"/>
        </w:rPr>
      </w:pPr>
      <w:r>
        <w:rPr>
          <w:rFonts w:ascii="Times New Roman" w:hAnsi="Times New Roman" w:cs="Times New Roman"/>
          <w:i/>
          <w:noProof/>
          <w:sz w:val="24"/>
          <w:szCs w:val="24"/>
        </w:rPr>
        <w:t>Preparedness</w:t>
      </w:r>
      <w:r>
        <w:rPr>
          <w:rFonts w:ascii="Times New Roman" w:hAnsi="Times New Roman" w:cs="Times New Roman"/>
          <w:noProof/>
          <w:sz w:val="24"/>
          <w:szCs w:val="24"/>
        </w:rPr>
        <w:t xml:space="preserve">: EU assistance to Participating States in organising resources through the creation of the EERC and </w:t>
      </w:r>
      <w:r>
        <w:rPr>
          <w:rFonts w:ascii="Times New Roman" w:hAnsi="Times New Roman" w:cs="Times New Roman"/>
          <w:noProof/>
          <w:sz w:val="24"/>
          <w:szCs w:val="24"/>
        </w:rPr>
        <w:t>the intervention modules is considered by stakeholders as the most tangible (and visible) added value generated by the UCPM</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The overall capacity and deployment capabilities (e.g. training and inter-operability) of the EERC is larger than what would have </w:t>
      </w:r>
      <w:r>
        <w:rPr>
          <w:rFonts w:ascii="Times New Roman" w:hAnsi="Times New Roman" w:cs="Times New Roman"/>
          <w:noProof/>
          <w:sz w:val="24"/>
          <w:szCs w:val="24"/>
        </w:rPr>
        <w:t>been possible through the sum of the national capacities. Voluntary pooling of Participating States' assets on standby has facilitated the planning of operations and added an element of predictability, thus enhancing EU-wide contingency planning. In additi</w:t>
      </w:r>
      <w:r>
        <w:rPr>
          <w:rFonts w:ascii="Times New Roman" w:hAnsi="Times New Roman" w:cs="Times New Roman"/>
          <w:noProof/>
          <w:sz w:val="24"/>
          <w:szCs w:val="24"/>
        </w:rPr>
        <w:t>on to making response capacities more adaptable to the international context, most of the consulted countries agree that promoting common European standards for modules that join the EERC has contributed to enhance their quality and robustness</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Similar co</w:t>
      </w:r>
      <w:r>
        <w:rPr>
          <w:rFonts w:ascii="Times New Roman" w:hAnsi="Times New Roman" w:cs="Times New Roman"/>
          <w:noProof/>
          <w:sz w:val="24"/>
          <w:szCs w:val="24"/>
        </w:rPr>
        <w:t>nsiderations apply to training and exercises, which have contributed to create a network of EU civil protection professionals sharing common operating procedures and standards throughout Europe. To this end, the exchange of expert program is also considere</w:t>
      </w:r>
      <w:r>
        <w:rPr>
          <w:rFonts w:ascii="Times New Roman" w:hAnsi="Times New Roman" w:cs="Times New Roman"/>
          <w:noProof/>
          <w:sz w:val="24"/>
          <w:szCs w:val="24"/>
        </w:rPr>
        <w:t>d as being a valuable instrument to provide to a large number of civil protection experts opportunities to share knowledge and acquire new skills while belonging to an international network of civil protection professionals.</w:t>
      </w:r>
    </w:p>
    <w:p w:rsidR="00500553" w:rsidRDefault="00D978F2">
      <w:pPr>
        <w:jc w:val="both"/>
        <w:rPr>
          <w:rFonts w:ascii="Times New Roman" w:hAnsi="Times New Roman" w:cs="Times New Roman"/>
          <w:noProof/>
          <w:sz w:val="24"/>
          <w:szCs w:val="24"/>
        </w:rPr>
      </w:pPr>
      <w:r>
        <w:rPr>
          <w:rFonts w:ascii="Times New Roman" w:hAnsi="Times New Roman" w:cs="Times New Roman"/>
          <w:i/>
          <w:noProof/>
          <w:sz w:val="24"/>
          <w:szCs w:val="24"/>
        </w:rPr>
        <w:t>Response</w:t>
      </w:r>
      <w:r>
        <w:rPr>
          <w:rFonts w:ascii="Times New Roman" w:hAnsi="Times New Roman" w:cs="Times New Roman"/>
          <w:noProof/>
          <w:sz w:val="24"/>
          <w:szCs w:val="24"/>
        </w:rPr>
        <w:t xml:space="preserve">: The evolution of the </w:t>
      </w:r>
      <w:r>
        <w:rPr>
          <w:rFonts w:ascii="Times New Roman" w:hAnsi="Times New Roman" w:cs="Times New Roman"/>
          <w:noProof/>
          <w:sz w:val="24"/>
          <w:szCs w:val="24"/>
        </w:rPr>
        <w:t>MIC into a single "hub" for information sharing and operational coordination, the ERCC, was considered by stakeholders to be the most tangible added value for European and third countries. Managing multiple bilateral offers at the same time and without ERC</w:t>
      </w:r>
      <w:r>
        <w:rPr>
          <w:rFonts w:ascii="Times New Roman" w:hAnsi="Times New Roman" w:cs="Times New Roman"/>
          <w:noProof/>
          <w:sz w:val="24"/>
          <w:szCs w:val="24"/>
        </w:rPr>
        <w:t>C coordination would be more cumbersome/costly and would bring lower visibility. Another significant value brought by EU-level action in the area of civil protection is the possibility to leverage satellite systems (e.g. Copernicus) for making available tr</w:t>
      </w:r>
      <w:r>
        <w:rPr>
          <w:rFonts w:ascii="Times New Roman" w:hAnsi="Times New Roman" w:cs="Times New Roman"/>
          <w:noProof/>
          <w:sz w:val="24"/>
          <w:szCs w:val="24"/>
        </w:rPr>
        <w:t>ans-boundary hazard early warning systems and to inform disaster response operations (e.g. providing damage assessment maps).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Preliminary recommendations by the external contractor</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to further increase the added value of the UCPM interventions echo those e</w:t>
      </w:r>
      <w:r>
        <w:rPr>
          <w:rFonts w:ascii="Times New Roman" w:hAnsi="Times New Roman" w:cs="Times New Roman"/>
          <w:noProof/>
          <w:sz w:val="24"/>
          <w:szCs w:val="24"/>
        </w:rPr>
        <w:t>nshrined in the recent ECA report, i.e. shortening the process for selecting experts for deployment and better capture UCPM performance by systematically monitoring quantitative indicators for speed (e.g. time needed to respond to a request for assistance)</w:t>
      </w:r>
      <w:r>
        <w:rPr>
          <w:rFonts w:ascii="Times New Roman" w:hAnsi="Times New Roman" w:cs="Times New Roman"/>
          <w:noProof/>
          <w:sz w:val="24"/>
          <w:szCs w:val="24"/>
        </w:rPr>
        <w:t xml:space="preserve"> of response. Tracking the cost-effectiveness of EU-level action (e.g. savings generated by well-coordinated response operations) could also demonstrate another significant added value.</w:t>
      </w:r>
    </w:p>
    <w:p w:rsidR="00500553" w:rsidRDefault="00D978F2">
      <w:pPr>
        <w:pStyle w:val="Heading2"/>
        <w:spacing w:line="276" w:lineRule="auto"/>
        <w:rPr>
          <w:rFonts w:ascii="Times New Roman" w:hAnsi="Times New Roman" w:cs="Times New Roman"/>
          <w:b w:val="0"/>
          <w:noProof/>
          <w:sz w:val="24"/>
          <w:szCs w:val="24"/>
        </w:rPr>
      </w:pPr>
      <w:bookmarkStart w:id="65" w:name="_Toc485914862"/>
      <w:bookmarkStart w:id="66" w:name="_Toc485915488"/>
      <w:bookmarkStart w:id="67" w:name="_Toc489347872"/>
      <w:bookmarkStart w:id="68" w:name="_Toc489427645"/>
      <w:r>
        <w:rPr>
          <w:rFonts w:ascii="Times New Roman" w:hAnsi="Times New Roman" w:cs="Times New Roman"/>
          <w:noProof/>
          <w:sz w:val="24"/>
          <w:szCs w:val="24"/>
        </w:rPr>
        <w:t>Sustainability</w:t>
      </w:r>
      <w:bookmarkEnd w:id="65"/>
      <w:bookmarkEnd w:id="66"/>
      <w:bookmarkEnd w:id="67"/>
      <w:bookmarkEnd w:id="68"/>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sustainability of the UCPM's results is being ensur</w:t>
      </w:r>
      <w:r>
        <w:rPr>
          <w:rFonts w:ascii="Times New Roman" w:hAnsi="Times New Roman" w:cs="Times New Roman"/>
          <w:noProof/>
          <w:sz w:val="24"/>
          <w:szCs w:val="24"/>
        </w:rPr>
        <w:t>ed to a certain extent through the acquisition of knowledge and skills by experts participating in different UCPM activities. Consultations with Participating States highlighted the importance of training, exercises and exchange of experts and of fostering</w:t>
      </w:r>
      <w:r>
        <w:rPr>
          <w:rFonts w:ascii="Times New Roman" w:hAnsi="Times New Roman" w:cs="Times New Roman"/>
          <w:noProof/>
          <w:sz w:val="24"/>
          <w:szCs w:val="24"/>
        </w:rPr>
        <w:t xml:space="preserve"> cross-border prevention and preparedness</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A critical mass of trained European civil protection experts and practitioners enables the uptake of knowledge and tools made available by the UCPM.</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Sustainability of prevention and preparedness projects financed</w:t>
      </w:r>
      <w:r>
        <w:rPr>
          <w:rFonts w:ascii="Times New Roman" w:hAnsi="Times New Roman" w:cs="Times New Roman"/>
          <w:noProof/>
          <w:sz w:val="24"/>
          <w:szCs w:val="24"/>
        </w:rPr>
        <w:t xml:space="preserve"> under the UCPM had been flagged as a potential issue by the ex-post evaluation of the Civil Protection Mechanism (2007-2013). Lack of trans-national coordination mechanisms and insufficient follow-up funding very often limited the uptake of project result</w:t>
      </w:r>
      <w:r>
        <w:rPr>
          <w:rFonts w:ascii="Times New Roman" w:hAnsi="Times New Roman" w:cs="Times New Roman"/>
          <w:noProof/>
          <w:sz w:val="24"/>
          <w:szCs w:val="24"/>
        </w:rPr>
        <w:t>s at national level. The survey of stakeholders carried out for the external evaluation of the UCPM shows a better perception of sustainability of such projects which, according to the views of the project leads, are likely to be continued and/or scaled up</w:t>
      </w:r>
      <w:r>
        <w:rPr>
          <w:rFonts w:ascii="Times New Roman" w:hAnsi="Times New Roman" w:cs="Times New Roman"/>
          <w:noProof/>
          <w:sz w:val="24"/>
          <w:szCs w:val="24"/>
        </w:rPr>
        <w:t xml:space="preserve"> with national, regional or other EU funding</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Compared to past years, progress was also helped by more systematic publication of project results via the UCPM website managed by DG ECHO. However statistical evidence is very limited and uncertainties remain</w:t>
      </w:r>
      <w:r>
        <w:rPr>
          <w:rFonts w:ascii="Times New Roman" w:hAnsi="Times New Roman" w:cs="Times New Roman"/>
          <w:noProof/>
          <w:sz w:val="24"/>
          <w:szCs w:val="24"/>
        </w:rPr>
        <w:t xml:space="preserve"> on the effective use of results by end-users as well as on the public/private sector hand-over after project closure.</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following issues were highlighted by the stakeholders consulted in the context of the external evaluation and during discussions with</w:t>
      </w:r>
      <w:r>
        <w:rPr>
          <w:rFonts w:ascii="Times New Roman" w:hAnsi="Times New Roman" w:cs="Times New Roman"/>
          <w:noProof/>
          <w:sz w:val="24"/>
          <w:szCs w:val="24"/>
        </w:rPr>
        <w:t xml:space="preserve"> the Commission as critical challenges that may affect the sustainability of UCPM activities and their results in the coming years</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w:t>
      </w:r>
    </w:p>
    <w:p w:rsidR="00500553" w:rsidRDefault="00D978F2">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i/>
          <w:noProof/>
          <w:sz w:val="24"/>
          <w:szCs w:val="24"/>
        </w:rPr>
        <w:t>A viable financial model to ensure availability of capacities in the EERC</w:t>
      </w:r>
      <w:r>
        <w:rPr>
          <w:rFonts w:ascii="Times New Roman" w:hAnsi="Times New Roman" w:cs="Times New Roman"/>
          <w:noProof/>
          <w:sz w:val="24"/>
          <w:szCs w:val="24"/>
        </w:rPr>
        <w:t>. Providing realistic economic incentives to Parti</w:t>
      </w:r>
      <w:r>
        <w:rPr>
          <w:rFonts w:ascii="Times New Roman" w:hAnsi="Times New Roman" w:cs="Times New Roman"/>
          <w:noProof/>
          <w:sz w:val="24"/>
          <w:szCs w:val="24"/>
        </w:rPr>
        <w:t>cipating States for pooling their assets and developing new response capacities is critical to ensuring a durable pool of capacities in the EERC. At the same time, creating bigger incentives to pooling assets should not come at the detriment of Participati</w:t>
      </w:r>
      <w:r>
        <w:rPr>
          <w:rFonts w:ascii="Times New Roman" w:hAnsi="Times New Roman" w:cs="Times New Roman"/>
          <w:noProof/>
          <w:sz w:val="24"/>
          <w:szCs w:val="24"/>
        </w:rPr>
        <w:t>ng States ' investments in national response capacities.</w:t>
      </w:r>
    </w:p>
    <w:p w:rsidR="00500553" w:rsidRDefault="00500553">
      <w:pPr>
        <w:pStyle w:val="ListParagraph"/>
        <w:jc w:val="both"/>
        <w:rPr>
          <w:rFonts w:ascii="Times New Roman" w:hAnsi="Times New Roman" w:cs="Times New Roman"/>
          <w:noProof/>
          <w:sz w:val="24"/>
          <w:szCs w:val="24"/>
        </w:rPr>
      </w:pPr>
    </w:p>
    <w:p w:rsidR="00500553" w:rsidRDefault="00D978F2">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i/>
          <w:noProof/>
          <w:sz w:val="24"/>
          <w:szCs w:val="24"/>
        </w:rPr>
        <w:t>An efficient strategy to build the European civil protection human resource capacity.</w:t>
      </w:r>
      <w:r>
        <w:rPr>
          <w:rFonts w:ascii="Times New Roman" w:hAnsi="Times New Roman" w:cs="Times New Roman"/>
          <w:noProof/>
          <w:sz w:val="24"/>
          <w:szCs w:val="24"/>
        </w:rPr>
        <w:t xml:space="preserve"> New ideas and approaches will be needed to ensure that UCPM foundation courses be rolled out extensively without</w:t>
      </w:r>
      <w:r>
        <w:rPr>
          <w:rFonts w:ascii="Times New Roman" w:hAnsi="Times New Roman" w:cs="Times New Roman"/>
          <w:noProof/>
          <w:sz w:val="24"/>
          <w:szCs w:val="24"/>
        </w:rPr>
        <w:t xml:space="preserve"> creating duplications with the training program of Participating States, while more specialized/advanced training (e.g. training for deployment) be delivered to well-identified groups of experts. Matching competences with needs is critical to make sure th</w:t>
      </w:r>
      <w:r>
        <w:rPr>
          <w:rFonts w:ascii="Times New Roman" w:hAnsi="Times New Roman" w:cs="Times New Roman"/>
          <w:noProof/>
          <w:sz w:val="24"/>
          <w:szCs w:val="24"/>
        </w:rPr>
        <w:t xml:space="preserve">e UCPM fulfil its mission of supporting its Participating States. </w:t>
      </w:r>
    </w:p>
    <w:p w:rsidR="00500553" w:rsidRDefault="00500553">
      <w:pPr>
        <w:pStyle w:val="ListParagraph"/>
        <w:jc w:val="both"/>
        <w:rPr>
          <w:rFonts w:ascii="Times New Roman" w:hAnsi="Times New Roman" w:cs="Times New Roman"/>
          <w:noProof/>
          <w:sz w:val="24"/>
          <w:szCs w:val="24"/>
        </w:rPr>
      </w:pPr>
    </w:p>
    <w:p w:rsidR="00500553" w:rsidRDefault="00D978F2">
      <w:pPr>
        <w:pStyle w:val="ListParagraph"/>
        <w:numPr>
          <w:ilvl w:val="0"/>
          <w:numId w:val="28"/>
        </w:numPr>
        <w:jc w:val="both"/>
        <w:rPr>
          <w:rFonts w:ascii="Times New Roman" w:hAnsi="Times New Roman" w:cs="Times New Roman"/>
          <w:noProof/>
          <w:sz w:val="24"/>
          <w:szCs w:val="24"/>
        </w:rPr>
      </w:pPr>
      <w:r>
        <w:rPr>
          <w:rFonts w:ascii="Times New Roman" w:hAnsi="Times New Roman" w:cs="Times New Roman"/>
          <w:i/>
          <w:noProof/>
          <w:sz w:val="24"/>
          <w:szCs w:val="24"/>
        </w:rPr>
        <w:t>The role of the private sector in the implementation of UCPM activities.</w:t>
      </w:r>
      <w:r>
        <w:rPr>
          <w:rFonts w:ascii="Times New Roman" w:hAnsi="Times New Roman" w:cs="Times New Roman"/>
          <w:noProof/>
          <w:sz w:val="24"/>
          <w:szCs w:val="24"/>
        </w:rPr>
        <w:t xml:space="preserve"> Several Participating States have highlighted the potential risks arising from private companies carrying out needs</w:t>
      </w:r>
      <w:r>
        <w:rPr>
          <w:rFonts w:ascii="Times New Roman" w:hAnsi="Times New Roman" w:cs="Times New Roman"/>
          <w:noProof/>
          <w:sz w:val="24"/>
          <w:szCs w:val="24"/>
        </w:rPr>
        <w:t xml:space="preserve"> assessments, advisory missions, peer reviews and other activities that provide commercial actors with access to potential market opportunities</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Measures should be introduced to guarantee that such companies are not in an advantageous position vis-a-vis o</w:t>
      </w:r>
      <w:r>
        <w:rPr>
          <w:rFonts w:ascii="Times New Roman" w:hAnsi="Times New Roman" w:cs="Times New Roman"/>
          <w:noProof/>
          <w:sz w:val="24"/>
          <w:szCs w:val="24"/>
        </w:rPr>
        <w:t>ther private competitors or the public sector itself when participating in a call for tenders. Furthermore, there may be a need to protect confidentiality and secrecy of sensitive information in some sectors (e.g. national security threats; critical infras</w:t>
      </w:r>
      <w:r>
        <w:rPr>
          <w:rFonts w:ascii="Times New Roman" w:hAnsi="Times New Roman" w:cs="Times New Roman"/>
          <w:noProof/>
          <w:sz w:val="24"/>
          <w:szCs w:val="24"/>
        </w:rPr>
        <w:t>tructure; critical capacity gaps; etc.).</w:t>
      </w:r>
    </w:p>
    <w:p w:rsidR="00500553" w:rsidRDefault="00500553">
      <w:pPr>
        <w:pStyle w:val="ListParagraph"/>
        <w:ind w:left="928"/>
        <w:jc w:val="both"/>
        <w:rPr>
          <w:rFonts w:ascii="Times New Roman" w:hAnsi="Times New Roman" w:cs="Times New Roman"/>
          <w:noProof/>
          <w:sz w:val="24"/>
          <w:szCs w:val="24"/>
        </w:rPr>
      </w:pPr>
    </w:p>
    <w:p w:rsidR="00500553" w:rsidRDefault="00D978F2">
      <w:pPr>
        <w:pStyle w:val="ListParagraph"/>
        <w:numPr>
          <w:ilvl w:val="0"/>
          <w:numId w:val="28"/>
        </w:numPr>
        <w:jc w:val="both"/>
        <w:rPr>
          <w:rFonts w:ascii="Times New Roman" w:hAnsi="Times New Roman" w:cs="Times New Roman"/>
          <w:noProof/>
          <w:sz w:val="24"/>
          <w:szCs w:val="24"/>
          <w:u w:val="single"/>
        </w:rPr>
      </w:pPr>
      <w:r>
        <w:rPr>
          <w:rFonts w:ascii="Times New Roman" w:hAnsi="Times New Roman" w:cs="Times New Roman"/>
          <w:i/>
          <w:noProof/>
          <w:sz w:val="24"/>
          <w:szCs w:val="24"/>
        </w:rPr>
        <w:t>Bringing the UCPM closer to the European citizens while guaranteeing support to the national level.</w:t>
      </w:r>
      <w:r>
        <w:rPr>
          <w:rFonts w:ascii="Times New Roman" w:hAnsi="Times New Roman" w:cs="Times New Roman"/>
          <w:noProof/>
          <w:sz w:val="24"/>
          <w:szCs w:val="24"/>
        </w:rPr>
        <w:t xml:space="preserve"> Subsidiarity is one of the core principles of the UCPM, whose primary function is to support Participating States'</w:t>
      </w:r>
      <w:r>
        <w:rPr>
          <w:rFonts w:ascii="Times New Roman" w:hAnsi="Times New Roman" w:cs="Times New Roman"/>
          <w:noProof/>
          <w:sz w:val="24"/>
          <w:szCs w:val="24"/>
        </w:rPr>
        <w:t xml:space="preserve"> responsibility to protect their citizens and assets. Being relevant to the civil protection/disaster risk management actors in the front line (regions and other territorial authorities) while strengthening the coordinator/broker role of national civil pro</w:t>
      </w:r>
      <w:r>
        <w:rPr>
          <w:rFonts w:ascii="Times New Roman" w:hAnsi="Times New Roman" w:cs="Times New Roman"/>
          <w:noProof/>
          <w:sz w:val="24"/>
          <w:szCs w:val="24"/>
        </w:rPr>
        <w:t>tection authorities is a critical challenge for the sustainability of the UCPM. Similarly, the UCPM needs to promote the bi-lateral, tripartite dimension of cooperation between countries (e.g. neighbouring countries) while ensuring its pan-European approac</w:t>
      </w:r>
      <w:r>
        <w:rPr>
          <w:rFonts w:ascii="Times New Roman" w:hAnsi="Times New Roman" w:cs="Times New Roman"/>
          <w:noProof/>
          <w:sz w:val="24"/>
          <w:szCs w:val="24"/>
        </w:rPr>
        <w:t>h and values.</w:t>
      </w:r>
    </w:p>
    <w:p w:rsidR="00500553" w:rsidRDefault="00500553">
      <w:pPr>
        <w:pStyle w:val="ListParagraph"/>
        <w:ind w:left="928"/>
        <w:jc w:val="both"/>
        <w:rPr>
          <w:rFonts w:ascii="Times New Roman" w:hAnsi="Times New Roman" w:cs="Times New Roman"/>
          <w:noProof/>
          <w:sz w:val="24"/>
          <w:szCs w:val="24"/>
          <w:u w:val="single"/>
        </w:rPr>
      </w:pPr>
    </w:p>
    <w:p w:rsidR="00500553" w:rsidRDefault="00D978F2">
      <w:pPr>
        <w:pStyle w:val="ListParagraph"/>
        <w:numPr>
          <w:ilvl w:val="0"/>
          <w:numId w:val="28"/>
        </w:numPr>
        <w:jc w:val="both"/>
        <w:rPr>
          <w:rFonts w:ascii="Times New Roman" w:hAnsi="Times New Roman" w:cs="Times New Roman"/>
          <w:b/>
          <w:noProof/>
          <w:sz w:val="24"/>
          <w:szCs w:val="24"/>
        </w:rPr>
      </w:pPr>
      <w:r>
        <w:rPr>
          <w:rFonts w:ascii="Times New Roman" w:hAnsi="Times New Roman" w:cs="Times New Roman"/>
          <w:i/>
          <w:noProof/>
          <w:sz w:val="24"/>
          <w:szCs w:val="24"/>
        </w:rPr>
        <w:t>Maximizing the uptake of projects results (e.g. prevention and preparedness projects, exercises).</w:t>
      </w:r>
      <w:r>
        <w:rPr>
          <w:rFonts w:ascii="Times New Roman" w:hAnsi="Times New Roman" w:cs="Times New Roman"/>
          <w:noProof/>
          <w:sz w:val="24"/>
          <w:szCs w:val="24"/>
        </w:rPr>
        <w:t xml:space="preserve"> UCPM-financed projects need to be designed and monitored with a view to focusing on the uptake of project results by end users. There is a need to shift the focus from the </w:t>
      </w:r>
      <w:r>
        <w:rPr>
          <w:rFonts w:ascii="Times New Roman" w:hAnsi="Times New Roman" w:cs="Times New Roman"/>
          <w:i/>
          <w:noProof/>
          <w:sz w:val="24"/>
          <w:szCs w:val="24"/>
        </w:rPr>
        <w:t>output</w:t>
      </w:r>
      <w:r>
        <w:rPr>
          <w:rFonts w:ascii="Times New Roman" w:hAnsi="Times New Roman" w:cs="Times New Roman"/>
          <w:noProof/>
          <w:sz w:val="24"/>
          <w:szCs w:val="24"/>
        </w:rPr>
        <w:t xml:space="preserve"> (e.g. the delivery of a risk assessment, a workshop or a new training method</w:t>
      </w:r>
      <w:r>
        <w:rPr>
          <w:rFonts w:ascii="Times New Roman" w:hAnsi="Times New Roman" w:cs="Times New Roman"/>
          <w:noProof/>
          <w:sz w:val="24"/>
          <w:szCs w:val="24"/>
        </w:rPr>
        <w:t xml:space="preserve">ology) to the </w:t>
      </w:r>
      <w:r>
        <w:rPr>
          <w:rFonts w:ascii="Times New Roman" w:hAnsi="Times New Roman" w:cs="Times New Roman"/>
          <w:i/>
          <w:noProof/>
          <w:sz w:val="24"/>
          <w:szCs w:val="24"/>
        </w:rPr>
        <w:t>outcome</w:t>
      </w:r>
      <w:r>
        <w:rPr>
          <w:rFonts w:ascii="Times New Roman" w:hAnsi="Times New Roman" w:cs="Times New Roman"/>
          <w:noProof/>
          <w:sz w:val="24"/>
          <w:szCs w:val="24"/>
        </w:rPr>
        <w:t xml:space="preserve"> (the actual change generated by that product, e.g. a new infrastructure project that takes into account the results of that risk assessment or workshop, or the use of that methodology by the trained experts in a real-life situation).</w:t>
      </w:r>
    </w:p>
    <w:p w:rsidR="00500553" w:rsidRDefault="00500553">
      <w:pPr>
        <w:jc w:val="both"/>
        <w:rPr>
          <w:rFonts w:ascii="Times New Roman" w:hAnsi="Times New Roman" w:cs="Times New Roman"/>
          <w:b/>
          <w:noProof/>
          <w:sz w:val="24"/>
          <w:szCs w:val="24"/>
        </w:rPr>
      </w:pPr>
    </w:p>
    <w:p w:rsidR="00500553" w:rsidRDefault="00D978F2">
      <w:pPr>
        <w:pStyle w:val="Heading1"/>
        <w:spacing w:line="276" w:lineRule="auto"/>
        <w:rPr>
          <w:rFonts w:ascii="Times New Roman" w:hAnsi="Times New Roman" w:cs="Times New Roman"/>
          <w:b w:val="0"/>
          <w:noProof/>
          <w:szCs w:val="24"/>
        </w:rPr>
      </w:pPr>
      <w:bookmarkStart w:id="69" w:name="_Toc485914863"/>
      <w:bookmarkStart w:id="70" w:name="_Toc485915489"/>
      <w:bookmarkStart w:id="71" w:name="_Toc489347873"/>
      <w:bookmarkStart w:id="72" w:name="_Toc489427646"/>
      <w:r>
        <w:rPr>
          <w:rFonts w:ascii="Times New Roman" w:hAnsi="Times New Roman" w:cs="Times New Roman"/>
          <w:noProof/>
          <w:szCs w:val="24"/>
        </w:rPr>
        <w:t>CONCLUSIONS</w:t>
      </w:r>
      <w:bookmarkEnd w:id="69"/>
      <w:bookmarkEnd w:id="70"/>
      <w:bookmarkEnd w:id="71"/>
      <w:bookmarkEnd w:id="72"/>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Based on the findings of the external evaluation and taking into account the results of recent analytical work on the UCPM</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and its own operational knowledge, the Commission's overall conclusion is that the implementation of UCPM activities is</w:t>
      </w:r>
      <w:r>
        <w:rPr>
          <w:rFonts w:ascii="Times New Roman" w:hAnsi="Times New Roman" w:cs="Times New Roman"/>
          <w:noProof/>
          <w:sz w:val="24"/>
          <w:szCs w:val="24"/>
        </w:rPr>
        <w:t xml:space="preserve"> well underway and on track to achieve its objectives by the end of the legislative timeframe (December 2020). The performance of the UCPM during the first half of its timeframe has showed encouraging results in each of the three pillars (prevention/prepar</w:t>
      </w:r>
      <w:r>
        <w:rPr>
          <w:rFonts w:ascii="Times New Roman" w:hAnsi="Times New Roman" w:cs="Times New Roman"/>
          <w:noProof/>
          <w:sz w:val="24"/>
          <w:szCs w:val="24"/>
        </w:rPr>
        <w:t>edness/response) and overall positive views from the Participating States and the main stakeholders. At the same time, the Evaluation has also highlighted critical challenges that, if addressed promptly, may further increase the impact of the UCPM. A gener</w:t>
      </w:r>
      <w:r>
        <w:rPr>
          <w:rFonts w:ascii="Times New Roman" w:hAnsi="Times New Roman" w:cs="Times New Roman"/>
          <w:noProof/>
          <w:sz w:val="24"/>
          <w:szCs w:val="24"/>
        </w:rPr>
        <w:t>al area for improvement is the strengthening of the UCPM results monitoring framework, through the possible introduction of quantitative indicators which capture more adequately progress achieved under the three pillars of the UCPM.</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There is sufficient evi</w:t>
      </w:r>
      <w:r>
        <w:rPr>
          <w:rFonts w:ascii="Times New Roman" w:hAnsi="Times New Roman" w:cs="Times New Roman"/>
          <w:noProof/>
          <w:sz w:val="24"/>
          <w:szCs w:val="24"/>
        </w:rPr>
        <w:t xml:space="preserve">dence to demonstrate the continued </w:t>
      </w:r>
      <w:r>
        <w:rPr>
          <w:rFonts w:ascii="Times New Roman" w:hAnsi="Times New Roman" w:cs="Times New Roman"/>
          <w:b/>
          <w:noProof/>
          <w:sz w:val="24"/>
          <w:szCs w:val="24"/>
        </w:rPr>
        <w:t>relevance</w:t>
      </w:r>
      <w:r>
        <w:rPr>
          <w:rFonts w:ascii="Times New Roman" w:hAnsi="Times New Roman" w:cs="Times New Roman"/>
          <w:noProof/>
          <w:sz w:val="24"/>
          <w:szCs w:val="24"/>
        </w:rPr>
        <w:t xml:space="preserve"> of UCPM objectives to Europe's needs. The results of the 2017 Eurobarometer survey on Civil Protection show that a vast majority of European citizens support a common EU policy in the field of civil protection a</w:t>
      </w:r>
      <w:r>
        <w:rPr>
          <w:rFonts w:ascii="Times New Roman" w:hAnsi="Times New Roman" w:cs="Times New Roman"/>
          <w:noProof/>
          <w:sz w:val="24"/>
          <w:szCs w:val="24"/>
        </w:rPr>
        <w:t>nd agree that the EU should lead the coordination of disaster response to affected countries, both in Europe and in the rest of the world. Recent resolutions of the European Parliament have also called on the Commission to further support cooperation among</w:t>
      </w:r>
      <w:r>
        <w:rPr>
          <w:rFonts w:ascii="Times New Roman" w:hAnsi="Times New Roman" w:cs="Times New Roman"/>
          <w:noProof/>
          <w:sz w:val="24"/>
          <w:szCs w:val="24"/>
        </w:rPr>
        <w:t xml:space="preserve"> European civil protection authorities. The stakeholders consulted also highlighted the flexibility of the UCPM to rapidly adapt and address newly emerging crises which were not "traditional" civil protection emergencies (e.g. the Ebola outbreak in West Af</w:t>
      </w:r>
      <w:r>
        <w:rPr>
          <w:rFonts w:ascii="Times New Roman" w:hAnsi="Times New Roman" w:cs="Times New Roman"/>
          <w:noProof/>
          <w:sz w:val="24"/>
          <w:szCs w:val="24"/>
        </w:rPr>
        <w:t>rica and the migrant crisis in Europe). The increasing number and scope of UCPM activations outside of Europe pose, however, the challenge of finding the right balance between being a framework of mutual assistance between European countries in the afterma</w:t>
      </w:r>
      <w:r>
        <w:rPr>
          <w:rFonts w:ascii="Times New Roman" w:hAnsi="Times New Roman" w:cs="Times New Roman"/>
          <w:noProof/>
          <w:sz w:val="24"/>
          <w:szCs w:val="24"/>
        </w:rPr>
        <w:t>th of natural and man-made disasters and evolving towards a more complex instrument capable of addressing crises of a multiple nature and with a global reach.</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An analysis of the UCPM </w:t>
      </w:r>
      <w:r>
        <w:rPr>
          <w:rFonts w:ascii="Times New Roman" w:hAnsi="Times New Roman" w:cs="Times New Roman"/>
          <w:b/>
          <w:noProof/>
          <w:sz w:val="24"/>
          <w:szCs w:val="24"/>
        </w:rPr>
        <w:t xml:space="preserve">effectiveness </w:t>
      </w:r>
      <w:r>
        <w:rPr>
          <w:rFonts w:ascii="Times New Roman" w:hAnsi="Times New Roman" w:cs="Times New Roman"/>
          <w:noProof/>
          <w:sz w:val="24"/>
          <w:szCs w:val="24"/>
        </w:rPr>
        <w:t>highlighted encouraging progress under each of the specific</w:t>
      </w:r>
      <w:r>
        <w:rPr>
          <w:rFonts w:ascii="Times New Roman" w:hAnsi="Times New Roman" w:cs="Times New Roman"/>
          <w:noProof/>
          <w:sz w:val="24"/>
          <w:szCs w:val="24"/>
        </w:rPr>
        <w:t xml:space="preserve"> objectives. The UCPM is fully on track to achieve objectives pertaining to </w:t>
      </w:r>
      <w:r>
        <w:rPr>
          <w:rFonts w:ascii="Times New Roman" w:hAnsi="Times New Roman" w:cs="Times New Roman"/>
          <w:i/>
          <w:noProof/>
          <w:sz w:val="24"/>
          <w:szCs w:val="24"/>
        </w:rPr>
        <w:t>disaster prevention framework</w:t>
      </w:r>
      <w:r>
        <w:rPr>
          <w:rFonts w:ascii="Times New Roman" w:hAnsi="Times New Roman" w:cs="Times New Roman"/>
          <w:noProof/>
          <w:sz w:val="24"/>
          <w:szCs w:val="24"/>
        </w:rPr>
        <w:t xml:space="preserve"> (objective 1) and </w:t>
      </w:r>
      <w:r>
        <w:rPr>
          <w:rFonts w:ascii="Times New Roman" w:hAnsi="Times New Roman" w:cs="Times New Roman"/>
          <w:i/>
          <w:noProof/>
          <w:sz w:val="24"/>
          <w:szCs w:val="24"/>
        </w:rPr>
        <w:t>readiness for disasters</w:t>
      </w:r>
      <w:r>
        <w:rPr>
          <w:rFonts w:ascii="Times New Roman" w:hAnsi="Times New Roman" w:cs="Times New Roman"/>
          <w:noProof/>
          <w:sz w:val="24"/>
          <w:szCs w:val="24"/>
        </w:rPr>
        <w:t xml:space="preserve"> (objective 2), based on the indicators set by the legislation and on feedback received by key stakeholders c</w:t>
      </w:r>
      <w:r>
        <w:rPr>
          <w:rFonts w:ascii="Times New Roman" w:hAnsi="Times New Roman" w:cs="Times New Roman"/>
          <w:noProof/>
          <w:sz w:val="24"/>
          <w:szCs w:val="24"/>
        </w:rPr>
        <w:t>onsulted. The UCPM's r</w:t>
      </w:r>
      <w:r>
        <w:rPr>
          <w:rFonts w:ascii="Times New Roman" w:hAnsi="Times New Roman" w:cs="Times New Roman"/>
          <w:i/>
          <w:noProof/>
          <w:sz w:val="24"/>
          <w:szCs w:val="24"/>
        </w:rPr>
        <w:t>esponse to disasters</w:t>
      </w:r>
      <w:r>
        <w:rPr>
          <w:rFonts w:ascii="Times New Roman" w:hAnsi="Times New Roman" w:cs="Times New Roman"/>
          <w:noProof/>
          <w:sz w:val="24"/>
          <w:szCs w:val="24"/>
        </w:rPr>
        <w:t xml:space="preserve"> (objective 3) has been timely and effective according to the vast majority of stakeholders consulted. Confirming one of the findings of the ECA's review of the UCPM, the external evaluation struggled to find robus</w:t>
      </w:r>
      <w:r>
        <w:rPr>
          <w:rFonts w:ascii="Times New Roman" w:hAnsi="Times New Roman" w:cs="Times New Roman"/>
          <w:noProof/>
          <w:sz w:val="24"/>
          <w:szCs w:val="24"/>
        </w:rPr>
        <w:t>t and consistent quantitative data (e.g. speed, needs assessments) to corroborate the stakeholders' very positive views on UCPM disaster response. Lastly, public awareness and preparedness to disasters (objective 4) have received slightly less satisfactory</w:t>
      </w:r>
      <w:r>
        <w:rPr>
          <w:rFonts w:ascii="Times New Roman" w:hAnsi="Times New Roman" w:cs="Times New Roman"/>
          <w:noProof/>
          <w:sz w:val="24"/>
          <w:szCs w:val="24"/>
        </w:rPr>
        <w:t xml:space="preserve"> views from stakeholders when compared to the other objectives. In this respect, it is questionable whether the specific indicator ("level of awareness of Union citizens of risks in their regions") set by the Decision for this objective can be fully attrib</w:t>
      </w:r>
      <w:r>
        <w:rPr>
          <w:rFonts w:ascii="Times New Roman" w:hAnsi="Times New Roman" w:cs="Times New Roman"/>
          <w:noProof/>
          <w:sz w:val="24"/>
          <w:szCs w:val="24"/>
        </w:rPr>
        <w:t>utable to the level of activities carried out by the UCPM.</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external evaluation also underscored several challenges which, if promptly addressed, could further increase the effectiveness of the UCPM. These include, among others: establishing a baseline/</w:t>
      </w:r>
      <w:r>
        <w:rPr>
          <w:rFonts w:ascii="Times New Roman" w:hAnsi="Times New Roman" w:cs="Times New Roman"/>
          <w:noProof/>
          <w:sz w:val="24"/>
          <w:szCs w:val="24"/>
        </w:rPr>
        <w:t>benchmarks (e.g. speed, cost/effectiveness, etc.) for comparable types of emergencies; developing a more evidence-based process to set capacity goals for disaster preparedness; revisiting the system of incentives to pool response assets and develop new cap</w:t>
      </w:r>
      <w:r>
        <w:rPr>
          <w:rFonts w:ascii="Times New Roman" w:hAnsi="Times New Roman" w:cs="Times New Roman"/>
          <w:noProof/>
          <w:sz w:val="24"/>
          <w:szCs w:val="24"/>
        </w:rPr>
        <w:t>acities in the EERC. Disaster prevention is considered a critical area that may require additional resources in future (currently only 20% of UCPM budget) although a more robust impact evaluation may be required to establish where the UCPM action to date h</w:t>
      </w:r>
      <w:r>
        <w:rPr>
          <w:rFonts w:ascii="Times New Roman" w:hAnsi="Times New Roman" w:cs="Times New Roman"/>
          <w:noProof/>
          <w:sz w:val="24"/>
          <w:szCs w:val="24"/>
        </w:rPr>
        <w:t>as been most effective in assessing/reducing disaster and climate risks. Cooperation and coherence between the UCPM and the EU climate change adaptation agenda should be enhanced. Overall, closer linkages between UCPM activities in prevention and preparedn</w:t>
      </w:r>
      <w:r>
        <w:rPr>
          <w:rFonts w:ascii="Times New Roman" w:hAnsi="Times New Roman" w:cs="Times New Roman"/>
          <w:noProof/>
          <w:sz w:val="24"/>
          <w:szCs w:val="24"/>
        </w:rPr>
        <w:t>ess and broader EU-wide programmes (e.g. Cohesion/European Regional Development Fund, European Investment Bank, etc.) should be explored.</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Generally speaking, the stakeholders' perception of the UCPM's </w:t>
      </w:r>
      <w:r>
        <w:rPr>
          <w:rFonts w:ascii="Times New Roman" w:hAnsi="Times New Roman" w:cs="Times New Roman"/>
          <w:b/>
          <w:noProof/>
          <w:sz w:val="24"/>
          <w:szCs w:val="24"/>
        </w:rPr>
        <w:t>efficiency</w:t>
      </w:r>
      <w:r>
        <w:rPr>
          <w:rFonts w:ascii="Times New Roman" w:hAnsi="Times New Roman" w:cs="Times New Roman"/>
          <w:noProof/>
          <w:sz w:val="24"/>
          <w:szCs w:val="24"/>
        </w:rPr>
        <w:t xml:space="preserve"> is positive; particularly that emergency res</w:t>
      </w:r>
      <w:r>
        <w:rPr>
          <w:rFonts w:ascii="Times New Roman" w:hAnsi="Times New Roman" w:cs="Times New Roman"/>
          <w:noProof/>
          <w:sz w:val="24"/>
          <w:szCs w:val="24"/>
        </w:rPr>
        <w:t>ponse and administrative costs associated to implementing the UCPM decision are considered acceptable by most Participating States. The external evaluation has attempted to carry out analysis of costs for comparable response missions (e.g. aerial forest fi</w:t>
      </w:r>
      <w:r>
        <w:rPr>
          <w:rFonts w:ascii="Times New Roman" w:hAnsi="Times New Roman" w:cs="Times New Roman"/>
          <w:noProof/>
          <w:sz w:val="24"/>
          <w:szCs w:val="24"/>
        </w:rPr>
        <w:t>res missions; transport of modules and in-kind assistance; etc.). Although evidence cannot be considered sufficient to draw final conclusions, this confirmed the need to systematically carry out cost analyses and, possibly, determine cost benchmarks (or ra</w:t>
      </w:r>
      <w:r>
        <w:rPr>
          <w:rFonts w:ascii="Times New Roman" w:hAnsi="Times New Roman" w:cs="Times New Roman"/>
          <w:noProof/>
          <w:sz w:val="24"/>
          <w:szCs w:val="24"/>
        </w:rPr>
        <w:t>nges) for certain type of missions/transport.</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Internal </w:t>
      </w:r>
      <w:r>
        <w:rPr>
          <w:rFonts w:ascii="Times New Roman" w:hAnsi="Times New Roman" w:cs="Times New Roman"/>
          <w:b/>
          <w:noProof/>
          <w:sz w:val="24"/>
          <w:szCs w:val="24"/>
        </w:rPr>
        <w:t>coherence</w:t>
      </w:r>
      <w:r>
        <w:rPr>
          <w:rFonts w:ascii="Times New Roman" w:hAnsi="Times New Roman" w:cs="Times New Roman"/>
          <w:noProof/>
          <w:sz w:val="24"/>
          <w:szCs w:val="24"/>
        </w:rPr>
        <w:t xml:space="preserve"> is deemed satisfactory by the external evaluation. Several cross-cutting activities of the Mechanism (e.g. lessons learned, advisory missions, peer reviews, exchange of experts, etc.) provide</w:t>
      </w:r>
      <w:r>
        <w:rPr>
          <w:rFonts w:ascii="Times New Roman" w:hAnsi="Times New Roman" w:cs="Times New Roman"/>
          <w:noProof/>
          <w:sz w:val="24"/>
          <w:szCs w:val="24"/>
        </w:rPr>
        <w:t xml:space="preserve"> for an integrated prevention-preparedness-response approach. Externally, linkages between the UCPM and other policy areas have increased compared to the previous framework (2007-2013). This was confirmed by interviews with a large number of EU services. F</w:t>
      </w:r>
      <w:r>
        <w:rPr>
          <w:rFonts w:ascii="Times New Roman" w:hAnsi="Times New Roman" w:cs="Times New Roman"/>
          <w:noProof/>
          <w:sz w:val="24"/>
          <w:szCs w:val="24"/>
        </w:rPr>
        <w:t>ocusing on a result-based agenda and milestones is seen as conducive to a more effective cooperation and it is felt that enhanced coordination mechanisms need to be considered in order to improve synergies between instruments funding prevention and prepare</w:t>
      </w:r>
      <w:r>
        <w:rPr>
          <w:rFonts w:ascii="Times New Roman" w:hAnsi="Times New Roman" w:cs="Times New Roman"/>
          <w:noProof/>
          <w:sz w:val="24"/>
          <w:szCs w:val="24"/>
        </w:rPr>
        <w:t>dness activities in Neighbourhood and Pre-Accession countries</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As far as response outside of Europe is concerned, the comparative advantage of civil protection intervention àa-vis humanitarian assistance needs to be carefully considered as the UCPM become</w:t>
      </w:r>
      <w:r>
        <w:rPr>
          <w:rFonts w:ascii="Times New Roman" w:hAnsi="Times New Roman" w:cs="Times New Roman"/>
          <w:noProof/>
          <w:sz w:val="24"/>
          <w:szCs w:val="24"/>
        </w:rPr>
        <w:t>s increasingly activated for dealing with humanitarian and complex emergencies.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existence of a single European "hub" for information sharing and operational coordination, the introduction of common European standards for disaster response capacities an</w:t>
      </w:r>
      <w:r>
        <w:rPr>
          <w:rFonts w:ascii="Times New Roman" w:hAnsi="Times New Roman" w:cs="Times New Roman"/>
          <w:noProof/>
          <w:sz w:val="24"/>
          <w:szCs w:val="24"/>
        </w:rPr>
        <w:t xml:space="preserve">d common guidelines on risk assessments, which have contributed to the first-ever overview of risks in the EU, are perceived as having delivered high </w:t>
      </w:r>
      <w:r>
        <w:rPr>
          <w:rFonts w:ascii="Times New Roman" w:hAnsi="Times New Roman" w:cs="Times New Roman"/>
          <w:b/>
          <w:noProof/>
          <w:sz w:val="24"/>
          <w:szCs w:val="24"/>
        </w:rPr>
        <w:t>EU added value</w:t>
      </w:r>
      <w:r>
        <w:rPr>
          <w:rFonts w:ascii="Times New Roman" w:hAnsi="Times New Roman" w:cs="Times New Roman"/>
          <w:noProof/>
          <w:sz w:val="24"/>
          <w:szCs w:val="24"/>
        </w:rPr>
        <w:t xml:space="preserve"> in the areas of disaster response, preparedness and prevention, respectively. Increased cap</w:t>
      </w:r>
      <w:r>
        <w:rPr>
          <w:rFonts w:ascii="Times New Roman" w:hAnsi="Times New Roman" w:cs="Times New Roman"/>
          <w:noProof/>
          <w:sz w:val="24"/>
          <w:szCs w:val="24"/>
        </w:rPr>
        <w:t>acity and predictability of emergency response capacity provided by the UCPM would not have been possible without coordinated effort at EU level. Over the next years, introducing indicators to monitor the effectiveness and efficiency of the UCPM more adequ</w:t>
      </w:r>
      <w:r>
        <w:rPr>
          <w:rFonts w:ascii="Times New Roman" w:hAnsi="Times New Roman" w:cs="Times New Roman"/>
          <w:noProof/>
          <w:sz w:val="24"/>
          <w:szCs w:val="24"/>
        </w:rPr>
        <w:t>ately may provide additional evidence to appreciate (and communicate) the added value of EU-level action in civil protection.</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Finally, knowledge-sharing and training activities are critical to creating a community of European civil protection practitioners</w:t>
      </w:r>
      <w:r>
        <w:rPr>
          <w:rFonts w:ascii="Times New Roman" w:hAnsi="Times New Roman" w:cs="Times New Roman"/>
          <w:noProof/>
          <w:sz w:val="24"/>
          <w:szCs w:val="24"/>
        </w:rPr>
        <w:t xml:space="preserve"> and, ultimately, to ensuring </w:t>
      </w:r>
      <w:r>
        <w:rPr>
          <w:rFonts w:ascii="Times New Roman" w:hAnsi="Times New Roman" w:cs="Times New Roman"/>
          <w:b/>
          <w:noProof/>
          <w:sz w:val="24"/>
          <w:szCs w:val="24"/>
        </w:rPr>
        <w:t>sustainability</w:t>
      </w:r>
      <w:r>
        <w:rPr>
          <w:rFonts w:ascii="Times New Roman" w:hAnsi="Times New Roman" w:cs="Times New Roman"/>
          <w:noProof/>
          <w:sz w:val="24"/>
          <w:szCs w:val="24"/>
        </w:rPr>
        <w:t xml:space="preserve"> of the UCPM's results. However, at a system level, several issues are considered as critical for the sustainability of the UCPM going forward. A viable financial model needs to ensure availability of capacities </w:t>
      </w:r>
      <w:r>
        <w:rPr>
          <w:rFonts w:ascii="Times New Roman" w:hAnsi="Times New Roman" w:cs="Times New Roman"/>
          <w:noProof/>
          <w:sz w:val="24"/>
          <w:szCs w:val="24"/>
        </w:rPr>
        <w:t>in the Voluntary Pool; an efficient strategy to build the European civil protection human resource capacity needs to be rolled out; the role of the private sector in the implementation of UCPM activities needs to be clarified; end-users needs need to infor</w:t>
      </w:r>
      <w:r>
        <w:rPr>
          <w:rFonts w:ascii="Times New Roman" w:hAnsi="Times New Roman" w:cs="Times New Roman"/>
          <w:noProof/>
          <w:sz w:val="24"/>
          <w:szCs w:val="24"/>
        </w:rPr>
        <w:t>m design and monitoring of prevention and preparedness projects financed by the UCPM, in order to maximize their impact beyond the project closure (impact should be evaluated one or two years after funding has ended). The UCPM needs to get closer to the te</w:t>
      </w:r>
      <w:r>
        <w:rPr>
          <w:rFonts w:ascii="Times New Roman" w:hAnsi="Times New Roman" w:cs="Times New Roman"/>
          <w:noProof/>
          <w:sz w:val="24"/>
          <w:szCs w:val="24"/>
        </w:rPr>
        <w:t>rritorial actors while supporting the role of the national civil protection authorities in cementing the risk management governance all along the European-national-regional-local chain.</w:t>
      </w:r>
    </w:p>
    <w:p w:rsidR="00500553" w:rsidRDefault="00D978F2">
      <w:pPr>
        <w:jc w:val="both"/>
        <w:rPr>
          <w:rFonts w:ascii="Times New Roman" w:hAnsi="Times New Roman" w:cs="Times New Roman"/>
          <w:b/>
          <w:noProof/>
          <w:sz w:val="24"/>
          <w:szCs w:val="24"/>
        </w:rPr>
      </w:pPr>
      <w:r>
        <w:rPr>
          <w:rFonts w:ascii="Times New Roman" w:hAnsi="Times New Roman" w:cs="Times New Roman"/>
          <w:noProof/>
          <w:sz w:val="24"/>
          <w:szCs w:val="24"/>
        </w:rPr>
        <w:t>The results of this Evaluation provide a good analytical basis to star</w:t>
      </w:r>
      <w:r>
        <w:rPr>
          <w:rFonts w:ascii="Times New Roman" w:hAnsi="Times New Roman" w:cs="Times New Roman"/>
          <w:noProof/>
          <w:sz w:val="24"/>
          <w:szCs w:val="24"/>
        </w:rPr>
        <w:t>t reflection on a future framework. The Commission invites the European Parliament and the Council to take note of these evaluation findings.</w:t>
      </w:r>
    </w:p>
    <w:p w:rsidR="00500553" w:rsidRDefault="00500553">
      <w:pPr>
        <w:jc w:val="both"/>
        <w:rPr>
          <w:rFonts w:ascii="Times New Roman" w:hAnsi="Times New Roman" w:cs="Times New Roman"/>
          <w:b/>
          <w:noProof/>
          <w:sz w:val="24"/>
          <w:szCs w:val="24"/>
        </w:rPr>
        <w:sectPr w:rsidR="00500553">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20"/>
          <w:docGrid w:linePitch="360"/>
        </w:sectPr>
      </w:pPr>
    </w:p>
    <w:p w:rsidR="00500553" w:rsidRDefault="00D978F2">
      <w:pPr>
        <w:pStyle w:val="Heading1"/>
        <w:numPr>
          <w:ilvl w:val="0"/>
          <w:numId w:val="0"/>
        </w:numPr>
        <w:ind w:left="680"/>
        <w:rPr>
          <w:rFonts w:ascii="Times New Roman" w:hAnsi="Times New Roman" w:cs="Times New Roman"/>
          <w:noProof/>
        </w:rPr>
      </w:pPr>
      <w:bookmarkStart w:id="73" w:name="_Toc485914864"/>
      <w:bookmarkStart w:id="74" w:name="_Toc485915490"/>
      <w:bookmarkStart w:id="75" w:name="_Toc489347874"/>
      <w:bookmarkStart w:id="76" w:name="_Toc489427647"/>
      <w:r>
        <w:rPr>
          <w:rStyle w:val="Heading1Char"/>
          <w:rFonts w:ascii="Times New Roman" w:hAnsi="Times New Roman" w:cs="Times New Roman"/>
          <w:b/>
          <w:noProof/>
          <w:szCs w:val="24"/>
          <w:lang w:eastAsia="en-GB"/>
        </w:rPr>
        <w:drawing>
          <wp:anchor distT="0" distB="0" distL="114300" distR="114300" simplePos="0" relativeHeight="251692032" behindDoc="0" locked="0" layoutInCell="1" allowOverlap="1">
            <wp:simplePos x="0" y="0"/>
            <wp:positionH relativeFrom="column">
              <wp:posOffset>-295497</wp:posOffset>
            </wp:positionH>
            <wp:positionV relativeFrom="paragraph">
              <wp:posOffset>189534</wp:posOffset>
            </wp:positionV>
            <wp:extent cx="9565419" cy="5684014"/>
            <wp:effectExtent l="19050" t="19050" r="17145"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0.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9552379" cy="5676265"/>
                    </a:xfrm>
                    <a:prstGeom prst="rect">
                      <a:avLst/>
                    </a:prstGeom>
                    <a:ln>
                      <a:solidFill>
                        <a:srgbClr val="002060"/>
                      </a:solidFill>
                    </a:ln>
                  </pic:spPr>
                </pic:pic>
              </a:graphicData>
            </a:graphic>
            <wp14:sizeRelH relativeFrom="page">
              <wp14:pctWidth>0</wp14:pctWidth>
            </wp14:sizeRelH>
            <wp14:sizeRelV relativeFrom="page">
              <wp14:pctHeight>0</wp14:pctHeight>
            </wp14:sizeRelV>
          </wp:anchor>
        </w:drawing>
      </w:r>
      <w:r>
        <w:rPr>
          <w:rStyle w:val="Heading1Char"/>
          <w:rFonts w:ascii="Times New Roman" w:hAnsi="Times New Roman" w:cs="Times New Roman"/>
          <w:b/>
          <w:noProof/>
          <w:szCs w:val="24"/>
        </w:rPr>
        <w:t>ANNEX 1:</w:t>
      </w:r>
      <w:r>
        <w:rPr>
          <w:rFonts w:ascii="Times New Roman" w:hAnsi="Times New Roman" w:cs="Times New Roman"/>
          <w:noProof/>
        </w:rPr>
        <w:t xml:space="preserve"> INTERVENTION LOGIC OF THE UCPM</w:t>
      </w:r>
      <w:bookmarkEnd w:id="73"/>
      <w:bookmarkEnd w:id="74"/>
      <w:bookmarkEnd w:id="75"/>
      <w:bookmarkEnd w:id="76"/>
      <w:r>
        <w:rPr>
          <w:rFonts w:ascii="Times New Roman" w:hAnsi="Times New Roman" w:cs="Times New Roman"/>
          <w:noProof/>
        </w:rPr>
        <w:br/>
      </w:r>
      <w:r>
        <w:rPr>
          <w:rFonts w:ascii="Times New Roman" w:hAnsi="Times New Roman" w:cs="Times New Roman"/>
          <w:noProof/>
        </w:rPr>
        <w:br/>
      </w:r>
    </w:p>
    <w:p w:rsidR="00500553" w:rsidRDefault="00500553">
      <w:pPr>
        <w:rPr>
          <w:rFonts w:ascii="Times New Roman" w:hAnsi="Times New Roman" w:cs="Times New Roman"/>
          <w:noProof/>
          <w:sz w:val="24"/>
          <w:szCs w:val="24"/>
        </w:rPr>
      </w:pPr>
    </w:p>
    <w:p w:rsidR="00500553" w:rsidRDefault="00D978F2">
      <w:pPr>
        <w:rPr>
          <w:rFonts w:ascii="Times New Roman" w:hAnsi="Times New Roman" w:cs="Times New Roman"/>
          <w:noProof/>
          <w:sz w:val="24"/>
          <w:szCs w:val="24"/>
        </w:rPr>
      </w:pPr>
      <w:r>
        <w:rPr>
          <w:rFonts w:ascii="Times New Roman" w:hAnsi="Times New Roman" w:cs="Times New Roman"/>
          <w:noProof/>
          <w:sz w:val="24"/>
          <w:szCs w:val="24"/>
        </w:rPr>
        <w:br w:type="page"/>
      </w:r>
    </w:p>
    <w:p w:rsidR="00500553" w:rsidRDefault="00500553">
      <w:pPr>
        <w:jc w:val="both"/>
        <w:rPr>
          <w:rFonts w:ascii="Times New Roman" w:hAnsi="Times New Roman" w:cs="Times New Roman"/>
          <w:b/>
          <w:noProof/>
          <w:sz w:val="24"/>
          <w:szCs w:val="24"/>
        </w:rPr>
        <w:sectPr w:rsidR="00500553">
          <w:headerReference w:type="even" r:id="rId51"/>
          <w:headerReference w:type="default" r:id="rId52"/>
          <w:footerReference w:type="even" r:id="rId53"/>
          <w:footerReference w:type="default" r:id="rId54"/>
          <w:headerReference w:type="first" r:id="rId55"/>
          <w:footerReference w:type="first" r:id="rId56"/>
          <w:pgSz w:w="16838" w:h="11906" w:orient="landscape"/>
          <w:pgMar w:top="1417" w:right="1417" w:bottom="1417" w:left="1417" w:header="708" w:footer="708" w:gutter="0"/>
          <w:cols w:space="708"/>
          <w:docGrid w:linePitch="360"/>
        </w:sectPr>
      </w:pPr>
    </w:p>
    <w:p w:rsidR="00500553" w:rsidRDefault="00D978F2">
      <w:pPr>
        <w:pStyle w:val="Heading1"/>
        <w:numPr>
          <w:ilvl w:val="0"/>
          <w:numId w:val="0"/>
        </w:numPr>
        <w:ind w:left="680" w:hanging="680"/>
        <w:rPr>
          <w:rFonts w:ascii="Times New Roman" w:hAnsi="Times New Roman" w:cs="Times New Roman"/>
          <w:noProof/>
        </w:rPr>
      </w:pPr>
      <w:bookmarkStart w:id="77" w:name="_Toc485914865"/>
      <w:bookmarkStart w:id="78" w:name="_Toc485915491"/>
      <w:bookmarkStart w:id="79" w:name="_Toc489347875"/>
      <w:bookmarkStart w:id="80" w:name="_Toc489427648"/>
      <w:r>
        <w:rPr>
          <w:rStyle w:val="Heading1Char"/>
          <w:rFonts w:ascii="Times New Roman" w:hAnsi="Times New Roman" w:cs="Times New Roman"/>
          <w:b/>
          <w:noProof/>
          <w:szCs w:val="24"/>
        </w:rPr>
        <w:t>ANNEX 2</w:t>
      </w:r>
      <w:r>
        <w:rPr>
          <w:rFonts w:ascii="Times New Roman" w:hAnsi="Times New Roman" w:cs="Times New Roman"/>
          <w:noProof/>
        </w:rPr>
        <w:t>: PROCEDURAL INFORMATION</w:t>
      </w:r>
      <w:bookmarkEnd w:id="77"/>
      <w:bookmarkEnd w:id="78"/>
      <w:bookmarkEnd w:id="79"/>
      <w:bookmarkEnd w:id="80"/>
    </w:p>
    <w:p w:rsidR="00500553" w:rsidRDefault="00D978F2">
      <w:pPr>
        <w:pStyle w:val="Default"/>
        <w:spacing w:after="120" w:line="276" w:lineRule="auto"/>
        <w:jc w:val="both"/>
        <w:rPr>
          <w:rFonts w:ascii="Times New Roman" w:hAnsi="Times New Roman" w:cs="Times New Roman"/>
          <w:noProof/>
        </w:rPr>
      </w:pPr>
      <w:r>
        <w:rPr>
          <w:rFonts w:ascii="Times New Roman" w:hAnsi="Times New Roman" w:cs="Times New Roman"/>
          <w:noProof/>
          <w:u w:val="single"/>
        </w:rPr>
        <w:t>A) Lead DG</w:t>
      </w:r>
      <w:r>
        <w:rPr>
          <w:rFonts w:ascii="Times New Roman" w:hAnsi="Times New Roman" w:cs="Times New Roman"/>
          <w:noProof/>
        </w:rPr>
        <w:t>: European Civil Protection and Humanitarian Aid Operations (ECHO)</w:t>
      </w:r>
    </w:p>
    <w:p w:rsidR="00500553" w:rsidRDefault="00D978F2">
      <w:pPr>
        <w:pStyle w:val="Default"/>
        <w:spacing w:after="120" w:line="276" w:lineRule="auto"/>
        <w:jc w:val="both"/>
        <w:rPr>
          <w:rFonts w:ascii="Times New Roman" w:hAnsi="Times New Roman" w:cs="Times New Roman"/>
          <w:noProof/>
        </w:rPr>
      </w:pPr>
      <w:r>
        <w:rPr>
          <w:rFonts w:ascii="Times New Roman" w:hAnsi="Times New Roman" w:cs="Times New Roman"/>
          <w:noProof/>
          <w:u w:val="single"/>
        </w:rPr>
        <w:t>B) Reference in Decide</w:t>
      </w:r>
      <w:r>
        <w:rPr>
          <w:rFonts w:ascii="Times New Roman" w:hAnsi="Times New Roman" w:cs="Times New Roman"/>
          <w:noProof/>
        </w:rPr>
        <w:t>: 2016/ECHO/007</w:t>
      </w:r>
    </w:p>
    <w:p w:rsidR="00500553" w:rsidRDefault="00D978F2">
      <w:pPr>
        <w:pStyle w:val="Default"/>
        <w:spacing w:after="120" w:line="276" w:lineRule="auto"/>
        <w:jc w:val="both"/>
        <w:rPr>
          <w:rFonts w:ascii="Times New Roman" w:hAnsi="Times New Roman" w:cs="Times New Roman"/>
          <w:noProof/>
        </w:rPr>
      </w:pPr>
      <w:r>
        <w:rPr>
          <w:rFonts w:ascii="Times New Roman" w:hAnsi="Times New Roman" w:cs="Times New Roman"/>
          <w:noProof/>
          <w:u w:val="single"/>
        </w:rPr>
        <w:t>C) Organisation</w:t>
      </w:r>
      <w:r>
        <w:rPr>
          <w:rFonts w:ascii="Times New Roman" w:hAnsi="Times New Roman" w:cs="Times New Roman"/>
          <w:noProof/>
        </w:rPr>
        <w:t>: The external evaluation was supervised by</w:t>
      </w:r>
      <w:r>
        <w:rPr>
          <w:rFonts w:ascii="Times New Roman" w:hAnsi="Times New Roman" w:cs="Times New Roman"/>
          <w:noProof/>
        </w:rPr>
        <w:t xml:space="preserve"> an Inter-service Steering Group (ISG), composed of representatives of the EEAS and the following European Commission (EC) DGs: CLIMA, DEVCO, ECHO, ENER, ENV, HOME, JRC, MOVE, NEAR, RTD, SANTE and SG. The external evaluation contract had a length of 9 mont</w:t>
      </w:r>
      <w:r>
        <w:rPr>
          <w:rFonts w:ascii="Times New Roman" w:hAnsi="Times New Roman" w:cs="Times New Roman"/>
          <w:noProof/>
        </w:rPr>
        <w:t>hs, from October 2016 to June 2017. Four meetings were held:</w:t>
      </w:r>
    </w:p>
    <w:p w:rsidR="00500553" w:rsidRDefault="00D978F2">
      <w:pPr>
        <w:pStyle w:val="Default"/>
        <w:numPr>
          <w:ilvl w:val="0"/>
          <w:numId w:val="43"/>
        </w:numPr>
        <w:spacing w:after="120" w:line="276" w:lineRule="auto"/>
        <w:jc w:val="both"/>
        <w:rPr>
          <w:rFonts w:ascii="Times New Roman" w:hAnsi="Times New Roman" w:cs="Times New Roman"/>
          <w:noProof/>
        </w:rPr>
      </w:pPr>
      <w:r>
        <w:rPr>
          <w:rFonts w:ascii="Times New Roman" w:hAnsi="Times New Roman" w:cs="Times New Roman"/>
          <w:noProof/>
        </w:rPr>
        <w:t>9 November 2016:</w:t>
      </w:r>
      <w:r>
        <w:rPr>
          <w:rFonts w:ascii="Times New Roman" w:hAnsi="Times New Roman" w:cs="Times New Roman"/>
          <w:noProof/>
        </w:rPr>
        <w:tab/>
        <w:t>Kick-off meeting</w:t>
      </w:r>
    </w:p>
    <w:p w:rsidR="00500553" w:rsidRDefault="00D978F2">
      <w:pPr>
        <w:pStyle w:val="Default"/>
        <w:numPr>
          <w:ilvl w:val="0"/>
          <w:numId w:val="43"/>
        </w:numPr>
        <w:spacing w:after="120" w:line="276" w:lineRule="auto"/>
        <w:jc w:val="both"/>
        <w:rPr>
          <w:rFonts w:ascii="Times New Roman" w:hAnsi="Times New Roman" w:cs="Times New Roman"/>
          <w:noProof/>
        </w:rPr>
      </w:pPr>
      <w:r>
        <w:rPr>
          <w:rFonts w:ascii="Times New Roman" w:hAnsi="Times New Roman" w:cs="Times New Roman"/>
          <w:noProof/>
        </w:rPr>
        <w:t>8 December 2016:</w:t>
      </w:r>
      <w:r>
        <w:rPr>
          <w:rFonts w:ascii="Times New Roman" w:hAnsi="Times New Roman" w:cs="Times New Roman"/>
          <w:noProof/>
        </w:rPr>
        <w:tab/>
        <w:t>Inception report meeting</w:t>
      </w:r>
    </w:p>
    <w:p w:rsidR="00500553" w:rsidRDefault="00D978F2">
      <w:pPr>
        <w:pStyle w:val="Default"/>
        <w:numPr>
          <w:ilvl w:val="0"/>
          <w:numId w:val="43"/>
        </w:numPr>
        <w:spacing w:after="120" w:line="276" w:lineRule="auto"/>
        <w:jc w:val="both"/>
        <w:rPr>
          <w:rFonts w:ascii="Times New Roman" w:hAnsi="Times New Roman" w:cs="Times New Roman"/>
          <w:noProof/>
        </w:rPr>
      </w:pPr>
      <w:r>
        <w:rPr>
          <w:rFonts w:ascii="Times New Roman" w:hAnsi="Times New Roman" w:cs="Times New Roman"/>
          <w:noProof/>
        </w:rPr>
        <w:t>3 March 2017:</w:t>
      </w:r>
      <w:r>
        <w:rPr>
          <w:rFonts w:ascii="Times New Roman" w:hAnsi="Times New Roman" w:cs="Times New Roman"/>
          <w:noProof/>
        </w:rPr>
        <w:tab/>
      </w:r>
      <w:r>
        <w:rPr>
          <w:rFonts w:ascii="Times New Roman" w:hAnsi="Times New Roman" w:cs="Times New Roman"/>
          <w:noProof/>
        </w:rPr>
        <w:tab/>
        <w:t>Interim report meeting</w:t>
      </w:r>
    </w:p>
    <w:p w:rsidR="00500553" w:rsidRDefault="00D978F2">
      <w:pPr>
        <w:pStyle w:val="Default"/>
        <w:numPr>
          <w:ilvl w:val="0"/>
          <w:numId w:val="43"/>
        </w:numPr>
        <w:spacing w:after="120" w:line="276" w:lineRule="auto"/>
        <w:jc w:val="both"/>
        <w:rPr>
          <w:rFonts w:ascii="Times New Roman" w:hAnsi="Times New Roman" w:cs="Times New Roman"/>
          <w:noProof/>
        </w:rPr>
      </w:pPr>
      <w:r>
        <w:rPr>
          <w:rFonts w:ascii="Times New Roman" w:hAnsi="Times New Roman" w:cs="Times New Roman"/>
          <w:noProof/>
        </w:rPr>
        <w:t>20 April 2017:</w:t>
      </w:r>
      <w:r>
        <w:rPr>
          <w:rFonts w:ascii="Times New Roman" w:hAnsi="Times New Roman" w:cs="Times New Roman"/>
          <w:noProof/>
        </w:rPr>
        <w:tab/>
      </w:r>
      <w:r>
        <w:rPr>
          <w:rFonts w:ascii="Times New Roman" w:hAnsi="Times New Roman" w:cs="Times New Roman"/>
          <w:noProof/>
        </w:rPr>
        <w:tab/>
        <w:t>Draft final report meeting</w:t>
      </w:r>
    </w:p>
    <w:p w:rsidR="00500553" w:rsidRDefault="00D978F2">
      <w:pPr>
        <w:pStyle w:val="Default"/>
        <w:spacing w:after="120" w:line="276" w:lineRule="auto"/>
        <w:jc w:val="both"/>
        <w:rPr>
          <w:rFonts w:ascii="Times New Roman" w:hAnsi="Times New Roman" w:cs="Times New Roman"/>
          <w:noProof/>
        </w:rPr>
      </w:pPr>
      <w:r>
        <w:rPr>
          <w:rFonts w:ascii="Times New Roman" w:hAnsi="Times New Roman" w:cs="Times New Roman"/>
          <w:noProof/>
          <w:u w:val="single"/>
        </w:rPr>
        <w:t>D) Quality assurance</w:t>
      </w:r>
      <w:r>
        <w:rPr>
          <w:rFonts w:ascii="Times New Roman" w:hAnsi="Times New Roman" w:cs="Times New Roman"/>
          <w:noProof/>
        </w:rPr>
        <w:t xml:space="preserve">: </w:t>
      </w:r>
    </w:p>
    <w:p w:rsidR="00500553" w:rsidRDefault="00D978F2">
      <w:pPr>
        <w:pStyle w:val="Default"/>
        <w:numPr>
          <w:ilvl w:val="0"/>
          <w:numId w:val="42"/>
        </w:numPr>
        <w:spacing w:line="276" w:lineRule="auto"/>
        <w:ind w:hanging="357"/>
        <w:jc w:val="both"/>
        <w:rPr>
          <w:rFonts w:ascii="Times New Roman" w:hAnsi="Times New Roman" w:cs="Times New Roman"/>
          <w:noProof/>
        </w:rPr>
      </w:pPr>
      <w:r>
        <w:rPr>
          <w:rFonts w:ascii="Times New Roman" w:hAnsi="Times New Roman" w:cs="Times New Roman"/>
          <w:noProof/>
        </w:rPr>
        <w:t>The ISG assesse</w:t>
      </w:r>
      <w:r>
        <w:rPr>
          <w:rFonts w:ascii="Times New Roman" w:hAnsi="Times New Roman" w:cs="Times New Roman"/>
          <w:noProof/>
        </w:rPr>
        <w:t>d the external draft Final Report against the following criteria: compliance with technical specifications; accuracy and completeness of data; relevance and soundness of analysis; robustness of conclusions; usefulness of recommendations; general clarity of</w:t>
      </w:r>
      <w:r>
        <w:rPr>
          <w:rFonts w:ascii="Times New Roman" w:hAnsi="Times New Roman" w:cs="Times New Roman"/>
          <w:noProof/>
        </w:rPr>
        <w:t xml:space="preserve"> the report.</w:t>
      </w:r>
    </w:p>
    <w:p w:rsidR="00500553" w:rsidRDefault="00D978F2">
      <w:pPr>
        <w:pStyle w:val="Default"/>
        <w:numPr>
          <w:ilvl w:val="0"/>
          <w:numId w:val="42"/>
        </w:numPr>
        <w:spacing w:line="276" w:lineRule="auto"/>
        <w:ind w:hanging="357"/>
        <w:jc w:val="both"/>
        <w:rPr>
          <w:rFonts w:ascii="Times New Roman" w:hAnsi="Times New Roman" w:cs="Times New Roman"/>
          <w:noProof/>
        </w:rPr>
      </w:pPr>
      <w:r>
        <w:rPr>
          <w:rFonts w:ascii="Times New Roman" w:hAnsi="Times New Roman" w:cs="Times New Roman"/>
          <w:noProof/>
        </w:rPr>
        <w:t>The ISG provided the following main comments to the external draft Final Report:</w:t>
      </w:r>
    </w:p>
    <w:p w:rsidR="00500553" w:rsidRDefault="00D978F2">
      <w:pPr>
        <w:pStyle w:val="Default"/>
        <w:numPr>
          <w:ilvl w:val="1"/>
          <w:numId w:val="42"/>
        </w:numPr>
        <w:spacing w:line="276" w:lineRule="auto"/>
        <w:ind w:hanging="357"/>
        <w:jc w:val="both"/>
        <w:rPr>
          <w:rFonts w:ascii="Times New Roman" w:hAnsi="Times New Roman" w:cs="Times New Roman"/>
          <w:noProof/>
        </w:rPr>
      </w:pPr>
      <w:r>
        <w:rPr>
          <w:rFonts w:ascii="Times New Roman" w:hAnsi="Times New Roman" w:cs="Times New Roman"/>
          <w:noProof/>
        </w:rPr>
        <w:t>Certain missing elements should be provided: a chapter explaining the intervention, a chapter on the evaluation methodology, the case study reports, a proposal on</w:t>
      </w:r>
      <w:r>
        <w:rPr>
          <w:rFonts w:ascii="Times New Roman" w:hAnsi="Times New Roman" w:cs="Times New Roman"/>
          <w:noProof/>
        </w:rPr>
        <w:t xml:space="preserve"> the dissemination plan…;</w:t>
      </w:r>
    </w:p>
    <w:p w:rsidR="00500553" w:rsidRDefault="00D978F2">
      <w:pPr>
        <w:pStyle w:val="Default"/>
        <w:numPr>
          <w:ilvl w:val="1"/>
          <w:numId w:val="42"/>
        </w:numPr>
        <w:spacing w:line="276" w:lineRule="auto"/>
        <w:ind w:hanging="357"/>
        <w:jc w:val="both"/>
        <w:rPr>
          <w:rFonts w:ascii="Times New Roman" w:hAnsi="Times New Roman" w:cs="Times New Roman"/>
          <w:noProof/>
        </w:rPr>
      </w:pPr>
      <w:r>
        <w:rPr>
          <w:rFonts w:ascii="Times New Roman" w:hAnsi="Times New Roman" w:cs="Times New Roman"/>
          <w:noProof/>
        </w:rPr>
        <w:t>The soundness of the arguments should be improved, and triangulation should be more evident;</w:t>
      </w:r>
    </w:p>
    <w:p w:rsidR="00500553" w:rsidRDefault="00D978F2">
      <w:pPr>
        <w:pStyle w:val="Default"/>
        <w:numPr>
          <w:ilvl w:val="1"/>
          <w:numId w:val="42"/>
        </w:numPr>
        <w:spacing w:line="276" w:lineRule="auto"/>
        <w:ind w:hanging="357"/>
        <w:jc w:val="both"/>
        <w:rPr>
          <w:rFonts w:ascii="Times New Roman" w:hAnsi="Times New Roman" w:cs="Times New Roman"/>
          <w:noProof/>
        </w:rPr>
      </w:pPr>
      <w:r>
        <w:rPr>
          <w:rFonts w:ascii="Times New Roman" w:hAnsi="Times New Roman" w:cs="Times New Roman"/>
          <w:noProof/>
        </w:rPr>
        <w:t>Conclusions on cost-effectiveness should be better supported on quantitative data;</w:t>
      </w:r>
    </w:p>
    <w:p w:rsidR="00500553" w:rsidRDefault="00D978F2">
      <w:pPr>
        <w:pStyle w:val="Default"/>
        <w:numPr>
          <w:ilvl w:val="1"/>
          <w:numId w:val="42"/>
        </w:numPr>
        <w:spacing w:line="276" w:lineRule="auto"/>
        <w:ind w:hanging="357"/>
        <w:jc w:val="both"/>
        <w:rPr>
          <w:rFonts w:ascii="Times New Roman" w:hAnsi="Times New Roman" w:cs="Times New Roman"/>
          <w:noProof/>
        </w:rPr>
      </w:pPr>
      <w:r>
        <w:rPr>
          <w:rFonts w:ascii="Times New Roman" w:hAnsi="Times New Roman" w:cs="Times New Roman"/>
          <w:noProof/>
        </w:rPr>
        <w:t xml:space="preserve">Conclusions on effectiveness, coherence and EU added </w:t>
      </w:r>
      <w:r>
        <w:rPr>
          <w:rFonts w:ascii="Times New Roman" w:hAnsi="Times New Roman" w:cs="Times New Roman"/>
          <w:noProof/>
        </w:rPr>
        <w:t>value should be better elaborated;</w:t>
      </w:r>
    </w:p>
    <w:p w:rsidR="00500553" w:rsidRDefault="00D978F2">
      <w:pPr>
        <w:pStyle w:val="Default"/>
        <w:numPr>
          <w:ilvl w:val="1"/>
          <w:numId w:val="42"/>
        </w:numPr>
        <w:spacing w:line="276" w:lineRule="auto"/>
        <w:ind w:hanging="357"/>
        <w:jc w:val="both"/>
        <w:rPr>
          <w:rFonts w:ascii="Times New Roman" w:hAnsi="Times New Roman" w:cs="Times New Roman"/>
          <w:noProof/>
        </w:rPr>
      </w:pPr>
      <w:r>
        <w:rPr>
          <w:rFonts w:ascii="Times New Roman" w:hAnsi="Times New Roman" w:cs="Times New Roman"/>
          <w:noProof/>
        </w:rPr>
        <w:t>Some links between conclusions and recommendations should be strengthened;</w:t>
      </w:r>
    </w:p>
    <w:p w:rsidR="00500553" w:rsidRDefault="00D978F2">
      <w:pPr>
        <w:pStyle w:val="Default"/>
        <w:numPr>
          <w:ilvl w:val="1"/>
          <w:numId w:val="42"/>
        </w:numPr>
        <w:spacing w:line="276" w:lineRule="auto"/>
        <w:ind w:hanging="357"/>
        <w:jc w:val="both"/>
        <w:rPr>
          <w:rFonts w:ascii="Times New Roman" w:hAnsi="Times New Roman" w:cs="Times New Roman"/>
          <w:noProof/>
        </w:rPr>
      </w:pPr>
      <w:r>
        <w:rPr>
          <w:rFonts w:ascii="Times New Roman" w:hAnsi="Times New Roman" w:cs="Times New Roman"/>
          <w:noProof/>
        </w:rPr>
        <w:t>Recommendations should be further tailored and detailed;</w:t>
      </w:r>
    </w:p>
    <w:p w:rsidR="00500553" w:rsidRDefault="00D978F2">
      <w:pPr>
        <w:pStyle w:val="Default"/>
        <w:numPr>
          <w:ilvl w:val="1"/>
          <w:numId w:val="42"/>
        </w:numPr>
        <w:spacing w:after="120" w:line="276" w:lineRule="auto"/>
        <w:ind w:hanging="357"/>
        <w:jc w:val="both"/>
        <w:rPr>
          <w:rFonts w:ascii="Times New Roman" w:hAnsi="Times New Roman" w:cs="Times New Roman"/>
          <w:noProof/>
        </w:rPr>
      </w:pPr>
      <w:r>
        <w:rPr>
          <w:rFonts w:ascii="Times New Roman" w:hAnsi="Times New Roman" w:cs="Times New Roman"/>
          <w:noProof/>
        </w:rPr>
        <w:t>The general clarity of the report should be improved, and the report should be shortened.</w:t>
      </w:r>
    </w:p>
    <w:p w:rsidR="00500553" w:rsidRDefault="00D978F2">
      <w:pPr>
        <w:pStyle w:val="Default"/>
        <w:spacing w:after="240" w:line="276" w:lineRule="auto"/>
        <w:ind w:left="720"/>
        <w:jc w:val="both"/>
        <w:rPr>
          <w:rFonts w:ascii="Times New Roman" w:hAnsi="Times New Roman" w:cs="Times New Roman"/>
          <w:noProof/>
          <w:color w:val="auto"/>
        </w:rPr>
      </w:pPr>
      <w:r>
        <w:rPr>
          <w:rFonts w:ascii="Times New Roman" w:hAnsi="Times New Roman" w:cs="Times New Roman"/>
          <w:noProof/>
          <w:color w:val="auto"/>
        </w:rPr>
        <w:t>These comments were fully taken into account in the final version of the report.</w:t>
      </w:r>
    </w:p>
    <w:p w:rsidR="00500553" w:rsidRDefault="00D978F2">
      <w:pPr>
        <w:pStyle w:val="Default"/>
        <w:spacing w:after="120" w:line="276" w:lineRule="auto"/>
        <w:jc w:val="both"/>
        <w:rPr>
          <w:rFonts w:ascii="Times New Roman" w:hAnsi="Times New Roman" w:cs="Times New Roman"/>
          <w:noProof/>
        </w:rPr>
      </w:pPr>
      <w:r>
        <w:rPr>
          <w:rFonts w:ascii="Times New Roman" w:hAnsi="Times New Roman" w:cs="Times New Roman"/>
          <w:noProof/>
          <w:u w:val="single"/>
        </w:rPr>
        <w:t>E) Evidence</w:t>
      </w:r>
      <w:r>
        <w:rPr>
          <w:rFonts w:ascii="Times New Roman" w:hAnsi="Times New Roman" w:cs="Times New Roman"/>
          <w:noProof/>
        </w:rPr>
        <w:t>: Several information sources were used to reach triangulated conclusions, i.e. document review; analysis of the EC's project database (‘HOPE’); face to face and t</w:t>
      </w:r>
      <w:r>
        <w:rPr>
          <w:rFonts w:ascii="Times New Roman" w:hAnsi="Times New Roman" w:cs="Times New Roman"/>
          <w:noProof/>
        </w:rPr>
        <w:t>elephone interviews; four surveys (to national ministries, civil protection authorities, Trainers and national training coordinators, civil protection experts and project coordinators); an Open Public Consultation, and case studies.</w:t>
      </w:r>
    </w:p>
    <w:p w:rsidR="00500553" w:rsidRDefault="00D978F2">
      <w:pPr>
        <w:pStyle w:val="Default"/>
        <w:spacing w:after="480" w:line="276" w:lineRule="auto"/>
        <w:jc w:val="both"/>
        <w:rPr>
          <w:rFonts w:ascii="Times New Roman" w:hAnsi="Times New Roman" w:cs="Times New Roman"/>
          <w:b/>
          <w:noProof/>
          <w:u w:val="single"/>
        </w:rPr>
      </w:pPr>
      <w:r>
        <w:rPr>
          <w:rFonts w:ascii="Times New Roman" w:hAnsi="Times New Roman" w:cs="Times New Roman"/>
          <w:noProof/>
          <w:u w:val="single"/>
        </w:rPr>
        <w:t>F) External expertise</w:t>
      </w:r>
      <w:r>
        <w:rPr>
          <w:rFonts w:ascii="Times New Roman" w:hAnsi="Times New Roman" w:cs="Times New Roman"/>
          <w:noProof/>
        </w:rPr>
        <w:t xml:space="preserve">: </w:t>
      </w:r>
      <w:r>
        <w:rPr>
          <w:rFonts w:ascii="Times New Roman" w:hAnsi="Times New Roman" w:cs="Times New Roman"/>
          <w:noProof/>
        </w:rPr>
        <w:t>The evaluation was carried out by an external consultant, ICF Consulting Services Limited, who was selected through a competitive process under DG ECHO's evaluation framework contract. The current Staff Working Document aims at providing a self-reflected s</w:t>
      </w:r>
      <w:r>
        <w:rPr>
          <w:rFonts w:ascii="Times New Roman" w:hAnsi="Times New Roman" w:cs="Times New Roman"/>
          <w:noProof/>
        </w:rPr>
        <w:t xml:space="preserve">ummary of all sources of evidence, including the evaluation carried out by the external consultant, about the first years of existence of the current Mechanism. The report is available at: </w:t>
      </w:r>
      <w:hyperlink r:id="rId57" w:history="1">
        <w:r>
          <w:rPr>
            <w:rStyle w:val="Hyperlink"/>
            <w:rFonts w:ascii="Times New Roman" w:hAnsi="Times New Roman" w:cs="Times New Roman"/>
            <w:noProof/>
          </w:rPr>
          <w:t>http://bookshop.europa.eu</w:t>
        </w:r>
      </w:hyperlink>
      <w:r>
        <w:rPr>
          <w:rFonts w:ascii="Times New Roman" w:hAnsi="Times New Roman" w:cs="Times New Roman"/>
          <w:noProof/>
        </w:rPr>
        <w:t>.</w:t>
      </w:r>
    </w:p>
    <w:p w:rsidR="00500553" w:rsidRDefault="00D978F2">
      <w:pPr>
        <w:jc w:val="both"/>
        <w:rPr>
          <w:rFonts w:ascii="Times New Roman" w:hAnsi="Times New Roman" w:cs="Times New Roman"/>
          <w:b/>
          <w:noProof/>
          <w:sz w:val="24"/>
          <w:szCs w:val="24"/>
        </w:rPr>
      </w:pPr>
      <w:r>
        <w:rPr>
          <w:rFonts w:ascii="Times New Roman" w:hAnsi="Times New Roman" w:cs="Times New Roman"/>
          <w:b/>
          <w:noProof/>
          <w:sz w:val="24"/>
          <w:szCs w:val="24"/>
        </w:rPr>
        <w:t>LIST OF EVALUATION QUESTIONS</w:t>
      </w:r>
    </w:p>
    <w:p w:rsidR="00500553" w:rsidRDefault="00D978F2">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Effectiveness</w:t>
      </w:r>
    </w:p>
    <w:p w:rsidR="00500553" w:rsidRDefault="00D978F2">
      <w:pPr>
        <w:pStyle w:val="ListParagraph"/>
        <w:numPr>
          <w:ilvl w:val="0"/>
          <w:numId w:val="21"/>
        </w:numPr>
        <w:jc w:val="both"/>
        <w:rPr>
          <w:rFonts w:ascii="Times New Roman" w:hAnsi="Times New Roman" w:cs="Times New Roman"/>
          <w:b/>
          <w:noProof/>
          <w:sz w:val="24"/>
          <w:szCs w:val="24"/>
        </w:rPr>
      </w:pPr>
      <w:r>
        <w:rPr>
          <w:rFonts w:ascii="Times New Roman" w:hAnsi="Times New Roman" w:cs="Times New Roman"/>
          <w:b/>
          <w:noProof/>
          <w:sz w:val="24"/>
          <w:szCs w:val="24"/>
        </w:rPr>
        <w:t>Question 1. To what extent have the objectives of the Decision been achieved?</w:t>
      </w:r>
    </w:p>
    <w:p w:rsidR="00500553" w:rsidRDefault="00D978F2">
      <w:pPr>
        <w:pStyle w:val="ListParagraph"/>
        <w:ind w:left="840"/>
        <w:jc w:val="both"/>
        <w:rPr>
          <w:rFonts w:ascii="Times New Roman" w:hAnsi="Times New Roman" w:cs="Times New Roman"/>
          <w:b/>
          <w:noProof/>
          <w:sz w:val="24"/>
          <w:szCs w:val="24"/>
        </w:rPr>
      </w:pPr>
      <w:r>
        <w:rPr>
          <w:rFonts w:ascii="Times New Roman" w:hAnsi="Times New Roman" w:cs="Times New Roman"/>
          <w:noProof/>
          <w:sz w:val="24"/>
          <w:szCs w:val="24"/>
        </w:rPr>
        <w:t xml:space="preserve">To what extent has the Union Mechanism contributed to achieving the general objective of the Decision? To what extent has progress </w:t>
      </w:r>
      <w:r>
        <w:rPr>
          <w:rFonts w:ascii="Times New Roman" w:hAnsi="Times New Roman" w:cs="Times New Roman"/>
          <w:noProof/>
          <w:sz w:val="24"/>
          <w:szCs w:val="24"/>
        </w:rPr>
        <w:t>been made in relation to the four specific objectives? Given the current timeframe, is the Union Mechanism on track to achieve the specific objectives of the Decision? To what extent have external factors influenced the observed progress towards the object</w:t>
      </w:r>
      <w:r>
        <w:rPr>
          <w:rFonts w:ascii="Times New Roman" w:hAnsi="Times New Roman" w:cs="Times New Roman"/>
          <w:noProof/>
          <w:sz w:val="24"/>
          <w:szCs w:val="24"/>
        </w:rPr>
        <w:t>ives?</w:t>
      </w:r>
    </w:p>
    <w:p w:rsidR="00500553" w:rsidRDefault="00D978F2">
      <w:pPr>
        <w:jc w:val="both"/>
        <w:rPr>
          <w:rFonts w:ascii="Times New Roman" w:hAnsi="Times New Roman" w:cs="Times New Roman"/>
          <w:noProof/>
          <w:sz w:val="24"/>
          <w:szCs w:val="24"/>
        </w:rPr>
      </w:pPr>
      <w:r>
        <w:rPr>
          <w:rFonts w:ascii="Times New Roman" w:hAnsi="Times New Roman" w:cs="Times New Roman"/>
          <w:b/>
          <w:noProof/>
          <w:sz w:val="24"/>
          <w:szCs w:val="24"/>
          <w:u w:val="single"/>
        </w:rPr>
        <w:t>Efficiency</w:t>
      </w:r>
    </w:p>
    <w:p w:rsidR="00500553" w:rsidRDefault="00D978F2">
      <w:pPr>
        <w:pStyle w:val="ListParagraph"/>
        <w:numPr>
          <w:ilvl w:val="0"/>
          <w:numId w:val="21"/>
        </w:numPr>
        <w:jc w:val="both"/>
        <w:rPr>
          <w:rFonts w:ascii="Times New Roman" w:hAnsi="Times New Roman" w:cs="Times New Roman"/>
          <w:b/>
          <w:noProof/>
          <w:sz w:val="24"/>
          <w:szCs w:val="24"/>
        </w:rPr>
      </w:pPr>
      <w:r>
        <w:rPr>
          <w:rFonts w:ascii="Times New Roman" w:hAnsi="Times New Roman" w:cs="Times New Roman"/>
          <w:b/>
          <w:noProof/>
          <w:sz w:val="24"/>
          <w:szCs w:val="24"/>
        </w:rPr>
        <w:t>Question 2. To what extent are the costs of the activities performed under the UCPM justified when compared to their benefits?</w:t>
      </w:r>
    </w:p>
    <w:p w:rsidR="00500553" w:rsidRDefault="00D978F2">
      <w:pPr>
        <w:pStyle w:val="ListParagraph"/>
        <w:ind w:left="840"/>
        <w:jc w:val="both"/>
        <w:rPr>
          <w:rFonts w:ascii="Times New Roman" w:hAnsi="Times New Roman" w:cs="Times New Roman"/>
          <w:b/>
          <w:noProof/>
          <w:sz w:val="24"/>
          <w:szCs w:val="24"/>
        </w:rPr>
      </w:pPr>
      <w:r>
        <w:rPr>
          <w:rFonts w:ascii="Times New Roman" w:hAnsi="Times New Roman" w:cs="Times New Roman"/>
          <w:noProof/>
          <w:sz w:val="24"/>
          <w:szCs w:val="24"/>
        </w:rPr>
        <w:t>To what extent did ECHO achieve cost-effectiveness in its actions under the UCPM? To address this question the e</w:t>
      </w:r>
      <w:r>
        <w:rPr>
          <w:rFonts w:ascii="Times New Roman" w:hAnsi="Times New Roman" w:cs="Times New Roman"/>
          <w:noProof/>
          <w:sz w:val="24"/>
          <w:szCs w:val="24"/>
        </w:rPr>
        <w:t>valuator is invited to propose a dedicated, overall approach. What main factors influenced cost-effectiveness of the actions? Were there significant differences in costs and objective achievement between the Participating States? If so, what are the underl</w:t>
      </w:r>
      <w:r>
        <w:rPr>
          <w:rFonts w:ascii="Times New Roman" w:hAnsi="Times New Roman" w:cs="Times New Roman"/>
          <w:noProof/>
          <w:sz w:val="24"/>
          <w:szCs w:val="24"/>
        </w:rPr>
        <w:t>ying causes? Which decisions could contribute to improve cost-effectiveness?</w:t>
      </w:r>
    </w:p>
    <w:p w:rsidR="00500553" w:rsidRDefault="00500553">
      <w:pPr>
        <w:pStyle w:val="ListParagraph"/>
        <w:ind w:left="840"/>
        <w:jc w:val="both"/>
        <w:rPr>
          <w:rFonts w:ascii="Times New Roman" w:hAnsi="Times New Roman" w:cs="Times New Roman"/>
          <w:b/>
          <w:noProof/>
          <w:sz w:val="24"/>
          <w:szCs w:val="24"/>
        </w:rPr>
      </w:pPr>
    </w:p>
    <w:p w:rsidR="00500553" w:rsidRDefault="00D978F2">
      <w:pPr>
        <w:pStyle w:val="ListParagraph"/>
        <w:numPr>
          <w:ilvl w:val="0"/>
          <w:numId w:val="21"/>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Question 3: To what extent have the monitoring arrangements contributed to an efficient and effective implementation of the intervention?</w:t>
      </w:r>
    </w:p>
    <w:p w:rsidR="00500553" w:rsidRDefault="00D978F2">
      <w:pPr>
        <w:pStyle w:val="ListParagraph"/>
        <w:spacing w:after="240"/>
        <w:ind w:left="84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Are the indicators currently set by the </w:t>
      </w:r>
      <w:r>
        <w:rPr>
          <w:rFonts w:ascii="Times New Roman" w:hAnsi="Times New Roman" w:cs="Times New Roman"/>
          <w:iCs/>
          <w:noProof/>
          <w:sz w:val="24"/>
          <w:szCs w:val="24"/>
        </w:rPr>
        <w:t>Decision adequate and sufficient to capture to monitor successful implementation of the Decision? Which, if at all, additional indicators should be considered? Has data been properly collected and monitored? Is data generally available?</w:t>
      </w:r>
    </w:p>
    <w:p w:rsidR="00500553" w:rsidRDefault="00D978F2">
      <w:pPr>
        <w:spacing w:after="240"/>
        <w:jc w:val="both"/>
        <w:rPr>
          <w:rFonts w:ascii="Times New Roman" w:hAnsi="Times New Roman" w:cs="Times New Roman"/>
          <w:b/>
          <w:iCs/>
          <w:noProof/>
          <w:sz w:val="24"/>
          <w:szCs w:val="24"/>
          <w:u w:val="single"/>
        </w:rPr>
      </w:pPr>
      <w:r>
        <w:rPr>
          <w:rFonts w:ascii="Times New Roman" w:hAnsi="Times New Roman" w:cs="Times New Roman"/>
          <w:b/>
          <w:iCs/>
          <w:noProof/>
          <w:sz w:val="24"/>
          <w:szCs w:val="24"/>
          <w:u w:val="single"/>
        </w:rPr>
        <w:t>Relevance</w:t>
      </w:r>
    </w:p>
    <w:p w:rsidR="00500553" w:rsidRDefault="00D978F2">
      <w:pPr>
        <w:pStyle w:val="ListParagraph"/>
        <w:numPr>
          <w:ilvl w:val="0"/>
          <w:numId w:val="23"/>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Question </w:t>
      </w:r>
      <w:r>
        <w:rPr>
          <w:rFonts w:ascii="Times New Roman" w:hAnsi="Times New Roman" w:cs="Times New Roman"/>
          <w:b/>
          <w:noProof/>
          <w:sz w:val="24"/>
          <w:szCs w:val="24"/>
        </w:rPr>
        <w:t>4: To what extent are the Decision's objectives still relevant to the needs identified and to the European Commission's priorities for 2014-2020?</w:t>
      </w:r>
    </w:p>
    <w:p w:rsidR="00500553" w:rsidRDefault="00D978F2">
      <w:pPr>
        <w:pStyle w:val="ListParagraph"/>
        <w:spacing w:after="240"/>
        <w:ind w:left="786"/>
        <w:jc w:val="both"/>
        <w:rPr>
          <w:rFonts w:ascii="Times New Roman" w:hAnsi="Times New Roman" w:cs="Times New Roman"/>
          <w:noProof/>
          <w:sz w:val="24"/>
          <w:szCs w:val="24"/>
        </w:rPr>
      </w:pPr>
      <w:r>
        <w:rPr>
          <w:rFonts w:ascii="Times New Roman" w:hAnsi="Times New Roman" w:cs="Times New Roman"/>
          <w:noProof/>
          <w:sz w:val="24"/>
          <w:szCs w:val="24"/>
        </w:rPr>
        <w:t>To what extent do the general and specific objectives of Decision still correspond to current needs within the</w:t>
      </w:r>
      <w:r>
        <w:rPr>
          <w:rFonts w:ascii="Times New Roman" w:hAnsi="Times New Roman" w:cs="Times New Roman"/>
          <w:noProof/>
          <w:sz w:val="24"/>
          <w:szCs w:val="24"/>
        </w:rPr>
        <w:t xml:space="preserve"> EU? To what extent have the general and specific objectives of the Decision proved to be appropriate to address the issues highlighted in the Impact Assessment (2011) Were the main findings and lessons learnt presented in the Ex-Post Evaluation of the Com</w:t>
      </w:r>
      <w:r>
        <w:rPr>
          <w:rFonts w:ascii="Times New Roman" w:hAnsi="Times New Roman" w:cs="Times New Roman"/>
          <w:noProof/>
          <w:sz w:val="24"/>
          <w:szCs w:val="24"/>
        </w:rPr>
        <w:t>munity Civil Protection Mechanism (2007-2013) taken into account for the implementation of the UCPM? Has the Mechanism been flexible enough to address emerging/unanticipated critical issues in the disaster risk management arena? To what extent has the UCPM</w:t>
      </w:r>
      <w:r>
        <w:rPr>
          <w:rFonts w:ascii="Times New Roman" w:hAnsi="Times New Roman" w:cs="Times New Roman"/>
          <w:noProof/>
          <w:sz w:val="24"/>
          <w:szCs w:val="24"/>
        </w:rPr>
        <w:t xml:space="preserve"> integrated in its functioning as well as in its activities scientific and technological research and development that has become available since its creation?</w:t>
      </w:r>
    </w:p>
    <w:p w:rsidR="00500553" w:rsidRDefault="00D978F2">
      <w:pPr>
        <w:spacing w:after="24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Coherence</w:t>
      </w:r>
    </w:p>
    <w:p w:rsidR="00500553" w:rsidRDefault="00D978F2">
      <w:pPr>
        <w:pStyle w:val="ListParagraph"/>
        <w:numPr>
          <w:ilvl w:val="0"/>
          <w:numId w:val="23"/>
        </w:numPr>
        <w:spacing w:after="240"/>
        <w:jc w:val="both"/>
        <w:rPr>
          <w:rFonts w:ascii="Times New Roman" w:hAnsi="Times New Roman" w:cs="Times New Roman"/>
          <w:b/>
          <w:iCs/>
          <w:noProof/>
          <w:sz w:val="24"/>
          <w:szCs w:val="24"/>
          <w:u w:val="single"/>
        </w:rPr>
      </w:pPr>
      <w:r>
        <w:rPr>
          <w:rFonts w:ascii="Times New Roman" w:hAnsi="Times New Roman" w:cs="Times New Roman"/>
          <w:b/>
          <w:noProof/>
          <w:sz w:val="24"/>
          <w:szCs w:val="24"/>
        </w:rPr>
        <w:t>Question 5. To what extent is this intervention internally and externally coherent?</w:t>
      </w:r>
    </w:p>
    <w:p w:rsidR="00500553" w:rsidRDefault="00D978F2">
      <w:pPr>
        <w:pStyle w:val="ListParagraph"/>
        <w:spacing w:after="240"/>
        <w:ind w:left="786"/>
        <w:jc w:val="both"/>
        <w:rPr>
          <w:rFonts w:ascii="Times New Roman" w:hAnsi="Times New Roman" w:cs="Times New Roman"/>
          <w:b/>
          <w:iCs/>
          <w:noProof/>
          <w:sz w:val="24"/>
          <w:szCs w:val="24"/>
          <w:u w:val="single"/>
        </w:rPr>
      </w:pPr>
      <w:r>
        <w:rPr>
          <w:rFonts w:ascii="Times New Roman" w:hAnsi="Times New Roman" w:cs="Times New Roman"/>
          <w:noProof/>
          <w:sz w:val="24"/>
          <w:szCs w:val="24"/>
        </w:rPr>
        <w:t>Ho</w:t>
      </w:r>
      <w:r>
        <w:rPr>
          <w:rFonts w:ascii="Times New Roman" w:hAnsi="Times New Roman" w:cs="Times New Roman"/>
          <w:noProof/>
          <w:sz w:val="24"/>
          <w:szCs w:val="24"/>
        </w:rPr>
        <w:t>w well are the different activities of the UCPM articulated, interlinked, and mutually supportive? What examples of synergies exist between different activities and areas (i.e. prevention/preparedness/response) of the UCPM? Can further synergies be sought?</w:t>
      </w:r>
      <w:r>
        <w:rPr>
          <w:rFonts w:ascii="Times New Roman" w:hAnsi="Times New Roman" w:cs="Times New Roman"/>
          <w:noProof/>
          <w:sz w:val="24"/>
          <w:szCs w:val="24"/>
        </w:rPr>
        <w:t xml:space="preserve"> Are there any missed opportunities?  To what extent are the potential synergies between the UCPM and other EC policy areas as well as international frameworks/initiatives being exploited?</w:t>
      </w:r>
    </w:p>
    <w:p w:rsidR="00500553" w:rsidRDefault="00D978F2">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EU added value</w:t>
      </w:r>
    </w:p>
    <w:p w:rsidR="00500553" w:rsidRDefault="00D978F2">
      <w:pPr>
        <w:pStyle w:val="ListParagraph"/>
        <w:numPr>
          <w:ilvl w:val="0"/>
          <w:numId w:val="23"/>
        </w:numPr>
        <w:jc w:val="both"/>
        <w:rPr>
          <w:rFonts w:ascii="Times New Roman" w:hAnsi="Times New Roman" w:cs="Times New Roman"/>
          <w:b/>
          <w:noProof/>
          <w:sz w:val="24"/>
          <w:szCs w:val="24"/>
        </w:rPr>
      </w:pPr>
      <w:r>
        <w:rPr>
          <w:rFonts w:ascii="Times New Roman" w:hAnsi="Times New Roman" w:cs="Times New Roman"/>
          <w:b/>
          <w:noProof/>
          <w:sz w:val="24"/>
          <w:szCs w:val="24"/>
        </w:rPr>
        <w:t xml:space="preserve">Question 6. What is the EU Added Value of the UCPM, </w:t>
      </w:r>
      <w:r>
        <w:rPr>
          <w:rFonts w:ascii="Times New Roman" w:hAnsi="Times New Roman" w:cs="Times New Roman"/>
          <w:b/>
          <w:noProof/>
          <w:sz w:val="24"/>
          <w:szCs w:val="24"/>
        </w:rPr>
        <w:t>including the added value to other participating states?</w:t>
      </w:r>
    </w:p>
    <w:p w:rsidR="00500553" w:rsidRDefault="00D978F2">
      <w:pPr>
        <w:pStyle w:val="ListParagraph"/>
        <w:ind w:left="786"/>
        <w:jc w:val="both"/>
        <w:rPr>
          <w:rFonts w:ascii="Times New Roman" w:hAnsi="Times New Roman" w:cs="Times New Roman"/>
          <w:b/>
          <w:noProof/>
          <w:sz w:val="24"/>
          <w:szCs w:val="24"/>
        </w:rPr>
      </w:pPr>
      <w:r>
        <w:rPr>
          <w:rFonts w:ascii="Times New Roman" w:hAnsi="Times New Roman" w:cs="Times New Roman"/>
          <w:noProof/>
          <w:sz w:val="24"/>
          <w:szCs w:val="24"/>
        </w:rPr>
        <w:t xml:space="preserve">What results of the intervention can be identified that could not have been achieved without a coordinated effort at the EU level? Which criteria could be considered to demonstrate EU added value of </w:t>
      </w:r>
      <w:r>
        <w:rPr>
          <w:rFonts w:ascii="Times New Roman" w:hAnsi="Times New Roman" w:cs="Times New Roman"/>
          <w:noProof/>
          <w:sz w:val="24"/>
          <w:szCs w:val="24"/>
        </w:rPr>
        <w:t>the UCPM-supported interventions in prevention, preparedness, and response?</w:t>
      </w:r>
    </w:p>
    <w:p w:rsidR="00500553" w:rsidRDefault="00D978F2">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Sustainability</w:t>
      </w:r>
    </w:p>
    <w:p w:rsidR="00500553" w:rsidRDefault="00D978F2">
      <w:pPr>
        <w:pStyle w:val="ListParagraph"/>
        <w:numPr>
          <w:ilvl w:val="0"/>
          <w:numId w:val="23"/>
        </w:numPr>
        <w:jc w:val="both"/>
        <w:rPr>
          <w:rFonts w:ascii="Times New Roman" w:hAnsi="Times New Roman" w:cs="Times New Roman"/>
          <w:b/>
          <w:noProof/>
          <w:sz w:val="24"/>
          <w:szCs w:val="24"/>
        </w:rPr>
      </w:pPr>
      <w:r>
        <w:rPr>
          <w:rFonts w:ascii="Times New Roman" w:hAnsi="Times New Roman" w:cs="Times New Roman"/>
          <w:b/>
          <w:noProof/>
          <w:sz w:val="24"/>
          <w:szCs w:val="24"/>
        </w:rPr>
        <w:t>Question 7. To what extent are the results achieved by the UCPM sustainable?</w:t>
      </w:r>
    </w:p>
    <w:p w:rsidR="00500553" w:rsidRDefault="00D978F2">
      <w:pPr>
        <w:pStyle w:val="ListParagraph"/>
        <w:ind w:left="786"/>
        <w:jc w:val="both"/>
        <w:rPr>
          <w:rFonts w:ascii="Times New Roman" w:hAnsi="Times New Roman" w:cs="Times New Roman"/>
          <w:noProof/>
          <w:sz w:val="24"/>
          <w:szCs w:val="24"/>
        </w:rPr>
      </w:pPr>
      <w:r>
        <w:rPr>
          <w:rFonts w:ascii="Times New Roman" w:hAnsi="Times New Roman" w:cs="Times New Roman"/>
          <w:noProof/>
          <w:sz w:val="24"/>
          <w:szCs w:val="24"/>
        </w:rPr>
        <w:t xml:space="preserve">To what extent are the results achieved by the UCPM likely to last beyond the timeframe </w:t>
      </w:r>
      <w:r>
        <w:rPr>
          <w:rFonts w:ascii="Times New Roman" w:hAnsi="Times New Roman" w:cs="Times New Roman"/>
          <w:noProof/>
          <w:sz w:val="24"/>
          <w:szCs w:val="24"/>
        </w:rPr>
        <w:t>of the intervention? Are adequate arrangements in place to ensure (financial, capacity, technical, etc.) sustainability of current and future interventions?</w:t>
      </w:r>
    </w:p>
    <w:p w:rsidR="00500553" w:rsidRDefault="00D978F2">
      <w:pPr>
        <w:rPr>
          <w:rFonts w:ascii="Times New Roman" w:hAnsi="Times New Roman" w:cs="Times New Roman"/>
          <w:b/>
          <w:noProof/>
          <w:sz w:val="24"/>
          <w:szCs w:val="24"/>
        </w:rPr>
      </w:pPr>
      <w:r>
        <w:rPr>
          <w:rFonts w:ascii="Times New Roman" w:hAnsi="Times New Roman" w:cs="Times New Roman"/>
          <w:b/>
          <w:noProof/>
          <w:sz w:val="24"/>
          <w:szCs w:val="24"/>
        </w:rPr>
        <w:br w:type="page"/>
      </w:r>
    </w:p>
    <w:p w:rsidR="00500553" w:rsidRDefault="00D978F2">
      <w:pPr>
        <w:pStyle w:val="Heading1"/>
        <w:numPr>
          <w:ilvl w:val="0"/>
          <w:numId w:val="0"/>
        </w:numPr>
        <w:ind w:left="680" w:hanging="680"/>
        <w:rPr>
          <w:rFonts w:ascii="Times New Roman" w:hAnsi="Times New Roman" w:cs="Times New Roman"/>
          <w:noProof/>
        </w:rPr>
      </w:pPr>
      <w:bookmarkStart w:id="81" w:name="_Toc485914866"/>
      <w:bookmarkStart w:id="82" w:name="_Toc485915492"/>
      <w:bookmarkStart w:id="83" w:name="_Toc489347876"/>
      <w:bookmarkStart w:id="84" w:name="_Toc489427649"/>
      <w:r>
        <w:rPr>
          <w:rFonts w:ascii="Times New Roman" w:hAnsi="Times New Roman" w:cs="Times New Roman"/>
          <w:noProof/>
        </w:rPr>
        <w:t>ANNEX 3: OVERVIEW OF ACTIVITIES CARRIED OUT UNDER THE UCPM (2014-2016)</w:t>
      </w:r>
      <w:bookmarkEnd w:id="81"/>
      <w:bookmarkEnd w:id="82"/>
      <w:bookmarkEnd w:id="83"/>
      <w:bookmarkEnd w:id="84"/>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2"/>
        <w:gridCol w:w="3081"/>
        <w:gridCol w:w="3079"/>
      </w:tblGrid>
      <w:tr w:rsidR="00500553">
        <w:trPr>
          <w:trHeight w:val="69"/>
        </w:trPr>
        <w:tc>
          <w:tcPr>
            <w:tcW w:w="3098" w:type="dxa"/>
            <w:shd w:val="clear" w:color="auto" w:fill="D99594" w:themeFill="accent2" w:themeFillTint="99"/>
          </w:tcPr>
          <w:p w:rsidR="00500553" w:rsidRDefault="00D978F2">
            <w:pPr>
              <w:spacing w:line="276" w:lineRule="auto"/>
              <w:jc w:val="both"/>
              <w:rPr>
                <w:rFonts w:ascii="Times New Roman" w:hAnsi="Times New Roman" w:cs="Times New Roman"/>
                <w:b/>
                <w:noProof/>
                <w:sz w:val="20"/>
                <w:szCs w:val="24"/>
              </w:rPr>
            </w:pPr>
            <w:r>
              <w:rPr>
                <w:rFonts w:ascii="Times New Roman" w:hAnsi="Times New Roman" w:cs="Times New Roman"/>
                <w:b/>
                <w:noProof/>
                <w:sz w:val="20"/>
                <w:szCs w:val="24"/>
              </w:rPr>
              <w:t>Prevention</w:t>
            </w:r>
          </w:p>
        </w:tc>
        <w:tc>
          <w:tcPr>
            <w:tcW w:w="3095" w:type="dxa"/>
            <w:shd w:val="clear" w:color="auto" w:fill="92D050"/>
          </w:tcPr>
          <w:p w:rsidR="00500553" w:rsidRDefault="00D978F2">
            <w:pPr>
              <w:spacing w:line="276" w:lineRule="auto"/>
              <w:jc w:val="both"/>
              <w:rPr>
                <w:rFonts w:ascii="Times New Roman" w:hAnsi="Times New Roman" w:cs="Times New Roman"/>
                <w:b/>
                <w:noProof/>
                <w:sz w:val="20"/>
                <w:szCs w:val="24"/>
              </w:rPr>
            </w:pPr>
            <w:r>
              <w:rPr>
                <w:rFonts w:ascii="Times New Roman" w:hAnsi="Times New Roman" w:cs="Times New Roman"/>
                <w:b/>
                <w:noProof/>
                <w:sz w:val="20"/>
                <w:szCs w:val="24"/>
              </w:rPr>
              <w:t>Preparedness</w:t>
            </w:r>
          </w:p>
        </w:tc>
        <w:tc>
          <w:tcPr>
            <w:tcW w:w="3095" w:type="dxa"/>
            <w:shd w:val="clear" w:color="auto" w:fill="8DB3E2" w:themeFill="text2" w:themeFillTint="66"/>
          </w:tcPr>
          <w:p w:rsidR="00500553" w:rsidRDefault="00D978F2">
            <w:pPr>
              <w:spacing w:line="276" w:lineRule="auto"/>
              <w:jc w:val="both"/>
              <w:rPr>
                <w:rFonts w:ascii="Times New Roman" w:hAnsi="Times New Roman" w:cs="Times New Roman"/>
                <w:b/>
                <w:noProof/>
                <w:sz w:val="20"/>
                <w:szCs w:val="24"/>
              </w:rPr>
            </w:pPr>
            <w:r>
              <w:rPr>
                <w:rFonts w:ascii="Times New Roman" w:hAnsi="Times New Roman" w:cs="Times New Roman"/>
                <w:b/>
                <w:noProof/>
                <w:sz w:val="20"/>
                <w:szCs w:val="24"/>
              </w:rPr>
              <w:t>Re</w:t>
            </w:r>
            <w:r>
              <w:rPr>
                <w:rFonts w:ascii="Times New Roman" w:hAnsi="Times New Roman" w:cs="Times New Roman"/>
                <w:b/>
                <w:noProof/>
                <w:sz w:val="20"/>
                <w:szCs w:val="24"/>
              </w:rPr>
              <w:t>sponse</w:t>
            </w:r>
          </w:p>
        </w:tc>
      </w:tr>
      <w:tr w:rsidR="00500553">
        <w:trPr>
          <w:trHeight w:val="772"/>
        </w:trPr>
        <w:tc>
          <w:tcPr>
            <w:tcW w:w="3098" w:type="dxa"/>
            <w:shd w:val="clear" w:color="auto" w:fill="F2DBDB" w:themeFill="accent2" w:themeFillTint="33"/>
          </w:tcPr>
          <w:p w:rsidR="00500553" w:rsidRDefault="00500553">
            <w:pPr>
              <w:spacing w:line="276" w:lineRule="auto"/>
              <w:rPr>
                <w:rFonts w:ascii="Times New Roman" w:hAnsi="Times New Roman" w:cs="Times New Roman"/>
                <w:noProof/>
                <w:sz w:val="20"/>
                <w:szCs w:val="24"/>
              </w:rPr>
            </w:pP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Improving the knowledge base for disaster prevention</w:t>
            </w:r>
          </w:p>
          <w:p w:rsidR="00500553" w:rsidRDefault="00500553">
            <w:pPr>
              <w:spacing w:line="276" w:lineRule="auto"/>
              <w:rPr>
                <w:rFonts w:ascii="Times New Roman" w:hAnsi="Times New Roman" w:cs="Times New Roman"/>
                <w:noProof/>
                <w:sz w:val="20"/>
                <w:szCs w:val="24"/>
              </w:rPr>
            </w:pPr>
          </w:p>
        </w:tc>
        <w:tc>
          <w:tcPr>
            <w:tcW w:w="3095" w:type="dxa"/>
            <w:shd w:val="clear" w:color="auto" w:fill="DBF5D9"/>
          </w:tcPr>
          <w:p w:rsidR="00500553" w:rsidRDefault="00500553">
            <w:pPr>
              <w:spacing w:line="276" w:lineRule="auto"/>
              <w:rPr>
                <w:rFonts w:ascii="Times New Roman" w:hAnsi="Times New Roman" w:cs="Times New Roman"/>
                <w:noProof/>
                <w:sz w:val="20"/>
                <w:szCs w:val="24"/>
              </w:rPr>
            </w:pP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Emergency Response Coordination Centre (ERCC)</w:t>
            </w:r>
          </w:p>
          <w:p w:rsidR="00500553" w:rsidRDefault="00500553">
            <w:pPr>
              <w:spacing w:line="276" w:lineRule="auto"/>
              <w:rPr>
                <w:rFonts w:ascii="Times New Roman" w:hAnsi="Times New Roman" w:cs="Times New Roman"/>
                <w:noProof/>
                <w:sz w:val="20"/>
                <w:szCs w:val="24"/>
              </w:rPr>
            </w:pPr>
          </w:p>
        </w:tc>
        <w:tc>
          <w:tcPr>
            <w:tcW w:w="3095" w:type="dxa"/>
            <w:shd w:val="clear" w:color="auto" w:fill="C6D9F1" w:themeFill="text2" w:themeFillTint="33"/>
          </w:tcPr>
          <w:p w:rsidR="00500553" w:rsidRDefault="00500553">
            <w:pPr>
              <w:spacing w:line="276" w:lineRule="auto"/>
              <w:rPr>
                <w:rFonts w:ascii="Times New Roman" w:hAnsi="Times New Roman" w:cs="Times New Roman"/>
                <w:noProof/>
                <w:sz w:val="20"/>
                <w:szCs w:val="24"/>
              </w:rPr>
            </w:pP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Grants for transport and related logistics, inside the Union</w:t>
            </w:r>
          </w:p>
          <w:p w:rsidR="00500553" w:rsidRDefault="00500553">
            <w:pPr>
              <w:spacing w:line="276" w:lineRule="auto"/>
              <w:rPr>
                <w:rFonts w:ascii="Times New Roman" w:hAnsi="Times New Roman" w:cs="Times New Roman"/>
                <w:noProof/>
                <w:sz w:val="20"/>
                <w:szCs w:val="24"/>
              </w:rPr>
            </w:pPr>
          </w:p>
        </w:tc>
      </w:tr>
      <w:tr w:rsidR="00500553">
        <w:tc>
          <w:tcPr>
            <w:tcW w:w="3098" w:type="dxa"/>
            <w:shd w:val="clear" w:color="auto" w:fill="F2DBDB" w:themeFill="accent2" w:themeFillTint="33"/>
          </w:tcPr>
          <w:p w:rsidR="00500553" w:rsidRDefault="00500553">
            <w:pPr>
              <w:spacing w:line="276" w:lineRule="auto"/>
              <w:rPr>
                <w:rFonts w:ascii="Times New Roman" w:hAnsi="Times New Roman" w:cs="Times New Roman"/>
                <w:noProof/>
                <w:sz w:val="20"/>
                <w:szCs w:val="24"/>
              </w:rPr>
            </w:pPr>
          </w:p>
          <w:p w:rsidR="00500553" w:rsidRDefault="00500553">
            <w:pPr>
              <w:spacing w:line="276" w:lineRule="auto"/>
              <w:rPr>
                <w:rFonts w:ascii="Times New Roman" w:hAnsi="Times New Roman" w:cs="Times New Roman"/>
                <w:noProof/>
                <w:sz w:val="20"/>
                <w:szCs w:val="24"/>
              </w:rPr>
            </w:pP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EU overview of risks</w:t>
            </w:r>
          </w:p>
          <w:p w:rsidR="00500553" w:rsidRDefault="00500553">
            <w:pPr>
              <w:spacing w:line="276" w:lineRule="auto"/>
              <w:rPr>
                <w:rFonts w:ascii="Times New Roman" w:hAnsi="Times New Roman" w:cs="Times New Roman"/>
                <w:noProof/>
                <w:sz w:val="20"/>
                <w:szCs w:val="24"/>
              </w:rPr>
            </w:pPr>
          </w:p>
        </w:tc>
        <w:tc>
          <w:tcPr>
            <w:tcW w:w="3095" w:type="dxa"/>
            <w:shd w:val="clear" w:color="auto" w:fill="DBF5D9"/>
          </w:tcPr>
          <w:p w:rsidR="00500553" w:rsidRDefault="00500553">
            <w:pPr>
              <w:tabs>
                <w:tab w:val="left" w:pos="2113"/>
              </w:tabs>
              <w:spacing w:line="276" w:lineRule="auto"/>
              <w:rPr>
                <w:rFonts w:ascii="Times New Roman" w:hAnsi="Times New Roman" w:cs="Times New Roman"/>
                <w:noProof/>
                <w:sz w:val="20"/>
                <w:szCs w:val="24"/>
              </w:rPr>
            </w:pPr>
          </w:p>
          <w:p w:rsidR="00500553" w:rsidRDefault="00500553">
            <w:pPr>
              <w:tabs>
                <w:tab w:val="left" w:pos="2113"/>
              </w:tabs>
              <w:spacing w:line="276" w:lineRule="auto"/>
              <w:rPr>
                <w:rFonts w:ascii="Times New Roman" w:hAnsi="Times New Roman" w:cs="Times New Roman"/>
                <w:noProof/>
                <w:sz w:val="20"/>
                <w:szCs w:val="24"/>
              </w:rPr>
            </w:pPr>
          </w:p>
          <w:p w:rsidR="00500553" w:rsidRDefault="00D978F2">
            <w:pPr>
              <w:tabs>
                <w:tab w:val="left" w:pos="2113"/>
              </w:tabs>
              <w:spacing w:line="276" w:lineRule="auto"/>
              <w:rPr>
                <w:rFonts w:ascii="Times New Roman" w:hAnsi="Times New Roman" w:cs="Times New Roman"/>
                <w:noProof/>
                <w:sz w:val="20"/>
                <w:szCs w:val="24"/>
              </w:rPr>
            </w:pPr>
            <w:r>
              <w:rPr>
                <w:rFonts w:ascii="Times New Roman" w:hAnsi="Times New Roman" w:cs="Times New Roman"/>
                <w:noProof/>
                <w:sz w:val="20"/>
                <w:szCs w:val="24"/>
              </w:rPr>
              <w:t>Early warning and analysis</w:t>
            </w:r>
          </w:p>
          <w:p w:rsidR="00500553" w:rsidRDefault="00500553">
            <w:pPr>
              <w:tabs>
                <w:tab w:val="left" w:pos="2113"/>
              </w:tabs>
              <w:spacing w:line="276" w:lineRule="auto"/>
              <w:rPr>
                <w:rFonts w:ascii="Times New Roman" w:hAnsi="Times New Roman" w:cs="Times New Roman"/>
                <w:noProof/>
                <w:sz w:val="20"/>
                <w:szCs w:val="24"/>
              </w:rPr>
            </w:pPr>
          </w:p>
        </w:tc>
        <w:tc>
          <w:tcPr>
            <w:tcW w:w="3095" w:type="dxa"/>
            <w:shd w:val="clear" w:color="auto" w:fill="C6D9F1" w:themeFill="text2" w:themeFillTint="33"/>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 xml:space="preserve">Grants for procurement, </w:t>
            </w:r>
            <w:r>
              <w:rPr>
                <w:rFonts w:ascii="Times New Roman" w:hAnsi="Times New Roman" w:cs="Times New Roman"/>
                <w:noProof/>
                <w:sz w:val="20"/>
                <w:szCs w:val="24"/>
              </w:rPr>
              <w:t>inside the Union:</w:t>
            </w: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(1) Dispatching expertise</w:t>
            </w: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(2) Transport and related logistics</w:t>
            </w:r>
          </w:p>
          <w:p w:rsidR="00500553" w:rsidRDefault="00500553">
            <w:pPr>
              <w:spacing w:line="276" w:lineRule="auto"/>
              <w:rPr>
                <w:rFonts w:ascii="Times New Roman" w:hAnsi="Times New Roman" w:cs="Times New Roman"/>
                <w:noProof/>
                <w:sz w:val="20"/>
                <w:szCs w:val="24"/>
              </w:rPr>
            </w:pPr>
          </w:p>
        </w:tc>
      </w:tr>
      <w:tr w:rsidR="00500553">
        <w:tc>
          <w:tcPr>
            <w:tcW w:w="3098" w:type="dxa"/>
            <w:shd w:val="clear" w:color="auto" w:fill="F2DBDB" w:themeFill="accent2" w:themeFillTint="33"/>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Prevention projects</w:t>
            </w:r>
          </w:p>
        </w:tc>
        <w:tc>
          <w:tcPr>
            <w:tcW w:w="3095" w:type="dxa"/>
            <w:shd w:val="clear" w:color="auto" w:fill="DBF5D9"/>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Preparedness projects</w:t>
            </w:r>
          </w:p>
        </w:tc>
        <w:tc>
          <w:tcPr>
            <w:tcW w:w="3095" w:type="dxa"/>
            <w:shd w:val="clear" w:color="auto" w:fill="C6D9F1" w:themeFill="text2" w:themeFillTint="33"/>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Grants for transport and related logistics, outside the Union</w:t>
            </w:r>
          </w:p>
        </w:tc>
      </w:tr>
      <w:tr w:rsidR="00500553">
        <w:trPr>
          <w:trHeight w:val="312"/>
        </w:trPr>
        <w:tc>
          <w:tcPr>
            <w:tcW w:w="3098" w:type="dxa"/>
            <w:vMerge w:val="restart"/>
          </w:tcPr>
          <w:p w:rsidR="00500553" w:rsidRDefault="00500553">
            <w:pPr>
              <w:spacing w:line="276" w:lineRule="auto"/>
              <w:jc w:val="both"/>
              <w:rPr>
                <w:rFonts w:ascii="Times New Roman" w:hAnsi="Times New Roman" w:cs="Times New Roman"/>
                <w:noProof/>
                <w:sz w:val="20"/>
                <w:szCs w:val="24"/>
              </w:rPr>
            </w:pPr>
          </w:p>
        </w:tc>
        <w:tc>
          <w:tcPr>
            <w:tcW w:w="3095" w:type="dxa"/>
            <w:shd w:val="clear" w:color="auto" w:fill="DBF5D9"/>
          </w:tcPr>
          <w:p w:rsidR="00500553" w:rsidRDefault="00500553">
            <w:pPr>
              <w:spacing w:line="276" w:lineRule="auto"/>
              <w:rPr>
                <w:rFonts w:ascii="Times New Roman" w:hAnsi="Times New Roman" w:cs="Times New Roman"/>
                <w:noProof/>
                <w:sz w:val="20"/>
                <w:szCs w:val="24"/>
              </w:rPr>
            </w:pPr>
          </w:p>
          <w:p w:rsidR="00500553" w:rsidRDefault="00500553">
            <w:pPr>
              <w:spacing w:line="276" w:lineRule="auto"/>
              <w:rPr>
                <w:rFonts w:ascii="Times New Roman" w:hAnsi="Times New Roman" w:cs="Times New Roman"/>
                <w:noProof/>
                <w:sz w:val="20"/>
                <w:szCs w:val="24"/>
              </w:rPr>
            </w:pP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Training</w:t>
            </w:r>
          </w:p>
          <w:p w:rsidR="00500553" w:rsidRDefault="00500553">
            <w:pPr>
              <w:spacing w:line="276" w:lineRule="auto"/>
              <w:rPr>
                <w:rFonts w:ascii="Times New Roman" w:hAnsi="Times New Roman" w:cs="Times New Roman"/>
                <w:noProof/>
                <w:sz w:val="20"/>
                <w:szCs w:val="24"/>
              </w:rPr>
            </w:pPr>
          </w:p>
        </w:tc>
        <w:tc>
          <w:tcPr>
            <w:tcW w:w="3095" w:type="dxa"/>
            <w:shd w:val="clear" w:color="auto" w:fill="C6D9F1" w:themeFill="text2" w:themeFillTint="33"/>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Grants for procurement, inside the Union:</w:t>
            </w: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 xml:space="preserve">(1) </w:t>
            </w:r>
            <w:r>
              <w:rPr>
                <w:rFonts w:ascii="Times New Roman" w:hAnsi="Times New Roman" w:cs="Times New Roman"/>
                <w:noProof/>
                <w:sz w:val="20"/>
                <w:szCs w:val="24"/>
              </w:rPr>
              <w:t>Dispatching expertise</w:t>
            </w:r>
          </w:p>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(2) Transport and related logistics</w:t>
            </w:r>
          </w:p>
        </w:tc>
      </w:tr>
      <w:tr w:rsidR="00500553">
        <w:tc>
          <w:tcPr>
            <w:tcW w:w="3098" w:type="dxa"/>
            <w:vMerge/>
          </w:tcPr>
          <w:p w:rsidR="00500553" w:rsidRDefault="00500553">
            <w:pPr>
              <w:spacing w:line="276" w:lineRule="auto"/>
              <w:jc w:val="both"/>
              <w:rPr>
                <w:rFonts w:ascii="Times New Roman" w:hAnsi="Times New Roman" w:cs="Times New Roman"/>
                <w:noProof/>
                <w:sz w:val="20"/>
                <w:szCs w:val="24"/>
              </w:rPr>
            </w:pPr>
          </w:p>
        </w:tc>
        <w:tc>
          <w:tcPr>
            <w:tcW w:w="3095" w:type="dxa"/>
            <w:shd w:val="clear" w:color="auto" w:fill="DBF5D9"/>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Training Network</w:t>
            </w:r>
          </w:p>
        </w:tc>
        <w:tc>
          <w:tcPr>
            <w:tcW w:w="3095" w:type="dxa"/>
            <w:vMerge w:val="restart"/>
          </w:tcPr>
          <w:p w:rsidR="00500553" w:rsidRDefault="00500553">
            <w:pPr>
              <w:spacing w:line="276" w:lineRule="auto"/>
              <w:jc w:val="both"/>
              <w:rPr>
                <w:rFonts w:ascii="Times New Roman" w:hAnsi="Times New Roman" w:cs="Times New Roman"/>
                <w:noProof/>
                <w:sz w:val="20"/>
                <w:szCs w:val="24"/>
              </w:rPr>
            </w:pPr>
          </w:p>
        </w:tc>
      </w:tr>
      <w:tr w:rsidR="00500553">
        <w:tc>
          <w:tcPr>
            <w:tcW w:w="3098" w:type="dxa"/>
            <w:vMerge/>
          </w:tcPr>
          <w:p w:rsidR="00500553" w:rsidRDefault="00500553">
            <w:pPr>
              <w:spacing w:line="276" w:lineRule="auto"/>
              <w:jc w:val="both"/>
              <w:rPr>
                <w:rFonts w:ascii="Times New Roman" w:hAnsi="Times New Roman" w:cs="Times New Roman"/>
                <w:noProof/>
                <w:sz w:val="20"/>
                <w:szCs w:val="24"/>
              </w:rPr>
            </w:pPr>
          </w:p>
        </w:tc>
        <w:tc>
          <w:tcPr>
            <w:tcW w:w="3095" w:type="dxa"/>
            <w:shd w:val="clear" w:color="auto" w:fill="DBF5D9"/>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Civil Protection Mechanism Exercises</w:t>
            </w:r>
          </w:p>
        </w:tc>
        <w:tc>
          <w:tcPr>
            <w:tcW w:w="3095" w:type="dxa"/>
            <w:vMerge/>
          </w:tcPr>
          <w:p w:rsidR="00500553" w:rsidRDefault="00500553">
            <w:pPr>
              <w:spacing w:line="276" w:lineRule="auto"/>
              <w:jc w:val="both"/>
              <w:rPr>
                <w:rFonts w:ascii="Times New Roman" w:hAnsi="Times New Roman" w:cs="Times New Roman"/>
                <w:noProof/>
                <w:sz w:val="20"/>
                <w:szCs w:val="24"/>
              </w:rPr>
            </w:pPr>
          </w:p>
        </w:tc>
      </w:tr>
      <w:tr w:rsidR="00500553">
        <w:tc>
          <w:tcPr>
            <w:tcW w:w="3098" w:type="dxa"/>
            <w:vMerge/>
          </w:tcPr>
          <w:p w:rsidR="00500553" w:rsidRDefault="00500553">
            <w:pPr>
              <w:spacing w:line="276" w:lineRule="auto"/>
              <w:jc w:val="both"/>
              <w:rPr>
                <w:rFonts w:ascii="Times New Roman" w:hAnsi="Times New Roman" w:cs="Times New Roman"/>
                <w:noProof/>
                <w:sz w:val="20"/>
                <w:szCs w:val="24"/>
              </w:rPr>
            </w:pPr>
          </w:p>
        </w:tc>
        <w:tc>
          <w:tcPr>
            <w:tcW w:w="3095" w:type="dxa"/>
            <w:shd w:val="clear" w:color="auto" w:fill="DBF5D9"/>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Exercises on civil protection modules, technical assistance and support teams and EU Civil Protection Teams (EUCPT)</w:t>
            </w:r>
          </w:p>
        </w:tc>
        <w:tc>
          <w:tcPr>
            <w:tcW w:w="3095" w:type="dxa"/>
            <w:vMerge/>
          </w:tcPr>
          <w:p w:rsidR="00500553" w:rsidRDefault="00500553">
            <w:pPr>
              <w:spacing w:line="276" w:lineRule="auto"/>
              <w:jc w:val="both"/>
              <w:rPr>
                <w:rFonts w:ascii="Times New Roman" w:hAnsi="Times New Roman" w:cs="Times New Roman"/>
                <w:noProof/>
                <w:sz w:val="20"/>
                <w:szCs w:val="24"/>
              </w:rPr>
            </w:pPr>
          </w:p>
        </w:tc>
      </w:tr>
      <w:tr w:rsidR="00500553">
        <w:tc>
          <w:tcPr>
            <w:tcW w:w="3098" w:type="dxa"/>
            <w:vMerge/>
          </w:tcPr>
          <w:p w:rsidR="00500553" w:rsidRDefault="00500553">
            <w:pPr>
              <w:spacing w:line="276" w:lineRule="auto"/>
              <w:jc w:val="both"/>
              <w:rPr>
                <w:rFonts w:ascii="Times New Roman" w:hAnsi="Times New Roman" w:cs="Times New Roman"/>
                <w:noProof/>
                <w:sz w:val="20"/>
                <w:szCs w:val="24"/>
              </w:rPr>
            </w:pPr>
          </w:p>
        </w:tc>
        <w:tc>
          <w:tcPr>
            <w:tcW w:w="3095" w:type="dxa"/>
            <w:shd w:val="clear" w:color="auto" w:fill="DBF5D9"/>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 xml:space="preserve">The European </w:t>
            </w:r>
            <w:r>
              <w:rPr>
                <w:rFonts w:ascii="Times New Roman" w:hAnsi="Times New Roman" w:cs="Times New Roman"/>
                <w:noProof/>
                <w:sz w:val="20"/>
                <w:szCs w:val="24"/>
              </w:rPr>
              <w:t>Emergency Response Capacity (EERC) Voluntary Pool</w:t>
            </w:r>
          </w:p>
        </w:tc>
        <w:tc>
          <w:tcPr>
            <w:tcW w:w="3095" w:type="dxa"/>
            <w:vMerge/>
          </w:tcPr>
          <w:p w:rsidR="00500553" w:rsidRDefault="00500553">
            <w:pPr>
              <w:spacing w:line="276" w:lineRule="auto"/>
              <w:jc w:val="both"/>
              <w:rPr>
                <w:rFonts w:ascii="Times New Roman" w:hAnsi="Times New Roman" w:cs="Times New Roman"/>
                <w:noProof/>
                <w:sz w:val="20"/>
                <w:szCs w:val="24"/>
              </w:rPr>
            </w:pPr>
          </w:p>
        </w:tc>
      </w:tr>
      <w:tr w:rsidR="00500553">
        <w:tc>
          <w:tcPr>
            <w:tcW w:w="3098" w:type="dxa"/>
            <w:vMerge/>
          </w:tcPr>
          <w:p w:rsidR="00500553" w:rsidRDefault="00500553">
            <w:pPr>
              <w:spacing w:line="276" w:lineRule="auto"/>
              <w:jc w:val="both"/>
              <w:rPr>
                <w:rFonts w:ascii="Times New Roman" w:hAnsi="Times New Roman" w:cs="Times New Roman"/>
                <w:noProof/>
                <w:sz w:val="20"/>
                <w:szCs w:val="24"/>
              </w:rPr>
            </w:pPr>
          </w:p>
        </w:tc>
        <w:tc>
          <w:tcPr>
            <w:tcW w:w="3095" w:type="dxa"/>
            <w:shd w:val="clear" w:color="auto" w:fill="DBF5D9"/>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Maintenance and further development of the Common Emergency Communication and Information System (CECIS)</w:t>
            </w:r>
          </w:p>
        </w:tc>
        <w:tc>
          <w:tcPr>
            <w:tcW w:w="3095" w:type="dxa"/>
            <w:vMerge/>
          </w:tcPr>
          <w:p w:rsidR="00500553" w:rsidRDefault="00500553">
            <w:pPr>
              <w:spacing w:line="276" w:lineRule="auto"/>
              <w:jc w:val="both"/>
              <w:rPr>
                <w:rFonts w:ascii="Times New Roman" w:hAnsi="Times New Roman" w:cs="Times New Roman"/>
                <w:noProof/>
                <w:sz w:val="20"/>
                <w:szCs w:val="24"/>
              </w:rPr>
            </w:pPr>
          </w:p>
        </w:tc>
      </w:tr>
      <w:tr w:rsidR="00500553">
        <w:tc>
          <w:tcPr>
            <w:tcW w:w="3098" w:type="dxa"/>
            <w:vMerge/>
          </w:tcPr>
          <w:p w:rsidR="00500553" w:rsidRDefault="00500553">
            <w:pPr>
              <w:spacing w:line="276" w:lineRule="auto"/>
              <w:jc w:val="both"/>
              <w:rPr>
                <w:rFonts w:ascii="Times New Roman" w:hAnsi="Times New Roman" w:cs="Times New Roman"/>
                <w:noProof/>
                <w:sz w:val="20"/>
                <w:szCs w:val="24"/>
              </w:rPr>
            </w:pPr>
          </w:p>
        </w:tc>
        <w:tc>
          <w:tcPr>
            <w:tcW w:w="3095" w:type="dxa"/>
            <w:shd w:val="clear" w:color="auto" w:fill="DBF5D9"/>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rPr>
              <w:t>Addressing temporary shortcomings</w:t>
            </w:r>
          </w:p>
        </w:tc>
        <w:tc>
          <w:tcPr>
            <w:tcW w:w="3095" w:type="dxa"/>
            <w:vMerge/>
          </w:tcPr>
          <w:p w:rsidR="00500553" w:rsidRDefault="00500553">
            <w:pPr>
              <w:spacing w:line="276" w:lineRule="auto"/>
              <w:jc w:val="both"/>
              <w:rPr>
                <w:rFonts w:ascii="Times New Roman" w:hAnsi="Times New Roman" w:cs="Times New Roman"/>
                <w:noProof/>
                <w:sz w:val="20"/>
                <w:szCs w:val="24"/>
              </w:rPr>
            </w:pPr>
          </w:p>
        </w:tc>
      </w:tr>
      <w:tr w:rsidR="00500553">
        <w:trPr>
          <w:trHeight w:val="120"/>
        </w:trPr>
        <w:tc>
          <w:tcPr>
            <w:tcW w:w="6193" w:type="dxa"/>
            <w:gridSpan w:val="2"/>
            <w:shd w:val="clear" w:color="auto" w:fill="F2DBDB"/>
          </w:tcPr>
          <w:p w:rsidR="00500553" w:rsidRDefault="00D978F2">
            <w:pPr>
              <w:spacing w:line="276" w:lineRule="auto"/>
              <w:rPr>
                <w:rFonts w:ascii="Times New Roman" w:hAnsi="Times New Roman" w:cs="Times New Roman"/>
                <w:noProof/>
                <w:sz w:val="20"/>
                <w:szCs w:val="24"/>
              </w:rPr>
            </w:pPr>
            <w:r>
              <w:rPr>
                <w:rFonts w:ascii="Times New Roman" w:hAnsi="Times New Roman" w:cs="Times New Roman"/>
                <w:noProof/>
                <w:sz w:val="20"/>
                <w:szCs w:val="24"/>
                <w:lang w:eastAsia="en-GB"/>
              </w:rPr>
              <mc:AlternateContent>
                <mc:Choice Requires="wps">
                  <w:drawing>
                    <wp:anchor distT="0" distB="0" distL="114300" distR="114300" simplePos="0" relativeHeight="251687936" behindDoc="0" locked="0" layoutInCell="1" allowOverlap="1">
                      <wp:simplePos x="0" y="0"/>
                      <wp:positionH relativeFrom="column">
                        <wp:posOffset>-109220</wp:posOffset>
                      </wp:positionH>
                      <wp:positionV relativeFrom="paragraph">
                        <wp:posOffset>31115</wp:posOffset>
                      </wp:positionV>
                      <wp:extent cx="3928110" cy="4000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400050"/>
                              </a:xfrm>
                              <a:prstGeom prst="rect">
                                <a:avLst/>
                              </a:prstGeom>
                              <a:noFill/>
                              <a:ln w="9525">
                                <a:noFill/>
                                <a:miter lim="800000"/>
                                <a:headEnd/>
                                <a:tailEnd/>
                              </a:ln>
                            </wps:spPr>
                            <wps:txbx>
                              <w:txbxContent>
                                <w:p w:rsidR="00500553" w:rsidRDefault="00D978F2">
                                  <w:pPr>
                                    <w:spacing w:after="0" w:line="240" w:lineRule="auto"/>
                                    <w:jc w:val="center"/>
                                    <w:rPr>
                                      <w:rFonts w:ascii="Times New Roman" w:hAnsi="Times New Roman" w:cs="Times New Roman"/>
                                    </w:rPr>
                                  </w:pPr>
                                  <w:r>
                                    <w:rPr>
                                      <w:rFonts w:ascii="Times" w:hAnsi="Times"/>
                                      <w:szCs w:val="18"/>
                                    </w:rPr>
                                    <w:t>Exchange of experts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6pt;margin-top:2.45pt;width:309.3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" filled="f" stroked="f">
                      <v:textbox>
                        <w:txbxContent>
                          <w:p>
                            <w:pPr>
                              <w:spacing w:after="0" w:line="240" w:lineRule="auto"/>
                              <w:jc w:val="center"/>
                              <w:rPr>
                                <w:rFonts w:ascii="Times New Roman" w:hAnsi="Times New Roman" w:cs="Times New Roman"/>
                              </w:rPr>
                            </w:pPr>
                            <w:r>
                              <w:rPr>
                                <w:rFonts w:ascii="Times" w:hAnsi="Times"/>
                                <w:szCs w:val="18"/>
                              </w:rPr>
                              <w:t>Exchange of experts Programme</w:t>
                            </w:r>
                          </w:p>
                        </w:txbxContent>
                      </v:textbox>
                    </v:shape>
                  </w:pict>
                </mc:Fallback>
              </mc:AlternateContent>
            </w:r>
          </w:p>
        </w:tc>
        <w:tc>
          <w:tcPr>
            <w:tcW w:w="3095" w:type="dxa"/>
            <w:vMerge/>
          </w:tcPr>
          <w:p w:rsidR="00500553" w:rsidRDefault="00500553">
            <w:pPr>
              <w:spacing w:line="276" w:lineRule="auto"/>
              <w:jc w:val="both"/>
              <w:rPr>
                <w:rFonts w:ascii="Times New Roman" w:hAnsi="Times New Roman" w:cs="Times New Roman"/>
                <w:noProof/>
                <w:sz w:val="20"/>
                <w:szCs w:val="24"/>
              </w:rPr>
            </w:pPr>
          </w:p>
        </w:tc>
      </w:tr>
      <w:tr w:rsidR="00500553">
        <w:trPr>
          <w:trHeight w:val="150"/>
        </w:trPr>
        <w:tc>
          <w:tcPr>
            <w:tcW w:w="6193" w:type="dxa"/>
            <w:gridSpan w:val="2"/>
            <w:shd w:val="clear" w:color="auto" w:fill="DBF5D9"/>
          </w:tcPr>
          <w:p w:rsidR="00500553" w:rsidRDefault="00500553">
            <w:pPr>
              <w:spacing w:line="276" w:lineRule="auto"/>
              <w:jc w:val="center"/>
              <w:rPr>
                <w:rFonts w:ascii="Times New Roman" w:hAnsi="Times New Roman" w:cs="Times New Roman"/>
                <w:noProof/>
                <w:sz w:val="20"/>
                <w:szCs w:val="24"/>
              </w:rPr>
            </w:pPr>
          </w:p>
        </w:tc>
        <w:tc>
          <w:tcPr>
            <w:tcW w:w="3095" w:type="dxa"/>
            <w:vMerge/>
          </w:tcPr>
          <w:p w:rsidR="00500553" w:rsidRDefault="00500553">
            <w:pPr>
              <w:spacing w:line="276" w:lineRule="auto"/>
              <w:jc w:val="both"/>
              <w:rPr>
                <w:rFonts w:ascii="Times New Roman" w:hAnsi="Times New Roman" w:cs="Times New Roman"/>
                <w:noProof/>
                <w:sz w:val="20"/>
                <w:szCs w:val="24"/>
              </w:rPr>
            </w:pPr>
          </w:p>
        </w:tc>
      </w:tr>
      <w:tr w:rsidR="00500553">
        <w:trPr>
          <w:trHeight w:val="84"/>
        </w:trPr>
        <w:tc>
          <w:tcPr>
            <w:tcW w:w="9288" w:type="dxa"/>
            <w:gridSpan w:val="3"/>
            <w:shd w:val="clear" w:color="auto" w:fill="F2DBDB" w:themeFill="accent2" w:themeFillTint="33"/>
          </w:tcPr>
          <w:p w:rsidR="00500553" w:rsidRDefault="00D978F2">
            <w:pPr>
              <w:spacing w:line="276" w:lineRule="auto"/>
              <w:jc w:val="center"/>
              <w:rPr>
                <w:rFonts w:ascii="Times New Roman" w:hAnsi="Times New Roman" w:cs="Times New Roman"/>
                <w:noProof/>
                <w:sz w:val="20"/>
                <w:szCs w:val="24"/>
              </w:rPr>
            </w:pPr>
            <w:r>
              <w:rPr>
                <w:rFonts w:ascii="Times New Roman" w:eastAsiaTheme="majorEastAsia" w:hAnsi="Times New Roman" w:cs="Times New Roman"/>
                <w:b/>
                <w:bCs/>
                <w:noProof/>
                <w:sz w:val="20"/>
                <w:szCs w:val="24"/>
                <w:lang w:eastAsia="en-GB"/>
              </w:rPr>
              <mc:AlternateContent>
                <mc:Choice Requires="wps">
                  <w:drawing>
                    <wp:anchor distT="0" distB="0" distL="114300" distR="114300" simplePos="0" relativeHeight="251681792" behindDoc="0" locked="0" layoutInCell="1" allowOverlap="1">
                      <wp:simplePos x="0" y="0"/>
                      <wp:positionH relativeFrom="column">
                        <wp:posOffset>411480</wp:posOffset>
                      </wp:positionH>
                      <wp:positionV relativeFrom="paragraph">
                        <wp:posOffset>38100</wp:posOffset>
                      </wp:positionV>
                      <wp:extent cx="4995545" cy="380365"/>
                      <wp:effectExtent l="0" t="0" r="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380365"/>
                              </a:xfrm>
                              <a:prstGeom prst="rect">
                                <a:avLst/>
                              </a:prstGeom>
                              <a:noFill/>
                              <a:ln w="9525">
                                <a:noFill/>
                                <a:miter lim="800000"/>
                                <a:headEnd/>
                                <a:tailEnd/>
                              </a:ln>
                            </wps:spPr>
                            <wps:txbx>
                              <w:txbxContent>
                                <w:p w:rsidR="00500553" w:rsidRDefault="00D978F2">
                                  <w:pPr>
                                    <w:jc w:val="center"/>
                                    <w:rPr>
                                      <w:rFonts w:ascii="Times New Roman" w:hAnsi="Times New Roman" w:cs="Times New Roman"/>
                                      <w:sz w:val="40"/>
                                      <w:szCs w:val="18"/>
                                    </w:rPr>
                                  </w:pPr>
                                  <w:r>
                                    <w:rPr>
                                      <w:rFonts w:ascii="Times New Roman" w:hAnsi="Times New Roman" w:cs="Times New Roman"/>
                                      <w:sz w:val="40"/>
                                      <w:szCs w:val="18"/>
                                    </w:rPr>
                                    <w:t xml:space="preserve">Lessons Learned </w:t>
                                  </w:r>
                                  <w:r>
                                    <w:rPr>
                                      <w:rFonts w:ascii="Times New Roman" w:hAnsi="Times New Roman" w:cs="Times New Roman"/>
                                      <w:sz w:val="40"/>
                                      <w:szCs w:val="18"/>
                                    </w:rPr>
                                    <w:t>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2.4pt;margin-top:3pt;width:393.35pt;height:2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" filled="f" stroked="f">
                      <v:textbox>
                        <w:txbxContent>
                          <w:p>
                            <w:pPr>
                              <w:jc w:val="center"/>
                              <w:rPr>
                                <w:rFonts w:ascii="Times New Roman" w:hAnsi="Times New Roman" w:cs="Times New Roman"/>
                                <w:sz w:val="40"/>
                                <w:szCs w:val="18"/>
                              </w:rPr>
                            </w:pPr>
                            <w:r>
                              <w:rPr>
                                <w:rFonts w:ascii="Times New Roman" w:hAnsi="Times New Roman" w:cs="Times New Roman"/>
                                <w:sz w:val="40"/>
                                <w:szCs w:val="18"/>
                              </w:rPr>
                              <w:t>Lessons Learned Programme</w:t>
                            </w:r>
                          </w:p>
                        </w:txbxContent>
                      </v:textbox>
                    </v:shape>
                  </w:pict>
                </mc:Fallback>
              </mc:AlternateContent>
            </w:r>
          </w:p>
        </w:tc>
      </w:tr>
      <w:tr w:rsidR="00500553">
        <w:trPr>
          <w:trHeight w:val="66"/>
        </w:trPr>
        <w:tc>
          <w:tcPr>
            <w:tcW w:w="9288" w:type="dxa"/>
            <w:gridSpan w:val="3"/>
            <w:shd w:val="clear" w:color="auto" w:fill="DBF5D9"/>
          </w:tcPr>
          <w:p w:rsidR="00500553" w:rsidRDefault="00500553">
            <w:pPr>
              <w:spacing w:line="276" w:lineRule="auto"/>
              <w:jc w:val="center"/>
              <w:rPr>
                <w:rFonts w:ascii="Times New Roman" w:hAnsi="Times New Roman" w:cs="Times New Roman"/>
                <w:noProof/>
                <w:sz w:val="20"/>
                <w:szCs w:val="24"/>
              </w:rPr>
            </w:pPr>
          </w:p>
        </w:tc>
      </w:tr>
      <w:tr w:rsidR="00500553">
        <w:trPr>
          <w:trHeight w:val="173"/>
        </w:trPr>
        <w:tc>
          <w:tcPr>
            <w:tcW w:w="9288" w:type="dxa"/>
            <w:gridSpan w:val="3"/>
            <w:shd w:val="clear" w:color="auto" w:fill="C6D9F1" w:themeFill="text2" w:themeFillTint="33"/>
          </w:tcPr>
          <w:p w:rsidR="00500553" w:rsidRDefault="00D978F2">
            <w:pPr>
              <w:spacing w:line="276" w:lineRule="auto"/>
              <w:jc w:val="center"/>
              <w:rPr>
                <w:rFonts w:ascii="Times New Roman" w:hAnsi="Times New Roman" w:cs="Times New Roman"/>
                <w:noProof/>
                <w:sz w:val="20"/>
                <w:szCs w:val="24"/>
              </w:rPr>
            </w:pPr>
            <w:r>
              <w:rPr>
                <w:rFonts w:ascii="Times New Roman" w:hAnsi="Times New Roman" w:cs="Times New Roman"/>
                <w:noProof/>
                <w:sz w:val="20"/>
                <w:szCs w:val="24"/>
                <w:lang w:eastAsia="en-GB"/>
              </w:rPr>
              <mc:AlternateContent>
                <mc:Choice Requires="wps">
                  <w:drawing>
                    <wp:anchor distT="0" distB="0" distL="114300" distR="114300" simplePos="0" relativeHeight="251682816" behindDoc="0" locked="0" layoutInCell="1" allowOverlap="1">
                      <wp:simplePos x="0" y="0"/>
                      <wp:positionH relativeFrom="column">
                        <wp:posOffset>-61595</wp:posOffset>
                      </wp:positionH>
                      <wp:positionV relativeFrom="paragraph">
                        <wp:posOffset>150495</wp:posOffset>
                      </wp:positionV>
                      <wp:extent cx="3928110" cy="4000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400050"/>
                              </a:xfrm>
                              <a:prstGeom prst="rect">
                                <a:avLst/>
                              </a:prstGeom>
                              <a:noFill/>
                              <a:ln w="9525">
                                <a:noFill/>
                                <a:miter lim="800000"/>
                                <a:headEnd/>
                                <a:tailEnd/>
                              </a:ln>
                            </wps:spPr>
                            <wps:txbx>
                              <w:txbxContent>
                                <w:p w:rsidR="00500553" w:rsidRDefault="00D978F2">
                                  <w:pPr>
                                    <w:spacing w:after="0" w:line="240" w:lineRule="auto"/>
                                    <w:jc w:val="center"/>
                                    <w:rPr>
                                      <w:rFonts w:ascii="Times New Roman" w:hAnsi="Times New Roman" w:cs="Times New Roman"/>
                                    </w:rPr>
                                  </w:pPr>
                                  <w:r>
                                    <w:rPr>
                                      <w:rFonts w:ascii="Times" w:hAnsi="Times"/>
                                      <w:szCs w:val="18"/>
                                    </w:rPr>
                                    <w:t>Advisory</w:t>
                                  </w:r>
                                  <w:r>
                                    <w:rPr>
                                      <w:rFonts w:ascii="Times New Roman" w:hAnsi="Times New Roman" w:cs="Times New Roman"/>
                                    </w:rPr>
                                    <w:t xml:space="preserve"> missions for prevention and preparedness in and outside the Union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5pt;margin-top:11.85pt;width:309.3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" filled="f" stroked="f">
                      <v:textbox>
                        <w:txbxContent>
                          <w:p>
                            <w:pPr>
                              <w:spacing w:after="0" w:line="240" w:lineRule="auto"/>
                              <w:jc w:val="center"/>
                              <w:rPr>
                                <w:rFonts w:ascii="Times New Roman" w:hAnsi="Times New Roman" w:cs="Times New Roman"/>
                              </w:rPr>
                            </w:pPr>
                            <w:r>
                              <w:rPr>
                                <w:rFonts w:ascii="Times" w:hAnsi="Times"/>
                                <w:szCs w:val="18"/>
                              </w:rPr>
                              <w:t>Advisory</w:t>
                            </w:r>
                            <w:r>
                              <w:rPr>
                                <w:rFonts w:ascii="Times New Roman" w:hAnsi="Times New Roman" w:cs="Times New Roman"/>
                              </w:rPr>
                              <w:t xml:space="preserve"> missions for prevention and preparedness in and outside the Union</w:t>
                            </w:r>
                          </w:p>
                        </w:txbxContent>
                      </v:textbox>
                    </v:shape>
                  </w:pict>
                </mc:Fallback>
              </mc:AlternateContent>
            </w:r>
          </w:p>
        </w:tc>
      </w:tr>
      <w:tr w:rsidR="00500553">
        <w:trPr>
          <w:trHeight w:val="150"/>
        </w:trPr>
        <w:tc>
          <w:tcPr>
            <w:tcW w:w="6193" w:type="dxa"/>
            <w:gridSpan w:val="2"/>
            <w:shd w:val="clear" w:color="auto" w:fill="F2DBDB" w:themeFill="accent2" w:themeFillTint="33"/>
          </w:tcPr>
          <w:p w:rsidR="00500553" w:rsidRDefault="00500553">
            <w:pPr>
              <w:spacing w:line="276" w:lineRule="auto"/>
              <w:jc w:val="both"/>
              <w:rPr>
                <w:rFonts w:ascii="Times New Roman" w:hAnsi="Times New Roman" w:cs="Times New Roman"/>
                <w:noProof/>
                <w:sz w:val="20"/>
                <w:szCs w:val="24"/>
              </w:rPr>
            </w:pPr>
          </w:p>
        </w:tc>
        <w:tc>
          <w:tcPr>
            <w:tcW w:w="3095" w:type="dxa"/>
            <w:vMerge w:val="restart"/>
          </w:tcPr>
          <w:p w:rsidR="00500553" w:rsidRDefault="00500553">
            <w:pPr>
              <w:spacing w:line="276" w:lineRule="auto"/>
              <w:jc w:val="both"/>
              <w:rPr>
                <w:rFonts w:ascii="Times New Roman" w:hAnsi="Times New Roman" w:cs="Times New Roman"/>
                <w:noProof/>
                <w:sz w:val="20"/>
                <w:szCs w:val="24"/>
              </w:rPr>
            </w:pPr>
          </w:p>
        </w:tc>
      </w:tr>
      <w:tr w:rsidR="00500553">
        <w:trPr>
          <w:trHeight w:val="104"/>
        </w:trPr>
        <w:tc>
          <w:tcPr>
            <w:tcW w:w="6193" w:type="dxa"/>
            <w:gridSpan w:val="2"/>
            <w:shd w:val="clear" w:color="auto" w:fill="DBF5D9"/>
          </w:tcPr>
          <w:p w:rsidR="00500553" w:rsidRDefault="00500553">
            <w:pPr>
              <w:spacing w:line="276" w:lineRule="auto"/>
              <w:jc w:val="both"/>
              <w:rPr>
                <w:rFonts w:ascii="Times New Roman" w:hAnsi="Times New Roman" w:cs="Times New Roman"/>
                <w:noProof/>
                <w:sz w:val="20"/>
                <w:szCs w:val="24"/>
              </w:rPr>
            </w:pPr>
          </w:p>
        </w:tc>
        <w:tc>
          <w:tcPr>
            <w:tcW w:w="3095" w:type="dxa"/>
            <w:vMerge/>
            <w:shd w:val="clear" w:color="auto" w:fill="DBF5D9"/>
          </w:tcPr>
          <w:p w:rsidR="00500553" w:rsidRDefault="00500553">
            <w:pPr>
              <w:spacing w:line="276" w:lineRule="auto"/>
              <w:jc w:val="both"/>
              <w:rPr>
                <w:rFonts w:ascii="Times New Roman" w:hAnsi="Times New Roman" w:cs="Times New Roman"/>
                <w:noProof/>
                <w:sz w:val="20"/>
                <w:szCs w:val="24"/>
              </w:rPr>
            </w:pPr>
          </w:p>
        </w:tc>
      </w:tr>
      <w:tr w:rsidR="00500553">
        <w:trPr>
          <w:trHeight w:val="265"/>
        </w:trPr>
        <w:tc>
          <w:tcPr>
            <w:tcW w:w="6193" w:type="dxa"/>
            <w:gridSpan w:val="2"/>
            <w:shd w:val="clear" w:color="auto" w:fill="F2DBDB" w:themeFill="accent2" w:themeFillTint="33"/>
          </w:tcPr>
          <w:p w:rsidR="00500553" w:rsidRDefault="00D978F2">
            <w:pPr>
              <w:spacing w:line="276" w:lineRule="auto"/>
              <w:jc w:val="both"/>
              <w:rPr>
                <w:rFonts w:ascii="Times New Roman" w:hAnsi="Times New Roman" w:cs="Times New Roman"/>
                <w:noProof/>
                <w:sz w:val="20"/>
                <w:szCs w:val="24"/>
              </w:rPr>
            </w:pPr>
            <w:r>
              <w:rPr>
                <w:rFonts w:ascii="Times New Roman" w:hAnsi="Times New Roman" w:cs="Times New Roman"/>
                <w:noProof/>
                <w:sz w:val="20"/>
                <w:szCs w:val="24"/>
                <w:lang w:eastAsia="en-GB"/>
              </w:rPr>
              <mc:AlternateContent>
                <mc:Choice Requires="wps">
                  <w:drawing>
                    <wp:anchor distT="0" distB="0" distL="114300" distR="114300" simplePos="0" relativeHeight="251683840" behindDoc="0" locked="0" layoutInCell="1" allowOverlap="1">
                      <wp:simplePos x="0" y="0"/>
                      <wp:positionH relativeFrom="column">
                        <wp:posOffset>-60325</wp:posOffset>
                      </wp:positionH>
                      <wp:positionV relativeFrom="paragraph">
                        <wp:posOffset>46380</wp:posOffset>
                      </wp:positionV>
                      <wp:extent cx="3928110" cy="2921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292100"/>
                              </a:xfrm>
                              <a:prstGeom prst="rect">
                                <a:avLst/>
                              </a:prstGeom>
                              <a:noFill/>
                              <a:ln w="9525">
                                <a:noFill/>
                                <a:miter lim="800000"/>
                                <a:headEnd/>
                                <a:tailEnd/>
                              </a:ln>
                            </wps:spPr>
                            <wps:txbx>
                              <w:txbxContent>
                                <w:p w:rsidR="00500553" w:rsidRDefault="00D978F2">
                                  <w:pPr>
                                    <w:jc w:val="center"/>
                                    <w:rPr>
                                      <w:rFonts w:ascii="Times New Roman" w:hAnsi="Times New Roman" w:cs="Times New Roman"/>
                                    </w:rPr>
                                  </w:pPr>
                                  <w:r>
                                    <w:rPr>
                                      <w:rFonts w:ascii="Times" w:hAnsi="Times"/>
                                      <w:szCs w:val="18"/>
                                    </w:rPr>
                                    <w:t>Peer reviews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75pt;margin-top:3.65pt;width:309.3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" filled="f" stroked="f">
                      <v:textbox>
                        <w:txbxContent>
                          <w:p>
                            <w:pPr>
                              <w:jc w:val="center"/>
                              <w:rPr>
                                <w:rFonts w:ascii="Times New Roman" w:hAnsi="Times New Roman" w:cs="Times New Roman"/>
                              </w:rPr>
                            </w:pPr>
                            <w:r>
                              <w:rPr>
                                <w:rFonts w:ascii="Times" w:hAnsi="Times"/>
                                <w:szCs w:val="18"/>
                              </w:rPr>
                              <w:t>Peer reviews</w:t>
                            </w:r>
                          </w:p>
                        </w:txbxContent>
                      </v:textbox>
                    </v:shape>
                  </w:pict>
                </mc:Fallback>
              </mc:AlternateContent>
            </w:r>
          </w:p>
        </w:tc>
        <w:tc>
          <w:tcPr>
            <w:tcW w:w="3095" w:type="dxa"/>
            <w:vMerge w:val="restart"/>
          </w:tcPr>
          <w:p w:rsidR="00500553" w:rsidRDefault="00500553">
            <w:pPr>
              <w:spacing w:line="276" w:lineRule="auto"/>
              <w:jc w:val="both"/>
              <w:rPr>
                <w:rFonts w:ascii="Times New Roman" w:hAnsi="Times New Roman" w:cs="Times New Roman"/>
                <w:noProof/>
                <w:sz w:val="20"/>
                <w:szCs w:val="24"/>
              </w:rPr>
            </w:pPr>
          </w:p>
        </w:tc>
      </w:tr>
      <w:tr w:rsidR="00500553">
        <w:trPr>
          <w:trHeight w:val="150"/>
        </w:trPr>
        <w:tc>
          <w:tcPr>
            <w:tcW w:w="6193" w:type="dxa"/>
            <w:gridSpan w:val="2"/>
            <w:shd w:val="clear" w:color="auto" w:fill="DBF5D9"/>
          </w:tcPr>
          <w:p w:rsidR="00500553" w:rsidRDefault="00500553">
            <w:pPr>
              <w:spacing w:line="276" w:lineRule="auto"/>
              <w:jc w:val="both"/>
              <w:rPr>
                <w:rFonts w:ascii="Times New Roman" w:hAnsi="Times New Roman" w:cs="Times New Roman"/>
                <w:noProof/>
                <w:sz w:val="20"/>
                <w:szCs w:val="24"/>
              </w:rPr>
            </w:pPr>
          </w:p>
        </w:tc>
        <w:tc>
          <w:tcPr>
            <w:tcW w:w="3095" w:type="dxa"/>
            <w:vMerge/>
            <w:shd w:val="clear" w:color="auto" w:fill="DBF5D9"/>
          </w:tcPr>
          <w:p w:rsidR="00500553" w:rsidRDefault="00500553">
            <w:pPr>
              <w:spacing w:line="276" w:lineRule="auto"/>
              <w:jc w:val="both"/>
              <w:rPr>
                <w:rFonts w:ascii="Times New Roman" w:hAnsi="Times New Roman" w:cs="Times New Roman"/>
                <w:noProof/>
                <w:sz w:val="20"/>
                <w:szCs w:val="24"/>
              </w:rPr>
            </w:pPr>
          </w:p>
        </w:tc>
      </w:tr>
      <w:tr w:rsidR="00500553">
        <w:trPr>
          <w:trHeight w:val="242"/>
        </w:trPr>
        <w:tc>
          <w:tcPr>
            <w:tcW w:w="6193" w:type="dxa"/>
            <w:gridSpan w:val="2"/>
            <w:shd w:val="clear" w:color="auto" w:fill="F2DBDB" w:themeFill="accent2" w:themeFillTint="33"/>
          </w:tcPr>
          <w:p w:rsidR="00500553" w:rsidRDefault="00D978F2">
            <w:pPr>
              <w:spacing w:line="276" w:lineRule="auto"/>
              <w:jc w:val="both"/>
              <w:rPr>
                <w:rFonts w:ascii="Times New Roman" w:hAnsi="Times New Roman" w:cs="Times New Roman"/>
                <w:noProof/>
                <w:sz w:val="20"/>
                <w:szCs w:val="24"/>
              </w:rPr>
            </w:pPr>
            <w:r>
              <w:rPr>
                <w:rFonts w:ascii="Times New Roman" w:hAnsi="Times New Roman" w:cs="Times New Roman"/>
                <w:noProof/>
                <w:sz w:val="20"/>
                <w:szCs w:val="24"/>
                <w:lang w:eastAsia="en-GB"/>
              </w:rPr>
              <mc:AlternateContent>
                <mc:Choice Requires="wps">
                  <w:drawing>
                    <wp:anchor distT="0" distB="0" distL="114300" distR="114300" simplePos="0" relativeHeight="251684864" behindDoc="0" locked="0" layoutInCell="1" allowOverlap="1">
                      <wp:simplePos x="0" y="0"/>
                      <wp:positionH relativeFrom="column">
                        <wp:posOffset>-60960</wp:posOffset>
                      </wp:positionH>
                      <wp:positionV relativeFrom="paragraph">
                        <wp:posOffset>29898</wp:posOffset>
                      </wp:positionV>
                      <wp:extent cx="3928110" cy="2921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292100"/>
                              </a:xfrm>
                              <a:prstGeom prst="rect">
                                <a:avLst/>
                              </a:prstGeom>
                              <a:noFill/>
                              <a:ln w="9525">
                                <a:noFill/>
                                <a:miter lim="800000"/>
                                <a:headEnd/>
                                <a:tailEnd/>
                              </a:ln>
                            </wps:spPr>
                            <wps:txbx>
                              <w:txbxContent>
                                <w:p w:rsidR="00500553" w:rsidRDefault="00D978F2">
                                  <w:pPr>
                                    <w:jc w:val="center"/>
                                    <w:rPr>
                                      <w:rFonts w:ascii="Times New Roman" w:hAnsi="Times New Roman" w:cs="Times New Roman"/>
                                    </w:rPr>
                                  </w:pPr>
                                  <w:r>
                                    <w:rPr>
                                      <w:rFonts w:ascii="Times" w:hAnsi="Times"/>
                                      <w:szCs w:val="18"/>
                                    </w:rPr>
                                    <w:t>Awareness raising and dissemination of good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8pt;margin-top:2.35pt;width:309.3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" filled="f" stroked="f">
                      <v:textbox>
                        <w:txbxContent>
                          <w:p>
                            <w:pPr>
                              <w:jc w:val="center"/>
                              <w:rPr>
                                <w:rFonts w:ascii="Times New Roman" w:hAnsi="Times New Roman" w:cs="Times New Roman"/>
                              </w:rPr>
                            </w:pPr>
                            <w:r>
                              <w:rPr>
                                <w:rFonts w:ascii="Times" w:hAnsi="Times"/>
                                <w:szCs w:val="18"/>
                              </w:rPr>
                              <w:t>Awareness raising and dissemination of good practices</w:t>
                            </w:r>
                          </w:p>
                        </w:txbxContent>
                      </v:textbox>
                    </v:shape>
                  </w:pict>
                </mc:Fallback>
              </mc:AlternateContent>
            </w:r>
          </w:p>
        </w:tc>
        <w:tc>
          <w:tcPr>
            <w:tcW w:w="3095" w:type="dxa"/>
            <w:vMerge w:val="restart"/>
          </w:tcPr>
          <w:p w:rsidR="00500553" w:rsidRDefault="00500553">
            <w:pPr>
              <w:spacing w:line="276" w:lineRule="auto"/>
              <w:jc w:val="both"/>
              <w:rPr>
                <w:rFonts w:ascii="Times New Roman" w:hAnsi="Times New Roman" w:cs="Times New Roman"/>
                <w:noProof/>
                <w:sz w:val="20"/>
                <w:szCs w:val="24"/>
              </w:rPr>
            </w:pPr>
          </w:p>
        </w:tc>
      </w:tr>
      <w:tr w:rsidR="00500553">
        <w:trPr>
          <w:trHeight w:val="161"/>
        </w:trPr>
        <w:tc>
          <w:tcPr>
            <w:tcW w:w="6193" w:type="dxa"/>
            <w:gridSpan w:val="2"/>
            <w:shd w:val="clear" w:color="auto" w:fill="DBF5D9"/>
          </w:tcPr>
          <w:p w:rsidR="00500553" w:rsidRDefault="00500553">
            <w:pPr>
              <w:spacing w:line="276" w:lineRule="auto"/>
              <w:jc w:val="both"/>
              <w:rPr>
                <w:rFonts w:ascii="Times New Roman" w:hAnsi="Times New Roman" w:cs="Times New Roman"/>
                <w:noProof/>
                <w:sz w:val="20"/>
                <w:szCs w:val="24"/>
              </w:rPr>
            </w:pPr>
          </w:p>
        </w:tc>
        <w:tc>
          <w:tcPr>
            <w:tcW w:w="3095" w:type="dxa"/>
            <w:vMerge/>
            <w:shd w:val="clear" w:color="auto" w:fill="DBF5D9"/>
          </w:tcPr>
          <w:p w:rsidR="00500553" w:rsidRDefault="00500553">
            <w:pPr>
              <w:spacing w:line="276" w:lineRule="auto"/>
              <w:jc w:val="both"/>
              <w:rPr>
                <w:rFonts w:ascii="Times New Roman" w:hAnsi="Times New Roman" w:cs="Times New Roman"/>
                <w:noProof/>
                <w:sz w:val="20"/>
                <w:szCs w:val="24"/>
              </w:rPr>
            </w:pPr>
          </w:p>
        </w:tc>
      </w:tr>
      <w:tr w:rsidR="00500553">
        <w:trPr>
          <w:trHeight w:val="142"/>
        </w:trPr>
        <w:tc>
          <w:tcPr>
            <w:tcW w:w="3098" w:type="dxa"/>
            <w:vMerge w:val="restart"/>
          </w:tcPr>
          <w:p w:rsidR="00500553" w:rsidRDefault="00500553">
            <w:pPr>
              <w:spacing w:line="276" w:lineRule="auto"/>
              <w:jc w:val="both"/>
              <w:rPr>
                <w:rFonts w:ascii="Times New Roman" w:hAnsi="Times New Roman" w:cs="Times New Roman"/>
                <w:noProof/>
                <w:sz w:val="20"/>
                <w:szCs w:val="24"/>
              </w:rPr>
            </w:pPr>
          </w:p>
        </w:tc>
        <w:tc>
          <w:tcPr>
            <w:tcW w:w="6190" w:type="dxa"/>
            <w:gridSpan w:val="2"/>
            <w:shd w:val="clear" w:color="auto" w:fill="C6D9F1" w:themeFill="text2" w:themeFillTint="33"/>
          </w:tcPr>
          <w:p w:rsidR="00500553" w:rsidRDefault="00D978F2">
            <w:pPr>
              <w:spacing w:line="276" w:lineRule="auto"/>
              <w:jc w:val="both"/>
              <w:rPr>
                <w:rFonts w:ascii="Times New Roman" w:hAnsi="Times New Roman" w:cs="Times New Roman"/>
                <w:noProof/>
                <w:sz w:val="20"/>
                <w:szCs w:val="24"/>
              </w:rPr>
            </w:pPr>
            <w:r>
              <w:rPr>
                <w:rFonts w:ascii="Times New Roman" w:hAnsi="Times New Roman" w:cs="Times New Roman"/>
                <w:noProof/>
                <w:sz w:val="20"/>
                <w:szCs w:val="24"/>
                <w:lang w:eastAsia="en-GB"/>
              </w:rPr>
              <mc:AlternateContent>
                <mc:Choice Requires="wps">
                  <w:drawing>
                    <wp:anchor distT="0" distB="0" distL="114300" distR="114300" simplePos="0" relativeHeight="251685888" behindDoc="0" locked="0" layoutInCell="1" allowOverlap="1">
                      <wp:simplePos x="0" y="0"/>
                      <wp:positionH relativeFrom="column">
                        <wp:posOffset>139700</wp:posOffset>
                      </wp:positionH>
                      <wp:positionV relativeFrom="paragraph">
                        <wp:posOffset>40640</wp:posOffset>
                      </wp:positionV>
                      <wp:extent cx="3928110" cy="2921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292100"/>
                              </a:xfrm>
                              <a:prstGeom prst="rect">
                                <a:avLst/>
                              </a:prstGeom>
                              <a:noFill/>
                              <a:ln w="9525">
                                <a:noFill/>
                                <a:miter lim="800000"/>
                                <a:headEnd/>
                                <a:tailEnd/>
                              </a:ln>
                            </wps:spPr>
                            <wps:txbx>
                              <w:txbxContent>
                                <w:p w:rsidR="00500553" w:rsidRDefault="00D978F2">
                                  <w:pPr>
                                    <w:jc w:val="center"/>
                                    <w:rPr>
                                      <w:rFonts w:ascii="Times New Roman" w:hAnsi="Times New Roman" w:cs="Times New Roman"/>
                                    </w:rPr>
                                  </w:pPr>
                                  <w:r>
                                    <w:rPr>
                                      <w:rFonts w:ascii="Times" w:hAnsi="Times"/>
                                      <w:szCs w:val="18"/>
                                    </w:rPr>
                                    <w:t>CECIS hosting, ERCC security and resilience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pt;margin-top:3.2pt;width:309.3pt;height: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" filled="f" stroked="f">
                      <v:textbox>
                        <w:txbxContent>
                          <w:p>
                            <w:pPr>
                              <w:jc w:val="center"/>
                              <w:rPr>
                                <w:rFonts w:ascii="Times New Roman" w:hAnsi="Times New Roman" w:cs="Times New Roman"/>
                              </w:rPr>
                            </w:pPr>
                            <w:r>
                              <w:rPr>
                                <w:rFonts w:ascii="Times" w:hAnsi="Times"/>
                                <w:szCs w:val="18"/>
                              </w:rPr>
                              <w:t>CECIS hosting, ERCC security and resilience</w:t>
                            </w:r>
                          </w:p>
                        </w:txbxContent>
                      </v:textbox>
                    </v:shape>
                  </w:pict>
                </mc:Fallback>
              </mc:AlternateContent>
            </w:r>
          </w:p>
        </w:tc>
      </w:tr>
      <w:tr w:rsidR="00500553">
        <w:trPr>
          <w:trHeight w:val="115"/>
        </w:trPr>
        <w:tc>
          <w:tcPr>
            <w:tcW w:w="3098" w:type="dxa"/>
            <w:vMerge/>
          </w:tcPr>
          <w:p w:rsidR="00500553" w:rsidRDefault="00500553">
            <w:pPr>
              <w:spacing w:line="276" w:lineRule="auto"/>
              <w:jc w:val="both"/>
              <w:rPr>
                <w:rFonts w:ascii="Times New Roman" w:hAnsi="Times New Roman" w:cs="Times New Roman"/>
                <w:noProof/>
                <w:sz w:val="20"/>
                <w:szCs w:val="24"/>
              </w:rPr>
            </w:pPr>
          </w:p>
        </w:tc>
        <w:tc>
          <w:tcPr>
            <w:tcW w:w="6190" w:type="dxa"/>
            <w:gridSpan w:val="2"/>
            <w:shd w:val="clear" w:color="auto" w:fill="DBF5D9"/>
          </w:tcPr>
          <w:p w:rsidR="00500553" w:rsidRDefault="00500553">
            <w:pPr>
              <w:spacing w:line="276" w:lineRule="auto"/>
              <w:jc w:val="both"/>
              <w:rPr>
                <w:rFonts w:ascii="Times New Roman" w:hAnsi="Times New Roman" w:cs="Times New Roman"/>
                <w:noProof/>
                <w:sz w:val="20"/>
                <w:szCs w:val="24"/>
              </w:rPr>
            </w:pPr>
          </w:p>
        </w:tc>
      </w:tr>
    </w:tbl>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-113353</wp:posOffset>
                </wp:positionH>
                <wp:positionV relativeFrom="paragraph">
                  <wp:posOffset>84132</wp:posOffset>
                </wp:positionV>
                <wp:extent cx="5886450" cy="9144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14400"/>
                        </a:xfrm>
                        <a:prstGeom prst="rect">
                          <a:avLst/>
                        </a:prstGeom>
                        <a:solidFill>
                          <a:srgbClr val="FFFFFF"/>
                        </a:solidFill>
                        <a:ln w="9525">
                          <a:noFill/>
                          <a:miter lim="800000"/>
                          <a:headEnd/>
                          <a:tailEnd/>
                        </a:ln>
                      </wps:spPr>
                      <wps:txbx>
                        <w:txbxContent>
                          <w:tbl>
                            <w:tblPr>
                              <w:tblStyle w:val="TableGrid"/>
                              <w:tblW w:w="0" w:type="auto"/>
                              <w:tblBorders>
                                <w:bottom w:val="single" w:sz="8" w:space="0" w:color="auto"/>
                              </w:tblBorders>
                              <w:tblLook w:val="04A0" w:firstRow="1" w:lastRow="0" w:firstColumn="1" w:lastColumn="0" w:noHBand="0" w:noVBand="1"/>
                            </w:tblPr>
                            <w:tblGrid>
                              <w:gridCol w:w="534"/>
                              <w:gridCol w:w="1842"/>
                            </w:tblGrid>
                            <w:tr w:rsidR="00500553">
                              <w:tc>
                                <w:tcPr>
                                  <w:tcW w:w="534"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500553" w:rsidRDefault="00500553">
                                  <w:pPr>
                                    <w:rPr>
                                      <w:rFonts w:ascii="Times New Roman" w:hAnsi="Times New Roman" w:cs="Times New Roman"/>
                                      <w:sz w:val="18"/>
                                      <w:szCs w:val="16"/>
                                    </w:rPr>
                                  </w:pPr>
                                </w:p>
                              </w:tc>
                              <w:tc>
                                <w:tcPr>
                                  <w:tcW w:w="1842" w:type="dxa"/>
                                  <w:tcBorders>
                                    <w:top w:val="nil"/>
                                    <w:left w:val="single" w:sz="8" w:space="0" w:color="auto"/>
                                    <w:bottom w:val="nil"/>
                                    <w:right w:val="nil"/>
                                  </w:tcBorders>
                                </w:tcPr>
                                <w:p w:rsidR="00500553" w:rsidRDefault="00D978F2">
                                  <w:pPr>
                                    <w:rPr>
                                      <w:rFonts w:ascii="Times New Roman" w:hAnsi="Times New Roman" w:cs="Times New Roman"/>
                                      <w:sz w:val="18"/>
                                      <w:szCs w:val="16"/>
                                    </w:rPr>
                                  </w:pPr>
                                  <w:r>
                                    <w:rPr>
                                      <w:rFonts w:ascii="Times New Roman" w:hAnsi="Times New Roman" w:cs="Times New Roman"/>
                                      <w:sz w:val="18"/>
                                      <w:szCs w:val="16"/>
                                    </w:rPr>
                                    <w:t xml:space="preserve">= Prevention </w:t>
                                  </w:r>
                                  <w:r>
                                    <w:rPr>
                                      <w:rFonts w:ascii="Times New Roman" w:hAnsi="Times New Roman" w:cs="Times New Roman"/>
                                      <w:sz w:val="18"/>
                                      <w:szCs w:val="16"/>
                                    </w:rPr>
                                    <w:t>Pillar</w:t>
                                  </w:r>
                                </w:p>
                              </w:tc>
                            </w:tr>
                          </w:tbl>
                          <w:p w:rsidR="00500553" w:rsidRDefault="00D978F2">
                            <w:pPr>
                              <w:pStyle w:val="NoSpacing"/>
                              <w:rPr>
                                <w:rFonts w:ascii="Times New Roman" w:hAnsi="Times New Roman" w:cs="Times New Roman"/>
                                <w:sz w:val="18"/>
                                <w:szCs w:val="16"/>
                              </w:rPr>
                            </w:pPr>
                            <w:r>
                              <w:rPr>
                                <w:rFonts w:ascii="Times New Roman" w:hAnsi="Times New Roman" w:cs="Times New Roman"/>
                                <w:sz w:val="18"/>
                                <w:szCs w:val="16"/>
                              </w:rPr>
                              <w:t xml:space="preserve"> </w:t>
                            </w:r>
                          </w:p>
                          <w:tbl>
                            <w:tblPr>
                              <w:tblStyle w:val="TableGrid"/>
                              <w:tblW w:w="0" w:type="auto"/>
                              <w:tblLook w:val="04A0" w:firstRow="1" w:lastRow="0" w:firstColumn="1" w:lastColumn="0" w:noHBand="0" w:noVBand="1"/>
                            </w:tblPr>
                            <w:tblGrid>
                              <w:gridCol w:w="534"/>
                              <w:gridCol w:w="1842"/>
                            </w:tblGrid>
                            <w:tr w:rsidR="00500553">
                              <w:tc>
                                <w:tcPr>
                                  <w:tcW w:w="534"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rsidR="00500553" w:rsidRDefault="00500553">
                                  <w:pPr>
                                    <w:pStyle w:val="NoSpacing"/>
                                    <w:rPr>
                                      <w:rFonts w:ascii="Times New Roman" w:hAnsi="Times New Roman" w:cs="Times New Roman"/>
                                      <w:sz w:val="18"/>
                                      <w:szCs w:val="16"/>
                                    </w:rPr>
                                  </w:pPr>
                                </w:p>
                              </w:tc>
                              <w:tc>
                                <w:tcPr>
                                  <w:tcW w:w="1842" w:type="dxa"/>
                                  <w:tcBorders>
                                    <w:top w:val="nil"/>
                                    <w:left w:val="single" w:sz="8" w:space="0" w:color="auto"/>
                                    <w:bottom w:val="nil"/>
                                    <w:right w:val="nil"/>
                                  </w:tcBorders>
                                </w:tcPr>
                                <w:p w:rsidR="00500553" w:rsidRDefault="00D978F2">
                                  <w:pPr>
                                    <w:pStyle w:val="NoSpacing"/>
                                    <w:rPr>
                                      <w:rFonts w:ascii="Times New Roman" w:hAnsi="Times New Roman" w:cs="Times New Roman"/>
                                      <w:sz w:val="18"/>
                                      <w:szCs w:val="16"/>
                                    </w:rPr>
                                  </w:pPr>
                                  <w:r>
                                    <w:rPr>
                                      <w:rFonts w:ascii="Times New Roman" w:hAnsi="Times New Roman" w:cs="Times New Roman"/>
                                      <w:sz w:val="18"/>
                                      <w:szCs w:val="16"/>
                                    </w:rPr>
                                    <w:t>= Preparedness Pillar</w:t>
                                  </w:r>
                                </w:p>
                              </w:tc>
                            </w:tr>
                          </w:tbl>
                          <w:p w:rsidR="00500553" w:rsidRDefault="00500553">
                            <w:pPr>
                              <w:pStyle w:val="NoSpacing"/>
                              <w:rPr>
                                <w:rFonts w:ascii="Times New Roman" w:hAnsi="Times New Roman" w:cs="Times New Roman"/>
                                <w:sz w:val="18"/>
                                <w:szCs w:val="16"/>
                              </w:rPr>
                            </w:pPr>
                          </w:p>
                          <w:tbl>
                            <w:tblPr>
                              <w:tblStyle w:val="TableGrid"/>
                              <w:tblW w:w="0" w:type="auto"/>
                              <w:tblLook w:val="04A0" w:firstRow="1" w:lastRow="0" w:firstColumn="1" w:lastColumn="0" w:noHBand="0" w:noVBand="1"/>
                            </w:tblPr>
                            <w:tblGrid>
                              <w:gridCol w:w="534"/>
                              <w:gridCol w:w="1842"/>
                            </w:tblGrid>
                            <w:tr w:rsidR="00500553">
                              <w:tc>
                                <w:tcPr>
                                  <w:tcW w:w="53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500553" w:rsidRDefault="00500553">
                                  <w:pPr>
                                    <w:rPr>
                                      <w:rFonts w:ascii="Times New Roman" w:hAnsi="Times New Roman" w:cs="Times New Roman"/>
                                      <w:sz w:val="18"/>
                                      <w:szCs w:val="16"/>
                                    </w:rPr>
                                  </w:pPr>
                                </w:p>
                              </w:tc>
                              <w:tc>
                                <w:tcPr>
                                  <w:tcW w:w="1842" w:type="dxa"/>
                                  <w:tcBorders>
                                    <w:top w:val="nil"/>
                                    <w:left w:val="single" w:sz="8" w:space="0" w:color="auto"/>
                                    <w:bottom w:val="nil"/>
                                    <w:right w:val="nil"/>
                                  </w:tcBorders>
                                </w:tcPr>
                                <w:p w:rsidR="00500553" w:rsidRDefault="00D978F2">
                                  <w:pPr>
                                    <w:rPr>
                                      <w:rFonts w:ascii="Times New Roman" w:hAnsi="Times New Roman" w:cs="Times New Roman"/>
                                      <w:sz w:val="18"/>
                                      <w:szCs w:val="16"/>
                                    </w:rPr>
                                  </w:pPr>
                                  <w:r>
                                    <w:rPr>
                                      <w:rFonts w:ascii="Times New Roman" w:hAnsi="Times New Roman" w:cs="Times New Roman"/>
                                      <w:sz w:val="18"/>
                                      <w:szCs w:val="16"/>
                                    </w:rPr>
                                    <w:t>= Response Pillar</w:t>
                                  </w:r>
                                </w:p>
                              </w:tc>
                            </w:tr>
                          </w:tbl>
                          <w:p w:rsidR="00500553" w:rsidRDefault="00500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8.95pt;margin-top:6.6pt;width:463.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" stroked="f">
                <v:textbox>
                  <w:txbxContent>
                    <w:tbl>
                      <w:tblPr>
                        <w:tblStyle w:val="TableGrid"/>
                        <w:tblW w:w="0" w:type="auto"/>
                        <w:tblBorders>
                          <w:bottom w:val="single" w:sz="8" w:space="0" w:color="auto"/>
                        </w:tblBorders>
                        <w:tblLook w:val="04A0" w:firstRow="1" w:lastRow="0" w:firstColumn="1" w:lastColumn="0" w:noHBand="0" w:noVBand="1"/>
                      </w:tblPr>
                      <w:tblGrid>
                        <w:gridCol w:w="534"/>
                        <w:gridCol w:w="1842"/>
                      </w:tblGrid>
                      <w:tr w:rsidR="00500553">
                        <w:tc>
                          <w:tcPr>
                            <w:tcW w:w="534"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500553" w:rsidRDefault="00500553">
                            <w:pPr>
                              <w:rPr>
                                <w:rFonts w:ascii="Times New Roman" w:hAnsi="Times New Roman" w:cs="Times New Roman"/>
                                <w:sz w:val="18"/>
                                <w:szCs w:val="16"/>
                              </w:rPr>
                            </w:pPr>
                          </w:p>
                        </w:tc>
                        <w:tc>
                          <w:tcPr>
                            <w:tcW w:w="1842" w:type="dxa"/>
                            <w:tcBorders>
                              <w:top w:val="nil"/>
                              <w:left w:val="single" w:sz="8" w:space="0" w:color="auto"/>
                              <w:bottom w:val="nil"/>
                              <w:right w:val="nil"/>
                            </w:tcBorders>
                          </w:tcPr>
                          <w:p w:rsidR="00500553" w:rsidRDefault="00D978F2">
                            <w:pPr>
                              <w:rPr>
                                <w:rFonts w:ascii="Times New Roman" w:hAnsi="Times New Roman" w:cs="Times New Roman"/>
                                <w:sz w:val="18"/>
                                <w:szCs w:val="16"/>
                              </w:rPr>
                            </w:pPr>
                            <w:r>
                              <w:rPr>
                                <w:rFonts w:ascii="Times New Roman" w:hAnsi="Times New Roman" w:cs="Times New Roman"/>
                                <w:sz w:val="18"/>
                                <w:szCs w:val="16"/>
                              </w:rPr>
                              <w:t xml:space="preserve">= Prevention </w:t>
                            </w:r>
                            <w:r>
                              <w:rPr>
                                <w:rFonts w:ascii="Times New Roman" w:hAnsi="Times New Roman" w:cs="Times New Roman"/>
                                <w:sz w:val="18"/>
                                <w:szCs w:val="16"/>
                              </w:rPr>
                              <w:t>Pillar</w:t>
                            </w:r>
                          </w:p>
                        </w:tc>
                      </w:tr>
                    </w:tbl>
                    <w:p w:rsidR="00500553" w:rsidRDefault="00D978F2">
                      <w:pPr>
                        <w:pStyle w:val="NoSpacing"/>
                        <w:rPr>
                          <w:rFonts w:ascii="Times New Roman" w:hAnsi="Times New Roman" w:cs="Times New Roman"/>
                          <w:sz w:val="18"/>
                          <w:szCs w:val="16"/>
                        </w:rPr>
                      </w:pPr>
                      <w:r>
                        <w:rPr>
                          <w:rFonts w:ascii="Times New Roman" w:hAnsi="Times New Roman" w:cs="Times New Roman"/>
                          <w:sz w:val="18"/>
                          <w:szCs w:val="16"/>
                        </w:rPr>
                        <w:t xml:space="preserve"> </w:t>
                      </w:r>
                    </w:p>
                    <w:tbl>
                      <w:tblPr>
                        <w:tblStyle w:val="TableGrid"/>
                        <w:tblW w:w="0" w:type="auto"/>
                        <w:tblLook w:val="04A0" w:firstRow="1" w:lastRow="0" w:firstColumn="1" w:lastColumn="0" w:noHBand="0" w:noVBand="1"/>
                      </w:tblPr>
                      <w:tblGrid>
                        <w:gridCol w:w="534"/>
                        <w:gridCol w:w="1842"/>
                      </w:tblGrid>
                      <w:tr w:rsidR="00500553">
                        <w:tc>
                          <w:tcPr>
                            <w:tcW w:w="534"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rsidR="00500553" w:rsidRDefault="00500553">
                            <w:pPr>
                              <w:pStyle w:val="NoSpacing"/>
                              <w:rPr>
                                <w:rFonts w:ascii="Times New Roman" w:hAnsi="Times New Roman" w:cs="Times New Roman"/>
                                <w:sz w:val="18"/>
                                <w:szCs w:val="16"/>
                              </w:rPr>
                            </w:pPr>
                          </w:p>
                        </w:tc>
                        <w:tc>
                          <w:tcPr>
                            <w:tcW w:w="1842" w:type="dxa"/>
                            <w:tcBorders>
                              <w:top w:val="nil"/>
                              <w:left w:val="single" w:sz="8" w:space="0" w:color="auto"/>
                              <w:bottom w:val="nil"/>
                              <w:right w:val="nil"/>
                            </w:tcBorders>
                          </w:tcPr>
                          <w:p w:rsidR="00500553" w:rsidRDefault="00D978F2">
                            <w:pPr>
                              <w:pStyle w:val="NoSpacing"/>
                              <w:rPr>
                                <w:rFonts w:ascii="Times New Roman" w:hAnsi="Times New Roman" w:cs="Times New Roman"/>
                                <w:sz w:val="18"/>
                                <w:szCs w:val="16"/>
                              </w:rPr>
                            </w:pPr>
                            <w:r>
                              <w:rPr>
                                <w:rFonts w:ascii="Times New Roman" w:hAnsi="Times New Roman" w:cs="Times New Roman"/>
                                <w:sz w:val="18"/>
                                <w:szCs w:val="16"/>
                              </w:rPr>
                              <w:t>= Preparedness Pillar</w:t>
                            </w:r>
                          </w:p>
                        </w:tc>
                      </w:tr>
                    </w:tbl>
                    <w:p w:rsidR="00500553" w:rsidRDefault="00500553">
                      <w:pPr>
                        <w:pStyle w:val="NoSpacing"/>
                        <w:rPr>
                          <w:rFonts w:ascii="Times New Roman" w:hAnsi="Times New Roman" w:cs="Times New Roman"/>
                          <w:sz w:val="18"/>
                          <w:szCs w:val="16"/>
                        </w:rPr>
                      </w:pPr>
                    </w:p>
                    <w:tbl>
                      <w:tblPr>
                        <w:tblStyle w:val="TableGrid"/>
                        <w:tblW w:w="0" w:type="auto"/>
                        <w:tblLook w:val="04A0" w:firstRow="1" w:lastRow="0" w:firstColumn="1" w:lastColumn="0" w:noHBand="0" w:noVBand="1"/>
                      </w:tblPr>
                      <w:tblGrid>
                        <w:gridCol w:w="534"/>
                        <w:gridCol w:w="1842"/>
                      </w:tblGrid>
                      <w:tr w:rsidR="00500553">
                        <w:tc>
                          <w:tcPr>
                            <w:tcW w:w="53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500553" w:rsidRDefault="00500553">
                            <w:pPr>
                              <w:rPr>
                                <w:rFonts w:ascii="Times New Roman" w:hAnsi="Times New Roman" w:cs="Times New Roman"/>
                                <w:sz w:val="18"/>
                                <w:szCs w:val="16"/>
                              </w:rPr>
                            </w:pPr>
                          </w:p>
                        </w:tc>
                        <w:tc>
                          <w:tcPr>
                            <w:tcW w:w="1842" w:type="dxa"/>
                            <w:tcBorders>
                              <w:top w:val="nil"/>
                              <w:left w:val="single" w:sz="8" w:space="0" w:color="auto"/>
                              <w:bottom w:val="nil"/>
                              <w:right w:val="nil"/>
                            </w:tcBorders>
                          </w:tcPr>
                          <w:p w:rsidR="00500553" w:rsidRDefault="00D978F2">
                            <w:pPr>
                              <w:rPr>
                                <w:rFonts w:ascii="Times New Roman" w:hAnsi="Times New Roman" w:cs="Times New Roman"/>
                                <w:sz w:val="18"/>
                                <w:szCs w:val="16"/>
                              </w:rPr>
                            </w:pPr>
                            <w:r>
                              <w:rPr>
                                <w:rFonts w:ascii="Times New Roman" w:hAnsi="Times New Roman" w:cs="Times New Roman"/>
                                <w:sz w:val="18"/>
                                <w:szCs w:val="16"/>
                              </w:rPr>
                              <w:t>= Response Pillar</w:t>
                            </w:r>
                          </w:p>
                        </w:tc>
                      </w:tr>
                    </w:tbl>
                    <w:p w:rsidR="00500553" w:rsidRDefault="00500553"/>
                  </w:txbxContent>
                </v:textbox>
              </v:shape>
            </w:pict>
          </mc:Fallback>
        </mc:AlternateContent>
      </w:r>
    </w:p>
    <w:p w:rsidR="00500553" w:rsidRDefault="00500553">
      <w:pPr>
        <w:jc w:val="both"/>
        <w:rPr>
          <w:rFonts w:ascii="Times New Roman" w:hAnsi="Times New Roman" w:cs="Times New Roman"/>
          <w:noProof/>
          <w:sz w:val="24"/>
          <w:szCs w:val="24"/>
        </w:rPr>
      </w:pPr>
    </w:p>
    <w:p w:rsidR="00500553" w:rsidRDefault="00500553">
      <w:pPr>
        <w:jc w:val="both"/>
        <w:rPr>
          <w:rFonts w:ascii="Times New Roman" w:hAnsi="Times New Roman" w:cs="Times New Roman"/>
          <w:noProof/>
          <w:sz w:val="24"/>
          <w:szCs w:val="24"/>
        </w:rPr>
      </w:pPr>
    </w:p>
    <w:p w:rsidR="00500553" w:rsidRDefault="00D978F2">
      <w:pPr>
        <w:pStyle w:val="Heading1"/>
        <w:numPr>
          <w:ilvl w:val="0"/>
          <w:numId w:val="0"/>
        </w:numPr>
        <w:ind w:left="680" w:hanging="680"/>
        <w:rPr>
          <w:rFonts w:ascii="Times New Roman" w:hAnsi="Times New Roman" w:cs="Times New Roman"/>
          <w:noProof/>
        </w:rPr>
      </w:pPr>
      <w:bookmarkStart w:id="85" w:name="_Toc489427650"/>
      <w:r>
        <w:rPr>
          <w:rFonts w:ascii="Times New Roman" w:hAnsi="Times New Roman" w:cs="Times New Roman"/>
          <w:noProof/>
          <w:szCs w:val="22"/>
        </w:rPr>
        <w:t xml:space="preserve">ANNEX 4: </w:t>
      </w:r>
      <w:r>
        <w:rPr>
          <w:rFonts w:ascii="Times New Roman" w:hAnsi="Times New Roman" w:cs="Times New Roman"/>
          <w:noProof/>
        </w:rPr>
        <w:t>SYNOPSIS REPORT ON STAKEHOLDER CONSULTATION</w:t>
      </w:r>
      <w:bookmarkEnd w:id="85"/>
    </w:p>
    <w:p w:rsidR="00500553" w:rsidRDefault="00500553">
      <w:pPr>
        <w:ind w:right="-1417"/>
        <w:jc w:val="both"/>
        <w:rPr>
          <w:rFonts w:ascii="Times New Roman" w:hAnsi="Times New Roman" w:cs="Times New Roman"/>
          <w:noProof/>
          <w:sz w:val="24"/>
          <w:szCs w:val="24"/>
          <w:lang w:val="en-US"/>
        </w:rPr>
      </w:pPr>
    </w:p>
    <w:bookmarkStart w:id="86" w:name="_Toc485915493" w:displacedByCustomXml="next"/>
    <w:bookmarkStart w:id="87" w:name="_Toc485914867" w:displacedByCustomXml="next"/>
    <w:sdt>
      <w:sdtPr>
        <w:rPr>
          <w:rFonts w:ascii="Times New Roman" w:hAnsi="Times New Roman" w:cs="Times New Roman"/>
          <w:b/>
          <w:bCs/>
          <w:noProof/>
        </w:rPr>
        <w:id w:val="68854858"/>
        <w:docPartObj>
          <w:docPartGallery w:val="Table of Contents"/>
          <w:docPartUnique/>
        </w:docPartObj>
      </w:sdtPr>
      <w:sdtEndPr>
        <w:rPr>
          <w:b w:val="0"/>
          <w:bCs w:val="0"/>
        </w:rPr>
      </w:sdtEndPr>
      <w:sdtContent>
        <w:p w:rsidR="00500553" w:rsidRDefault="00D978F2">
          <w:pPr>
            <w:spacing w:after="240"/>
            <w:jc w:val="center"/>
            <w:rPr>
              <w:rFonts w:ascii="Times New Roman" w:hAnsi="Times New Roman" w:cs="Times New Roman"/>
              <w:b/>
              <w:noProof/>
              <w:lang w:val="en-US" w:eastAsia="ja-JP"/>
            </w:rPr>
          </w:pPr>
          <w:r>
            <w:rPr>
              <w:rFonts w:ascii="Times New Roman" w:hAnsi="Times New Roman" w:cs="Times New Roman"/>
              <w:b/>
              <w:noProof/>
              <w:lang w:val="en-US" w:eastAsia="ja-JP"/>
            </w:rPr>
            <w:t>Table of Content</w:t>
          </w:r>
        </w:p>
        <w:p w:rsidR="00500553" w:rsidRDefault="00D978F2">
          <w:pPr>
            <w:pStyle w:val="TOC1"/>
            <w:rPr>
              <w:rFonts w:eastAsiaTheme="minorEastAsia"/>
              <w:b w:val="0"/>
              <w:lang w:eastAsia="en-GB"/>
            </w:rPr>
          </w:pPr>
          <w:r>
            <w:rPr>
              <w:b w:val="0"/>
            </w:rPr>
            <w:fldChar w:fldCharType="begin"/>
          </w:r>
          <w:r>
            <w:instrText xml:space="preserve"> TOC \o "1-3" \h \z \u </w:instrText>
          </w:r>
          <w:r>
            <w:rPr>
              <w:b w:val="0"/>
            </w:rPr>
            <w:fldChar w:fldCharType="separate"/>
          </w:r>
          <w:hyperlink w:anchor="_Toc489347877" w:history="1">
            <w:r>
              <w:rPr>
                <w:rStyle w:val="Hyperlink"/>
              </w:rPr>
              <w:t>1.</w:t>
            </w:r>
            <w:r>
              <w:rPr>
                <w:rFonts w:eastAsiaTheme="minorEastAsia"/>
                <w:b w:val="0"/>
                <w:lang w:eastAsia="en-GB"/>
              </w:rPr>
              <w:tab/>
            </w:r>
            <w:r>
              <w:rPr>
                <w:rStyle w:val="Hyperlink"/>
              </w:rPr>
              <w:t>INTRODUCTION</w:t>
            </w:r>
            <w:r>
              <w:rPr>
                <w:webHidden/>
              </w:rPr>
              <w:tab/>
            </w:r>
            <w:r>
              <w:rPr>
                <w:webHidden/>
              </w:rPr>
              <w:fldChar w:fldCharType="begin"/>
            </w:r>
            <w:r>
              <w:rPr>
                <w:webHidden/>
              </w:rPr>
              <w:instrText xml:space="preserve"> PAGEREF _Toc489347877 \h </w:instrText>
            </w:r>
            <w:r>
              <w:rPr>
                <w:webHidden/>
              </w:rPr>
            </w:r>
            <w:r>
              <w:rPr>
                <w:webHidden/>
              </w:rPr>
              <w:fldChar w:fldCharType="separate"/>
            </w:r>
            <w:r>
              <w:rPr>
                <w:webHidden/>
              </w:rPr>
              <w:t>48</w:t>
            </w:r>
            <w:r>
              <w:rPr>
                <w:webHidden/>
              </w:rPr>
              <w:fldChar w:fldCharType="end"/>
            </w:r>
          </w:hyperlink>
        </w:p>
        <w:p w:rsidR="00500553" w:rsidRDefault="00D978F2">
          <w:pPr>
            <w:pStyle w:val="TOC1"/>
            <w:rPr>
              <w:rFonts w:eastAsiaTheme="minorEastAsia"/>
              <w:b w:val="0"/>
              <w:lang w:eastAsia="en-GB"/>
            </w:rPr>
          </w:pPr>
          <w:hyperlink w:anchor="_Toc489347878" w:history="1">
            <w:r>
              <w:rPr>
                <w:rStyle w:val="Hyperlink"/>
                <w:lang w:val="en"/>
              </w:rPr>
              <w:t>2.</w:t>
            </w:r>
            <w:r>
              <w:rPr>
                <w:rFonts w:eastAsiaTheme="minorEastAsia"/>
                <w:b w:val="0"/>
                <w:lang w:eastAsia="en-GB"/>
              </w:rPr>
              <w:tab/>
            </w:r>
            <w:r>
              <w:rPr>
                <w:rStyle w:val="Hyperlink"/>
                <w:lang w:val="en"/>
              </w:rPr>
              <w:t>SCOPE OF THE CONSULTATION</w:t>
            </w:r>
            <w:r>
              <w:rPr>
                <w:webHidden/>
              </w:rPr>
              <w:tab/>
            </w:r>
            <w:r>
              <w:rPr>
                <w:webHidden/>
              </w:rPr>
              <w:fldChar w:fldCharType="begin"/>
            </w:r>
            <w:r>
              <w:rPr>
                <w:webHidden/>
              </w:rPr>
              <w:instrText xml:space="preserve"> PAGEREF _Toc489347878 \h </w:instrText>
            </w:r>
            <w:r>
              <w:rPr>
                <w:webHidden/>
              </w:rPr>
            </w:r>
            <w:r>
              <w:rPr>
                <w:webHidden/>
              </w:rPr>
              <w:fldChar w:fldCharType="separate"/>
            </w:r>
            <w:r>
              <w:rPr>
                <w:webHidden/>
              </w:rPr>
              <w:t>48</w:t>
            </w:r>
            <w:r>
              <w:rPr>
                <w:webHidden/>
              </w:rPr>
              <w:fldChar w:fldCharType="end"/>
            </w:r>
          </w:hyperlink>
        </w:p>
        <w:p w:rsidR="00500553" w:rsidRDefault="00D978F2">
          <w:pPr>
            <w:pStyle w:val="TOC1"/>
            <w:rPr>
              <w:rFonts w:eastAsiaTheme="minorEastAsia"/>
              <w:b w:val="0"/>
              <w:lang w:eastAsia="en-GB"/>
            </w:rPr>
          </w:pPr>
          <w:hyperlink w:anchor="_Toc489347879" w:history="1">
            <w:r>
              <w:rPr>
                <w:rStyle w:val="Hyperlink"/>
                <w:iCs/>
                <w:lang w:val="en"/>
              </w:rPr>
              <w:t>3.</w:t>
            </w:r>
            <w:r>
              <w:rPr>
                <w:rFonts w:eastAsiaTheme="minorEastAsia"/>
                <w:b w:val="0"/>
                <w:lang w:eastAsia="en-GB"/>
              </w:rPr>
              <w:tab/>
            </w:r>
            <w:r>
              <w:rPr>
                <w:rStyle w:val="Hyperlink"/>
              </w:rPr>
              <w:t>STAKEHOLDER GROUPS COVERED BY THE CONSULTATION ACTIVITIES</w:t>
            </w:r>
            <w:r>
              <w:rPr>
                <w:webHidden/>
              </w:rPr>
              <w:tab/>
            </w:r>
            <w:r>
              <w:rPr>
                <w:webHidden/>
              </w:rPr>
              <w:fldChar w:fldCharType="begin"/>
            </w:r>
            <w:r>
              <w:rPr>
                <w:webHidden/>
              </w:rPr>
              <w:instrText xml:space="preserve"> PAGEREF _Toc489347879 \h </w:instrText>
            </w:r>
            <w:r>
              <w:rPr>
                <w:webHidden/>
              </w:rPr>
            </w:r>
            <w:r>
              <w:rPr>
                <w:webHidden/>
              </w:rPr>
              <w:fldChar w:fldCharType="separate"/>
            </w:r>
            <w:r>
              <w:rPr>
                <w:webHidden/>
              </w:rPr>
              <w:t>48</w:t>
            </w:r>
            <w:r>
              <w:rPr>
                <w:webHidden/>
              </w:rPr>
              <w:fldChar w:fldCharType="end"/>
            </w:r>
          </w:hyperlink>
        </w:p>
        <w:p w:rsidR="00500553" w:rsidRDefault="00D978F2">
          <w:pPr>
            <w:pStyle w:val="TOC1"/>
            <w:rPr>
              <w:rFonts w:eastAsiaTheme="minorEastAsia"/>
              <w:b w:val="0"/>
              <w:lang w:eastAsia="en-GB"/>
            </w:rPr>
          </w:pPr>
          <w:hyperlink w:anchor="_Toc489347880" w:history="1">
            <w:r>
              <w:rPr>
                <w:rStyle w:val="Hyperlink"/>
                <w:lang w:val="en"/>
              </w:rPr>
              <w:t>4.</w:t>
            </w:r>
            <w:r>
              <w:rPr>
                <w:rFonts w:eastAsiaTheme="minorEastAsia"/>
                <w:b w:val="0"/>
                <w:lang w:eastAsia="en-GB"/>
              </w:rPr>
              <w:tab/>
            </w:r>
            <w:r>
              <w:rPr>
                <w:rStyle w:val="Hyperlink"/>
                <w:lang w:val="en"/>
              </w:rPr>
              <w:t>CONSULTATION METHODS AND TOOLS</w:t>
            </w:r>
            <w:r>
              <w:rPr>
                <w:webHidden/>
              </w:rPr>
              <w:tab/>
            </w:r>
            <w:r>
              <w:rPr>
                <w:webHidden/>
              </w:rPr>
              <w:fldChar w:fldCharType="begin"/>
            </w:r>
            <w:r>
              <w:rPr>
                <w:webHidden/>
              </w:rPr>
              <w:instrText xml:space="preserve"> PAGEREF _Toc489347880 \h </w:instrText>
            </w:r>
            <w:r>
              <w:rPr>
                <w:webHidden/>
              </w:rPr>
            </w:r>
            <w:r>
              <w:rPr>
                <w:webHidden/>
              </w:rPr>
              <w:fldChar w:fldCharType="separate"/>
            </w:r>
            <w:r>
              <w:rPr>
                <w:webHidden/>
              </w:rPr>
              <w:t>49</w:t>
            </w:r>
            <w:r>
              <w:rPr>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81" w:history="1">
            <w:r>
              <w:rPr>
                <w:rStyle w:val="Hyperlink"/>
                <w:rFonts w:ascii="Times New Roman" w:hAnsi="Times New Roman" w:cs="Times New Roman"/>
                <w:noProof/>
              </w:rPr>
              <w:t>4.1</w:t>
            </w:r>
            <w:r>
              <w:rPr>
                <w:rFonts w:ascii="Times New Roman" w:eastAsiaTheme="minorEastAsia" w:hAnsi="Times New Roman" w:cs="Times New Roman"/>
                <w:noProof/>
                <w:lang w:eastAsia="en-GB"/>
              </w:rPr>
              <w:tab/>
            </w:r>
            <w:r>
              <w:rPr>
                <w:rStyle w:val="Hyperlink"/>
                <w:rFonts w:ascii="Times New Roman" w:hAnsi="Times New Roman" w:cs="Times New Roman"/>
                <w:noProof/>
              </w:rPr>
              <w:t>Interviews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_Toc489347881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49</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82" w:history="1">
            <w:r>
              <w:rPr>
                <w:rStyle w:val="Hyperlink"/>
                <w:rFonts w:ascii="Times New Roman" w:hAnsi="Times New Roman" w:cs="Times New Roman"/>
                <w:noProof/>
              </w:rPr>
              <w:t>4.2</w:t>
            </w:r>
            <w:r>
              <w:rPr>
                <w:rFonts w:ascii="Times New Roman" w:eastAsiaTheme="minorEastAsia" w:hAnsi="Times New Roman" w:cs="Times New Roman"/>
                <w:noProof/>
                <w:lang w:eastAsia="en-GB"/>
              </w:rPr>
              <w:tab/>
            </w:r>
            <w:r>
              <w:rPr>
                <w:rStyle w:val="Hyperlink"/>
                <w:rFonts w:ascii="Times New Roman" w:hAnsi="Times New Roman" w:cs="Times New Roman"/>
                <w:noProof/>
              </w:rPr>
              <w:t xml:space="preserve">Online </w:t>
            </w:r>
            <w:r>
              <w:rPr>
                <w:rStyle w:val="Hyperlink"/>
                <w:rFonts w:ascii="Times New Roman" w:hAnsi="Times New Roman" w:cs="Times New Roman"/>
                <w:noProof/>
              </w:rPr>
              <w:t>surveys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_Toc489347882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50</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83" w:history="1">
            <w:r>
              <w:rPr>
                <w:rStyle w:val="Hyperlink"/>
                <w:rFonts w:ascii="Times New Roman" w:hAnsi="Times New Roman" w:cs="Times New Roman"/>
                <w:noProof/>
              </w:rPr>
              <w:t>4.3</w:t>
            </w:r>
            <w:r>
              <w:rPr>
                <w:rFonts w:ascii="Times New Roman" w:eastAsiaTheme="minorEastAsia" w:hAnsi="Times New Roman" w:cs="Times New Roman"/>
                <w:noProof/>
                <w:lang w:eastAsia="en-GB"/>
              </w:rPr>
              <w:tab/>
            </w:r>
            <w:r>
              <w:rPr>
                <w:rStyle w:val="Hyperlink"/>
                <w:rFonts w:ascii="Times New Roman" w:hAnsi="Times New Roman" w:cs="Times New Roman"/>
                <w:noProof/>
              </w:rPr>
              <w:t>Open Public Consultation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_Toc489347883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50</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84" w:history="1">
            <w:r>
              <w:rPr>
                <w:rStyle w:val="Hyperlink"/>
                <w:rFonts w:ascii="Times New Roman" w:hAnsi="Times New Roman" w:cs="Times New Roman"/>
                <w:noProof/>
              </w:rPr>
              <w:t>4.4</w:t>
            </w:r>
            <w:r>
              <w:rPr>
                <w:rFonts w:ascii="Times New Roman" w:eastAsiaTheme="minorEastAsia" w:hAnsi="Times New Roman" w:cs="Times New Roman"/>
                <w:noProof/>
                <w:lang w:eastAsia="en-GB"/>
              </w:rPr>
              <w:tab/>
            </w:r>
            <w:r>
              <w:rPr>
                <w:rStyle w:val="Hyperlink"/>
                <w:rFonts w:ascii="Times New Roman" w:hAnsi="Times New Roman" w:cs="Times New Roman"/>
                <w:noProof/>
              </w:rPr>
              <w:t>Case Studies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_Toc489347884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51</w:t>
            </w:r>
            <w:r>
              <w:rPr>
                <w:rFonts w:ascii="Times New Roman" w:hAnsi="Times New Roman" w:cs="Times New Roman"/>
                <w:noProof/>
                <w:webHidden/>
              </w:rPr>
              <w:fldChar w:fldCharType="end"/>
            </w:r>
          </w:hyperlink>
        </w:p>
        <w:p w:rsidR="00500553" w:rsidRDefault="00D978F2">
          <w:pPr>
            <w:pStyle w:val="TOC1"/>
            <w:rPr>
              <w:rFonts w:eastAsiaTheme="minorEastAsia"/>
              <w:b w:val="0"/>
              <w:lang w:eastAsia="en-GB"/>
            </w:rPr>
          </w:pPr>
          <w:hyperlink w:anchor="_Toc489347885" w:history="1">
            <w:r>
              <w:rPr>
                <w:rStyle w:val="Hyperlink"/>
              </w:rPr>
              <w:t>5.</w:t>
            </w:r>
            <w:r>
              <w:rPr>
                <w:rFonts w:eastAsiaTheme="minorEastAsia"/>
                <w:b w:val="0"/>
                <w:lang w:eastAsia="en-GB"/>
              </w:rPr>
              <w:tab/>
            </w:r>
            <w:r>
              <w:rPr>
                <w:rStyle w:val="Hyperlink"/>
              </w:rPr>
              <w:t xml:space="preserve">RESULTS </w:t>
            </w:r>
            <w:r>
              <w:rPr>
                <w:rStyle w:val="Hyperlink"/>
              </w:rPr>
              <w:t>OF EACH OF THE CONSULTATION ACTIVITIES (TARGETED)</w:t>
            </w:r>
            <w:r>
              <w:rPr>
                <w:webHidden/>
              </w:rPr>
              <w:tab/>
            </w:r>
            <w:r>
              <w:rPr>
                <w:webHidden/>
              </w:rPr>
              <w:fldChar w:fldCharType="begin"/>
            </w:r>
            <w:r>
              <w:rPr>
                <w:webHidden/>
              </w:rPr>
              <w:instrText xml:space="preserve"> PAGEREF _Toc489347885 \h </w:instrText>
            </w:r>
            <w:r>
              <w:rPr>
                <w:webHidden/>
              </w:rPr>
            </w:r>
            <w:r>
              <w:rPr>
                <w:webHidden/>
              </w:rPr>
              <w:fldChar w:fldCharType="separate"/>
            </w:r>
            <w:r>
              <w:rPr>
                <w:webHidden/>
              </w:rPr>
              <w:t>51</w:t>
            </w:r>
            <w:r>
              <w:rPr>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86" w:history="1">
            <w:r>
              <w:rPr>
                <w:rStyle w:val="Hyperlink"/>
                <w:rFonts w:ascii="Times New Roman" w:hAnsi="Times New Roman" w:cs="Times New Roman"/>
                <w:noProof/>
              </w:rPr>
              <w:t>5.1</w:t>
            </w:r>
            <w:r>
              <w:rPr>
                <w:rFonts w:ascii="Times New Roman" w:eastAsiaTheme="minorEastAsia" w:hAnsi="Times New Roman" w:cs="Times New Roman"/>
                <w:noProof/>
                <w:lang w:eastAsia="en-GB"/>
              </w:rPr>
              <w:tab/>
            </w:r>
            <w:r>
              <w:rPr>
                <w:rStyle w:val="Hyperlink"/>
                <w:rFonts w:ascii="Times New Roman" w:hAnsi="Times New Roman" w:cs="Times New Roman"/>
                <w:noProof/>
              </w:rPr>
              <w:t>Relevance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_Toc489347886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51</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87" w:history="1">
            <w:r>
              <w:rPr>
                <w:rStyle w:val="Hyperlink"/>
                <w:rFonts w:ascii="Times New Roman" w:hAnsi="Times New Roman" w:cs="Times New Roman"/>
                <w:noProof/>
              </w:rPr>
              <w:t>5.2</w:t>
            </w:r>
            <w:r>
              <w:rPr>
                <w:rFonts w:ascii="Times New Roman" w:eastAsiaTheme="minorEastAsia" w:hAnsi="Times New Roman" w:cs="Times New Roman"/>
                <w:noProof/>
                <w:lang w:eastAsia="en-GB"/>
              </w:rPr>
              <w:tab/>
            </w:r>
            <w:r>
              <w:rPr>
                <w:rStyle w:val="Hyperlink"/>
                <w:rFonts w:ascii="Times New Roman" w:hAnsi="Times New Roman" w:cs="Times New Roman"/>
                <w:noProof/>
              </w:rPr>
              <w:t>Effectiveness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_Toc489347887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52</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88" w:history="1">
            <w:r>
              <w:rPr>
                <w:rStyle w:val="Hyperlink"/>
                <w:rFonts w:ascii="Times New Roman" w:hAnsi="Times New Roman" w:cs="Times New Roman"/>
                <w:noProof/>
              </w:rPr>
              <w:t>5.3</w:t>
            </w:r>
            <w:r>
              <w:rPr>
                <w:rFonts w:ascii="Times New Roman" w:eastAsiaTheme="minorEastAsia" w:hAnsi="Times New Roman" w:cs="Times New Roman"/>
                <w:noProof/>
                <w:lang w:eastAsia="en-GB"/>
              </w:rPr>
              <w:tab/>
            </w:r>
            <w:r>
              <w:rPr>
                <w:rStyle w:val="Hyperlink"/>
                <w:rFonts w:ascii="Times New Roman" w:hAnsi="Times New Roman" w:cs="Times New Roman"/>
                <w:noProof/>
              </w:rPr>
              <w:t>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_Toc489347888 \h</w:instrText>
            </w:r>
            <w:r>
              <w:rPr>
                <w:rFonts w:ascii="Times New Roman" w:hAnsi="Times New Roman" w:cs="Times New Roman"/>
                <w:noProof/>
                <w:webHidden/>
              </w:rPr>
              <w:instrText xml:space="preserve">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52</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89" w:history="1">
            <w:r>
              <w:rPr>
                <w:rStyle w:val="Hyperlink"/>
                <w:rFonts w:ascii="Times New Roman" w:hAnsi="Times New Roman" w:cs="Times New Roman"/>
                <w:noProof/>
              </w:rPr>
              <w:t>5.4</w:t>
            </w:r>
            <w:r>
              <w:rPr>
                <w:rFonts w:ascii="Times New Roman" w:eastAsiaTheme="minorEastAsia" w:hAnsi="Times New Roman" w:cs="Times New Roman"/>
                <w:noProof/>
                <w:lang w:eastAsia="en-GB"/>
              </w:rPr>
              <w:tab/>
            </w:r>
            <w:r>
              <w:rPr>
                <w:rStyle w:val="Hyperlink"/>
                <w:rFonts w:ascii="Times New Roman" w:hAnsi="Times New Roman" w:cs="Times New Roman"/>
                <w:noProof/>
              </w:rPr>
              <w:t>Coherence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_Toc489347889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52</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90" w:history="1">
            <w:r>
              <w:rPr>
                <w:rStyle w:val="Hyperlink"/>
                <w:rFonts w:ascii="Times New Roman" w:hAnsi="Times New Roman" w:cs="Times New Roman"/>
                <w:noProof/>
              </w:rPr>
              <w:t>5.5</w:t>
            </w:r>
            <w:r>
              <w:rPr>
                <w:rFonts w:ascii="Times New Roman" w:eastAsiaTheme="minorEastAsia" w:hAnsi="Times New Roman" w:cs="Times New Roman"/>
                <w:noProof/>
                <w:lang w:eastAsia="en-GB"/>
              </w:rPr>
              <w:tab/>
            </w:r>
            <w:r>
              <w:rPr>
                <w:rStyle w:val="Hyperlink"/>
                <w:rFonts w:ascii="Times New Roman" w:hAnsi="Times New Roman" w:cs="Times New Roman"/>
                <w:noProof/>
              </w:rPr>
              <w:t>EU Added Value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_Toc489347890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53</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91" w:history="1">
            <w:r>
              <w:rPr>
                <w:rStyle w:val="Hyperlink"/>
                <w:rFonts w:ascii="Times New Roman" w:hAnsi="Times New Roman" w:cs="Times New Roman"/>
                <w:noProof/>
              </w:rPr>
              <w:t>5.6</w:t>
            </w:r>
            <w:r>
              <w:rPr>
                <w:rFonts w:ascii="Times New Roman" w:eastAsiaTheme="minorEastAsia" w:hAnsi="Times New Roman" w:cs="Times New Roman"/>
                <w:noProof/>
                <w:lang w:eastAsia="en-GB"/>
              </w:rPr>
              <w:tab/>
            </w:r>
            <w:r>
              <w:rPr>
                <w:rStyle w:val="Hyperlink"/>
                <w:rFonts w:ascii="Times New Roman" w:hAnsi="Times New Roman" w:cs="Times New Roman"/>
                <w:noProof/>
              </w:rPr>
              <w:t>Sustai</w:t>
            </w:r>
            <w:r>
              <w:rPr>
                <w:rStyle w:val="Hyperlink"/>
                <w:rFonts w:ascii="Times New Roman" w:hAnsi="Times New Roman" w:cs="Times New Roman"/>
                <w:noProof/>
              </w:rPr>
              <w:t>nability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_Toc489347891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53</w:t>
            </w:r>
            <w:r>
              <w:rPr>
                <w:rFonts w:ascii="Times New Roman" w:hAnsi="Times New Roman" w:cs="Times New Roman"/>
                <w:noProof/>
                <w:webHidden/>
              </w:rPr>
              <w:fldChar w:fldCharType="end"/>
            </w:r>
          </w:hyperlink>
        </w:p>
        <w:p w:rsidR="00500553" w:rsidRDefault="00D978F2">
          <w:pPr>
            <w:pStyle w:val="TOC1"/>
            <w:rPr>
              <w:rFonts w:eastAsiaTheme="minorEastAsia"/>
              <w:b w:val="0"/>
              <w:lang w:eastAsia="en-GB"/>
            </w:rPr>
          </w:pPr>
          <w:hyperlink w:anchor="_Toc489347892" w:history="1">
            <w:r>
              <w:rPr>
                <w:rStyle w:val="Hyperlink"/>
              </w:rPr>
              <w:t>6.</w:t>
            </w:r>
            <w:r>
              <w:rPr>
                <w:rFonts w:eastAsiaTheme="minorEastAsia"/>
                <w:b w:val="0"/>
                <w:lang w:eastAsia="en-GB"/>
              </w:rPr>
              <w:tab/>
            </w:r>
            <w:r>
              <w:rPr>
                <w:rStyle w:val="Hyperlink"/>
              </w:rPr>
              <w:t>RESULTS OF THE CONSULTATION IN THE FRAMEWORK OF THE OPC</w:t>
            </w:r>
            <w:r>
              <w:rPr>
                <w:webHidden/>
              </w:rPr>
              <w:tab/>
            </w:r>
            <w:r>
              <w:rPr>
                <w:webHidden/>
              </w:rPr>
              <w:fldChar w:fldCharType="begin"/>
            </w:r>
            <w:r>
              <w:rPr>
                <w:webHidden/>
              </w:rPr>
              <w:instrText xml:space="preserve"> PAGEREF _Toc489347892 \h </w:instrText>
            </w:r>
            <w:r>
              <w:rPr>
                <w:webHidden/>
              </w:rPr>
            </w:r>
            <w:r>
              <w:rPr>
                <w:webHidden/>
              </w:rPr>
              <w:fldChar w:fldCharType="separate"/>
            </w:r>
            <w:r>
              <w:rPr>
                <w:webHidden/>
              </w:rPr>
              <w:t>54</w:t>
            </w:r>
            <w:r>
              <w:rPr>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93" w:history="1">
            <w:r>
              <w:rPr>
                <w:rStyle w:val="Hyperlink"/>
                <w:rFonts w:ascii="Times New Roman" w:hAnsi="Times New Roman" w:cs="Times New Roman"/>
                <w:noProof/>
                <w:lang w:val="fr-BE"/>
              </w:rPr>
              <w:t>6.1</w:t>
            </w:r>
            <w:r>
              <w:rPr>
                <w:rFonts w:ascii="Times New Roman" w:eastAsiaTheme="minorEastAsia" w:hAnsi="Times New Roman" w:cs="Times New Roman"/>
                <w:noProof/>
                <w:lang w:eastAsia="en-GB"/>
              </w:rPr>
              <w:tab/>
            </w:r>
            <w:r>
              <w:rPr>
                <w:rStyle w:val="Hyperlink"/>
                <w:rFonts w:ascii="Times New Roman" w:hAnsi="Times New Roman" w:cs="Times New Roman"/>
                <w:noProof/>
                <w:lang w:val="fr-BE"/>
              </w:rPr>
              <w:t>General Questions (for both questionnaires)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_Toc489347893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54</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94" w:history="1">
            <w:r>
              <w:rPr>
                <w:rStyle w:val="Hyperlink"/>
                <w:rFonts w:ascii="Times New Roman" w:hAnsi="Times New Roman" w:cs="Times New Roman"/>
                <w:noProof/>
              </w:rPr>
              <w:t>6.2</w:t>
            </w:r>
            <w:r>
              <w:rPr>
                <w:rFonts w:ascii="Times New Roman" w:eastAsiaTheme="minorEastAsia" w:hAnsi="Times New Roman" w:cs="Times New Roman"/>
                <w:noProof/>
                <w:lang w:eastAsia="en-GB"/>
              </w:rPr>
              <w:tab/>
            </w:r>
            <w:r>
              <w:rPr>
                <w:rStyle w:val="Hyperlink"/>
                <w:rFonts w:ascii="Times New Roman" w:hAnsi="Times New Roman" w:cs="Times New Roman"/>
                <w:noProof/>
              </w:rPr>
              <w:t>Relevance (only for in-depth knowledge)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_Toc489347894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54</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95" w:history="1">
            <w:r>
              <w:rPr>
                <w:rStyle w:val="Hyperlink"/>
                <w:rFonts w:ascii="Times New Roman" w:hAnsi="Times New Roman" w:cs="Times New Roman"/>
                <w:noProof/>
              </w:rPr>
              <w:t>6.3</w:t>
            </w:r>
            <w:r>
              <w:rPr>
                <w:rFonts w:ascii="Times New Roman" w:eastAsiaTheme="minorEastAsia" w:hAnsi="Times New Roman" w:cs="Times New Roman"/>
                <w:noProof/>
                <w:lang w:eastAsia="en-GB"/>
              </w:rPr>
              <w:tab/>
            </w:r>
            <w:r>
              <w:rPr>
                <w:rStyle w:val="Hyperlink"/>
                <w:rFonts w:ascii="Times New Roman" w:hAnsi="Times New Roman" w:cs="Times New Roman"/>
                <w:noProof/>
              </w:rPr>
              <w:t>Effectiveness (only for in-depth knowledge)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_Toc489347895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55</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96" w:history="1">
            <w:r>
              <w:rPr>
                <w:rStyle w:val="Hyperlink"/>
                <w:rFonts w:ascii="Times New Roman" w:hAnsi="Times New Roman" w:cs="Times New Roman"/>
                <w:noProof/>
              </w:rPr>
              <w:t>6.4</w:t>
            </w:r>
            <w:r>
              <w:rPr>
                <w:rFonts w:ascii="Times New Roman" w:eastAsiaTheme="minorEastAsia" w:hAnsi="Times New Roman" w:cs="Times New Roman"/>
                <w:noProof/>
                <w:lang w:eastAsia="en-GB"/>
              </w:rPr>
              <w:tab/>
            </w:r>
            <w:r>
              <w:rPr>
                <w:rStyle w:val="Hyperlink"/>
                <w:rFonts w:ascii="Times New Roman" w:hAnsi="Times New Roman" w:cs="Times New Roman"/>
                <w:noProof/>
              </w:rPr>
              <w:t>Efficiency (only for in-dept knowledge)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_Toc489347896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55</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97" w:history="1">
            <w:r>
              <w:rPr>
                <w:rStyle w:val="Hyperlink"/>
                <w:rFonts w:ascii="Times New Roman" w:hAnsi="Times New Roman" w:cs="Times New Roman"/>
                <w:noProof/>
              </w:rPr>
              <w:t>6.5</w:t>
            </w:r>
            <w:r>
              <w:rPr>
                <w:rFonts w:ascii="Times New Roman" w:eastAsiaTheme="minorEastAsia" w:hAnsi="Times New Roman" w:cs="Times New Roman"/>
                <w:noProof/>
                <w:lang w:eastAsia="en-GB"/>
              </w:rPr>
              <w:tab/>
            </w:r>
            <w:r>
              <w:rPr>
                <w:rStyle w:val="Hyperlink"/>
                <w:rFonts w:ascii="Times New Roman" w:hAnsi="Times New Roman" w:cs="Times New Roman"/>
                <w:noProof/>
              </w:rPr>
              <w:t>Coherence (only for in-depth knowledge)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_Toc489347897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55</w:t>
            </w:r>
            <w:r>
              <w:rPr>
                <w:rFonts w:ascii="Times New Roman" w:hAnsi="Times New Roman" w:cs="Times New Roman"/>
                <w:noProof/>
                <w:webHidden/>
              </w:rPr>
              <w:fldChar w:fldCharType="end"/>
            </w:r>
          </w:hyperlink>
        </w:p>
        <w:p w:rsidR="00500553" w:rsidRDefault="00D978F2">
          <w:pPr>
            <w:pStyle w:val="TOC2"/>
            <w:tabs>
              <w:tab w:val="left" w:pos="880"/>
              <w:tab w:val="right" w:leader="dot" w:pos="9016"/>
            </w:tabs>
            <w:rPr>
              <w:rFonts w:ascii="Times New Roman" w:eastAsiaTheme="minorEastAsia" w:hAnsi="Times New Roman" w:cs="Times New Roman"/>
              <w:noProof/>
              <w:lang w:eastAsia="en-GB"/>
            </w:rPr>
          </w:pPr>
          <w:hyperlink w:anchor="_Toc489347898" w:history="1">
            <w:r>
              <w:rPr>
                <w:rStyle w:val="Hyperlink"/>
                <w:rFonts w:ascii="Times New Roman" w:hAnsi="Times New Roman" w:cs="Times New Roman"/>
                <w:noProof/>
              </w:rPr>
              <w:t>6.6</w:t>
            </w:r>
            <w:r>
              <w:rPr>
                <w:rFonts w:ascii="Times New Roman" w:eastAsiaTheme="minorEastAsia" w:hAnsi="Times New Roman" w:cs="Times New Roman"/>
                <w:noProof/>
                <w:lang w:eastAsia="en-GB"/>
              </w:rPr>
              <w:tab/>
            </w:r>
            <w:r>
              <w:rPr>
                <w:rStyle w:val="Hyperlink"/>
                <w:rFonts w:ascii="Times New Roman" w:hAnsi="Times New Roman" w:cs="Times New Roman"/>
                <w:noProof/>
              </w:rPr>
              <w:t>EU added value (only for in-de</w:t>
            </w:r>
            <w:r>
              <w:rPr>
                <w:rStyle w:val="Hyperlink"/>
                <w:rFonts w:ascii="Times New Roman" w:hAnsi="Times New Roman" w:cs="Times New Roman"/>
                <w:noProof/>
              </w:rPr>
              <w:t>pth knowledge)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_Toc489347898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55</w:t>
            </w:r>
            <w:r>
              <w:rPr>
                <w:rFonts w:ascii="Times New Roman" w:hAnsi="Times New Roman" w:cs="Times New Roman"/>
                <w:noProof/>
                <w:webHidden/>
              </w:rPr>
              <w:fldChar w:fldCharType="end"/>
            </w:r>
          </w:hyperlink>
        </w:p>
        <w:p w:rsidR="00500553" w:rsidRDefault="00D978F2">
          <w:pPr>
            <w:pStyle w:val="TOC1"/>
            <w:rPr>
              <w:rFonts w:eastAsiaTheme="minorEastAsia"/>
              <w:b w:val="0"/>
              <w:lang w:eastAsia="en-GB"/>
            </w:rPr>
          </w:pPr>
          <w:hyperlink w:anchor="_Toc489347899" w:history="1">
            <w:r>
              <w:rPr>
                <w:rStyle w:val="Hyperlink"/>
              </w:rPr>
              <w:t>7.</w:t>
            </w:r>
            <w:r>
              <w:rPr>
                <w:rFonts w:eastAsiaTheme="minorEastAsia"/>
                <w:b w:val="0"/>
                <w:lang w:eastAsia="en-GB"/>
              </w:rPr>
              <w:tab/>
            </w:r>
            <w:r>
              <w:rPr>
                <w:rStyle w:val="Hyperlink"/>
              </w:rPr>
              <w:t>CONCLUSIONS</w:t>
            </w:r>
            <w:r>
              <w:rPr>
                <w:webHidden/>
              </w:rPr>
              <w:tab/>
            </w:r>
            <w:r>
              <w:rPr>
                <w:webHidden/>
              </w:rPr>
              <w:fldChar w:fldCharType="begin"/>
            </w:r>
            <w:r>
              <w:rPr>
                <w:webHidden/>
              </w:rPr>
              <w:instrText xml:space="preserve"> PAGEREF _Toc489347899 \h </w:instrText>
            </w:r>
            <w:r>
              <w:rPr>
                <w:webHidden/>
              </w:rPr>
            </w:r>
            <w:r>
              <w:rPr>
                <w:webHidden/>
              </w:rPr>
              <w:fldChar w:fldCharType="separate"/>
            </w:r>
            <w:r>
              <w:rPr>
                <w:webHidden/>
              </w:rPr>
              <w:t>56</w:t>
            </w:r>
            <w:r>
              <w:rPr>
                <w:webHidden/>
              </w:rPr>
              <w:fldChar w:fldCharType="end"/>
            </w:r>
          </w:hyperlink>
        </w:p>
        <w:p w:rsidR="00500553" w:rsidRDefault="00D978F2">
          <w:pPr>
            <w:rPr>
              <w:rFonts w:ascii="Times New Roman" w:hAnsi="Times New Roman" w:cs="Times New Roman"/>
              <w:noProof/>
            </w:rPr>
          </w:pPr>
          <w:r>
            <w:rPr>
              <w:rFonts w:ascii="Times New Roman" w:hAnsi="Times New Roman" w:cs="Times New Roman"/>
              <w:b/>
              <w:bCs/>
              <w:noProof/>
            </w:rPr>
            <w:fldChar w:fldCharType="end"/>
          </w:r>
        </w:p>
      </w:sdtContent>
    </w:sdt>
    <w:p w:rsidR="00500553" w:rsidRDefault="00500553">
      <w:pPr>
        <w:rPr>
          <w:rFonts w:ascii="Times New Roman" w:hAnsi="Times New Roman" w:cs="Times New Roman"/>
          <w:b/>
          <w:noProof/>
          <w:szCs w:val="24"/>
          <w:u w:val="single"/>
        </w:rPr>
      </w:pPr>
    </w:p>
    <w:p w:rsidR="00500553" w:rsidRDefault="00500553">
      <w:pPr>
        <w:rPr>
          <w:rFonts w:ascii="Times New Roman" w:hAnsi="Times New Roman" w:cs="Times New Roman"/>
          <w:b/>
          <w:noProof/>
          <w:szCs w:val="24"/>
          <w:u w:val="single"/>
        </w:rPr>
        <w:sectPr w:rsidR="00500553">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pPr>
    </w:p>
    <w:p w:rsidR="00500553" w:rsidRDefault="00D978F2">
      <w:pPr>
        <w:pStyle w:val="Heading1"/>
        <w:numPr>
          <w:ilvl w:val="0"/>
          <w:numId w:val="69"/>
        </w:numPr>
        <w:spacing w:before="480" w:line="276" w:lineRule="auto"/>
        <w:ind w:left="357" w:hanging="357"/>
        <w:rPr>
          <w:rFonts w:ascii="Times New Roman" w:hAnsi="Times New Roman" w:cs="Times New Roman"/>
          <w:noProof/>
          <w:szCs w:val="24"/>
        </w:rPr>
      </w:pPr>
      <w:bookmarkStart w:id="88" w:name="_Toc489347877"/>
      <w:bookmarkStart w:id="89" w:name="_Toc489347975"/>
      <w:bookmarkStart w:id="90" w:name="_Toc489427651"/>
      <w:r>
        <w:rPr>
          <w:rFonts w:ascii="Times New Roman" w:hAnsi="Times New Roman" w:cs="Times New Roman"/>
          <w:noProof/>
          <w:szCs w:val="24"/>
        </w:rPr>
        <w:t>INTRODUCTION</w:t>
      </w:r>
      <w:bookmarkEnd w:id="88"/>
      <w:bookmarkEnd w:id="89"/>
      <w:bookmarkEnd w:id="90"/>
    </w:p>
    <w:p w:rsidR="00500553" w:rsidRDefault="00D978F2">
      <w:pPr>
        <w:spacing w:after="100" w:afterAutospacing="1"/>
        <w:jc w:val="both"/>
        <w:rPr>
          <w:rFonts w:ascii="Times New Roman" w:hAnsi="Times New Roman" w:cs="Times New Roman"/>
          <w:iCs/>
          <w:noProof/>
          <w:sz w:val="24"/>
          <w:szCs w:val="24"/>
          <w:lang w:val="en"/>
        </w:rPr>
      </w:pPr>
      <w:r>
        <w:rPr>
          <w:rFonts w:ascii="Times New Roman" w:hAnsi="Times New Roman" w:cs="Times New Roman"/>
          <w:iCs/>
          <w:noProof/>
          <w:sz w:val="24"/>
          <w:szCs w:val="24"/>
          <w:lang w:val="en"/>
        </w:rPr>
        <w:t xml:space="preserve">The </w:t>
      </w:r>
      <w:r>
        <w:rPr>
          <w:rFonts w:ascii="Times New Roman" w:hAnsi="Times New Roman" w:cs="Times New Roman"/>
          <w:b/>
          <w:iCs/>
          <w:noProof/>
          <w:sz w:val="24"/>
          <w:szCs w:val="24"/>
          <w:lang w:val="en"/>
        </w:rPr>
        <w:t>general objective</w:t>
      </w:r>
      <w:r>
        <w:rPr>
          <w:rFonts w:ascii="Times New Roman" w:hAnsi="Times New Roman" w:cs="Times New Roman"/>
          <w:iCs/>
          <w:noProof/>
          <w:sz w:val="24"/>
          <w:szCs w:val="24"/>
          <w:lang w:val="en"/>
        </w:rPr>
        <w:t xml:space="preserve"> of the consultation activities</w:t>
      </w:r>
      <w:r>
        <w:rPr>
          <w:rStyle w:val="FootnoteReference"/>
          <w:rFonts w:ascii="Times New Roman" w:hAnsi="Times New Roman" w:cs="Times New Roman"/>
          <w:iCs/>
          <w:noProof/>
          <w:sz w:val="24"/>
          <w:szCs w:val="24"/>
          <w:lang w:val="en"/>
        </w:rPr>
        <w:footnoteReference w:id="100"/>
      </w:r>
      <w:r>
        <w:rPr>
          <w:rFonts w:ascii="Times New Roman" w:hAnsi="Times New Roman" w:cs="Times New Roman"/>
          <w:iCs/>
          <w:noProof/>
          <w:sz w:val="24"/>
          <w:szCs w:val="24"/>
          <w:lang w:val="en"/>
        </w:rPr>
        <w:t xml:space="preserve"> carried out in the context of the Interim Evaluation of the UCPM was to ensure that all concerned stakeholders had the opportunity to express their views on the performance of the UCPM during the first half of its implementation. In line with this, the fo</w:t>
      </w:r>
      <w:r>
        <w:rPr>
          <w:rFonts w:ascii="Times New Roman" w:hAnsi="Times New Roman" w:cs="Times New Roman"/>
          <w:iCs/>
          <w:noProof/>
          <w:sz w:val="24"/>
          <w:szCs w:val="24"/>
          <w:lang w:val="en"/>
        </w:rPr>
        <w:t xml:space="preserve">llowing </w:t>
      </w:r>
      <w:r>
        <w:rPr>
          <w:rFonts w:ascii="Times New Roman" w:hAnsi="Times New Roman" w:cs="Times New Roman"/>
          <w:b/>
          <w:iCs/>
          <w:noProof/>
          <w:sz w:val="24"/>
          <w:szCs w:val="24"/>
          <w:lang w:val="en"/>
        </w:rPr>
        <w:t>specific objectives</w:t>
      </w:r>
      <w:r>
        <w:rPr>
          <w:rFonts w:ascii="Times New Roman" w:hAnsi="Times New Roman" w:cs="Times New Roman"/>
          <w:iCs/>
          <w:noProof/>
          <w:sz w:val="24"/>
          <w:szCs w:val="24"/>
          <w:lang w:val="en"/>
        </w:rPr>
        <w:t xml:space="preserve"> were set out:</w:t>
      </w:r>
    </w:p>
    <w:p w:rsidR="00500553" w:rsidRDefault="00D978F2">
      <w:pPr>
        <w:pStyle w:val="ListParagraph"/>
        <w:numPr>
          <w:ilvl w:val="0"/>
          <w:numId w:val="66"/>
        </w:numPr>
        <w:spacing w:before="120" w:after="100" w:afterAutospacing="1"/>
        <w:jc w:val="both"/>
        <w:rPr>
          <w:rFonts w:ascii="Times New Roman" w:hAnsi="Times New Roman" w:cs="Times New Roman"/>
          <w:iCs/>
          <w:noProof/>
          <w:sz w:val="24"/>
          <w:szCs w:val="24"/>
          <w:lang w:val="en"/>
        </w:rPr>
      </w:pPr>
      <w:r>
        <w:rPr>
          <w:rFonts w:ascii="Times New Roman" w:hAnsi="Times New Roman" w:cs="Times New Roman"/>
          <w:iCs/>
          <w:noProof/>
          <w:sz w:val="24"/>
          <w:szCs w:val="24"/>
          <w:lang w:val="en"/>
        </w:rPr>
        <w:t>Collect views and opinions of the European citizens on the results achieved by the UCPM to date;</w:t>
      </w:r>
    </w:p>
    <w:p w:rsidR="00500553" w:rsidRDefault="00D978F2">
      <w:pPr>
        <w:pStyle w:val="ListParagraph"/>
        <w:numPr>
          <w:ilvl w:val="0"/>
          <w:numId w:val="66"/>
        </w:numPr>
        <w:spacing w:before="120" w:after="100" w:afterAutospacing="1"/>
        <w:jc w:val="both"/>
        <w:rPr>
          <w:rFonts w:ascii="Times New Roman" w:hAnsi="Times New Roman" w:cs="Times New Roman"/>
          <w:iCs/>
          <w:noProof/>
          <w:sz w:val="24"/>
          <w:szCs w:val="24"/>
          <w:lang w:val="en"/>
        </w:rPr>
      </w:pPr>
      <w:r>
        <w:rPr>
          <w:rFonts w:ascii="Times New Roman" w:hAnsi="Times New Roman" w:cs="Times New Roman"/>
          <w:iCs/>
          <w:noProof/>
          <w:sz w:val="24"/>
          <w:szCs w:val="24"/>
          <w:lang w:val="en"/>
        </w:rPr>
        <w:t>Determine the importance of different priorities for civil protection and disaster risk management as they are percei</w:t>
      </w:r>
      <w:r>
        <w:rPr>
          <w:rFonts w:ascii="Times New Roman" w:hAnsi="Times New Roman" w:cs="Times New Roman"/>
          <w:iCs/>
          <w:noProof/>
          <w:sz w:val="24"/>
          <w:szCs w:val="24"/>
          <w:lang w:val="en"/>
        </w:rPr>
        <w:t>ved across the EU;</w:t>
      </w:r>
    </w:p>
    <w:p w:rsidR="00500553" w:rsidRDefault="00D978F2">
      <w:pPr>
        <w:pStyle w:val="ListParagraph"/>
        <w:numPr>
          <w:ilvl w:val="0"/>
          <w:numId w:val="66"/>
        </w:numPr>
        <w:spacing w:before="120" w:after="100" w:afterAutospacing="1"/>
        <w:jc w:val="both"/>
        <w:rPr>
          <w:rFonts w:ascii="Times New Roman" w:hAnsi="Times New Roman" w:cs="Times New Roman"/>
          <w:iCs/>
          <w:noProof/>
          <w:sz w:val="24"/>
          <w:szCs w:val="24"/>
          <w:lang w:val="en"/>
        </w:rPr>
      </w:pPr>
      <w:r>
        <w:rPr>
          <w:rFonts w:ascii="Times New Roman" w:hAnsi="Times New Roman" w:cs="Times New Roman"/>
          <w:iCs/>
          <w:noProof/>
          <w:sz w:val="24"/>
          <w:szCs w:val="24"/>
          <w:lang w:val="en"/>
        </w:rPr>
        <w:t>Obtain targeted feedback and technical advice from the primary stakeholders of the UCPM;</w:t>
      </w:r>
    </w:p>
    <w:p w:rsidR="00500553" w:rsidRDefault="00D978F2">
      <w:pPr>
        <w:pStyle w:val="ListParagraph"/>
        <w:numPr>
          <w:ilvl w:val="0"/>
          <w:numId w:val="66"/>
        </w:numPr>
        <w:spacing w:before="120" w:after="100" w:afterAutospacing="1"/>
        <w:jc w:val="both"/>
        <w:rPr>
          <w:rFonts w:ascii="Times New Roman" w:hAnsi="Times New Roman" w:cs="Times New Roman"/>
          <w:iCs/>
          <w:noProof/>
          <w:sz w:val="24"/>
          <w:szCs w:val="24"/>
          <w:lang w:val="en"/>
        </w:rPr>
      </w:pPr>
      <w:r>
        <w:rPr>
          <w:rFonts w:ascii="Times New Roman" w:hAnsi="Times New Roman" w:cs="Times New Roman"/>
          <w:iCs/>
          <w:noProof/>
          <w:sz w:val="24"/>
          <w:szCs w:val="24"/>
          <w:lang w:val="en"/>
        </w:rPr>
        <w:t>Gather evidence to support the interim evaluation of the UCPM for each of the main evaluation criteria.</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Commission contracted an external consul</w:t>
      </w:r>
      <w:r>
        <w:rPr>
          <w:rFonts w:ascii="Times New Roman" w:hAnsi="Times New Roman" w:cs="Times New Roman"/>
          <w:noProof/>
          <w:sz w:val="24"/>
          <w:szCs w:val="24"/>
        </w:rPr>
        <w:t>tant to carry out the consultations, prepare a report, and integrate the main findings into the final evaluation report.</w:t>
      </w:r>
    </w:p>
    <w:p w:rsidR="00500553" w:rsidRDefault="00D978F2">
      <w:pPr>
        <w:pStyle w:val="Heading1"/>
        <w:numPr>
          <w:ilvl w:val="0"/>
          <w:numId w:val="69"/>
        </w:numPr>
        <w:spacing w:before="480" w:line="276" w:lineRule="auto"/>
        <w:ind w:left="357" w:hanging="357"/>
        <w:rPr>
          <w:rFonts w:ascii="Times New Roman" w:hAnsi="Times New Roman" w:cs="Times New Roman"/>
          <w:noProof/>
          <w:szCs w:val="24"/>
          <w:lang w:val="en"/>
        </w:rPr>
      </w:pPr>
      <w:bookmarkStart w:id="91" w:name="_Toc489347878"/>
      <w:bookmarkStart w:id="92" w:name="_Toc489347976"/>
      <w:bookmarkStart w:id="93" w:name="_Toc489427652"/>
      <w:r>
        <w:rPr>
          <w:rFonts w:ascii="Times New Roman" w:hAnsi="Times New Roman" w:cs="Times New Roman"/>
          <w:noProof/>
          <w:szCs w:val="24"/>
          <w:lang w:val="en"/>
        </w:rPr>
        <w:t>SCOPE OF THE CONSULTATION</w:t>
      </w:r>
      <w:bookmarkEnd w:id="91"/>
      <w:bookmarkEnd w:id="92"/>
      <w:bookmarkEnd w:id="93"/>
    </w:p>
    <w:p w:rsidR="00500553" w:rsidRDefault="00D978F2">
      <w:pPr>
        <w:jc w:val="both"/>
        <w:rPr>
          <w:rFonts w:ascii="Times New Roman" w:hAnsi="Times New Roman" w:cs="Times New Roman"/>
          <w:iCs/>
          <w:noProof/>
          <w:sz w:val="24"/>
          <w:szCs w:val="24"/>
        </w:rPr>
      </w:pPr>
      <w:r>
        <w:rPr>
          <w:rFonts w:ascii="Times New Roman" w:hAnsi="Times New Roman" w:cs="Times New Roman"/>
          <w:noProof/>
          <w:sz w:val="24"/>
          <w:szCs w:val="24"/>
        </w:rPr>
        <w:t>In line with the objectives, a consultation strategy was set up based on the EC Better Regulations Guidelines</w:t>
      </w:r>
      <w:r>
        <w:rPr>
          <w:rFonts w:ascii="Times New Roman" w:hAnsi="Times New Roman" w:cs="Times New Roman"/>
          <w:noProof/>
          <w:sz w:val="24"/>
          <w:szCs w:val="24"/>
        </w:rPr>
        <w:t xml:space="preserve"> for conducting evaluations</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The consultation questions were based on the five criteria recommended by the Better Regulations guidelines: </w:t>
      </w:r>
      <w:r>
        <w:rPr>
          <w:rFonts w:ascii="Times New Roman" w:hAnsi="Times New Roman" w:cs="Times New Roman"/>
          <w:iCs/>
          <w:noProof/>
          <w:sz w:val="24"/>
          <w:szCs w:val="24"/>
        </w:rPr>
        <w:t>(1) Effectiveness, (2) Efficiency, (3) Relevance, (4) Coherence, and (5) EU added value. In addition, (6) Sustainabil</w:t>
      </w:r>
      <w:r>
        <w:rPr>
          <w:rFonts w:ascii="Times New Roman" w:hAnsi="Times New Roman" w:cs="Times New Roman"/>
          <w:iCs/>
          <w:noProof/>
          <w:sz w:val="24"/>
          <w:szCs w:val="24"/>
        </w:rPr>
        <w:t>ity was also added to the evaluation criteria and assessed via the consultation.</w:t>
      </w:r>
    </w:p>
    <w:p w:rsidR="00500553" w:rsidRDefault="00D978F2">
      <w:pPr>
        <w:jc w:val="both"/>
        <w:rPr>
          <w:rFonts w:ascii="Times New Roman" w:hAnsi="Times New Roman" w:cs="Times New Roman"/>
          <w:noProof/>
          <w:sz w:val="24"/>
          <w:szCs w:val="24"/>
        </w:rPr>
      </w:pPr>
      <w:r>
        <w:rPr>
          <w:rFonts w:ascii="Times New Roman" w:hAnsi="Times New Roman" w:cs="Times New Roman"/>
          <w:iCs/>
          <w:noProof/>
          <w:sz w:val="24"/>
          <w:szCs w:val="24"/>
        </w:rPr>
        <w:t xml:space="preserve">The consultations covered all activities carried out under the UCPM in the timeframe of January 2014 – December 2016. The evaluation encompassed actions carried out under the </w:t>
      </w:r>
      <w:r>
        <w:rPr>
          <w:rFonts w:ascii="Times New Roman" w:hAnsi="Times New Roman" w:cs="Times New Roman"/>
          <w:iCs/>
          <w:noProof/>
          <w:sz w:val="24"/>
          <w:szCs w:val="24"/>
        </w:rPr>
        <w:t>framework of the UCPM and spanning across the three fields of prevention, preparedness and response to natural and man-made disasters.</w:t>
      </w:r>
    </w:p>
    <w:p w:rsidR="00500553" w:rsidRDefault="00D978F2">
      <w:pPr>
        <w:pStyle w:val="Heading1"/>
        <w:numPr>
          <w:ilvl w:val="0"/>
          <w:numId w:val="69"/>
        </w:numPr>
        <w:spacing w:before="480" w:line="276" w:lineRule="auto"/>
        <w:ind w:left="357" w:hanging="357"/>
        <w:rPr>
          <w:rFonts w:ascii="Times New Roman" w:hAnsi="Times New Roman" w:cs="Times New Roman"/>
          <w:iCs/>
          <w:noProof/>
          <w:szCs w:val="24"/>
          <w:lang w:val="en"/>
        </w:rPr>
      </w:pPr>
      <w:bookmarkStart w:id="94" w:name="_Toc489347879"/>
      <w:bookmarkStart w:id="95" w:name="_Toc489347977"/>
      <w:bookmarkStart w:id="96" w:name="_Toc489427653"/>
      <w:r>
        <w:rPr>
          <w:rFonts w:ascii="Times New Roman" w:hAnsi="Times New Roman" w:cs="Times New Roman"/>
          <w:noProof/>
          <w:szCs w:val="24"/>
        </w:rPr>
        <w:t>STAKEHOLDER GROUPS COVERED BY THE CONSULTATION ACTIVITIES</w:t>
      </w:r>
      <w:bookmarkEnd w:id="94"/>
      <w:bookmarkEnd w:id="95"/>
      <w:bookmarkEnd w:id="96"/>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following stakeholders were identified for input collection</w:t>
      </w:r>
      <w:r>
        <w:rPr>
          <w:rFonts w:ascii="Times New Roman" w:hAnsi="Times New Roman" w:cs="Times New Roman"/>
          <w:noProof/>
          <w:sz w:val="24"/>
          <w:szCs w:val="24"/>
        </w:rPr>
        <w:t>:</w:t>
      </w:r>
    </w:p>
    <w:p w:rsidR="00500553" w:rsidRDefault="00D978F2">
      <w:pPr>
        <w:pStyle w:val="ListParagraph"/>
        <w:numPr>
          <w:ilvl w:val="0"/>
          <w:numId w:val="67"/>
        </w:numPr>
        <w:spacing w:before="120"/>
        <w:jc w:val="both"/>
        <w:rPr>
          <w:rFonts w:ascii="Times New Roman" w:hAnsi="Times New Roman" w:cs="Times New Roman"/>
          <w:noProof/>
          <w:sz w:val="24"/>
          <w:szCs w:val="24"/>
        </w:rPr>
      </w:pPr>
      <w:r>
        <w:rPr>
          <w:rFonts w:ascii="Times New Roman" w:hAnsi="Times New Roman" w:cs="Times New Roman"/>
          <w:noProof/>
          <w:sz w:val="24"/>
          <w:szCs w:val="24"/>
          <w:u w:val="single"/>
        </w:rPr>
        <w:t>Entities implementing the UCPM</w:t>
      </w:r>
      <w:r>
        <w:rPr>
          <w:rFonts w:ascii="Times New Roman" w:hAnsi="Times New Roman" w:cs="Times New Roman"/>
          <w:noProof/>
          <w:sz w:val="24"/>
          <w:szCs w:val="24"/>
        </w:rPr>
        <w:t>: Member States (MS) Civil Protection (CP) authorities contributing with modules and/or experts to the Voluntary Pool; Other MS CP authorities; non-MS Participating States (PS) CP authorities.</w:t>
      </w:r>
    </w:p>
    <w:p w:rsidR="00500553" w:rsidRDefault="00D978F2">
      <w:pPr>
        <w:pStyle w:val="ListParagraph"/>
        <w:numPr>
          <w:ilvl w:val="0"/>
          <w:numId w:val="67"/>
        </w:numPr>
        <w:spacing w:before="120"/>
        <w:jc w:val="both"/>
        <w:rPr>
          <w:rFonts w:ascii="Times New Roman" w:hAnsi="Times New Roman" w:cs="Times New Roman"/>
          <w:noProof/>
          <w:sz w:val="24"/>
          <w:szCs w:val="24"/>
        </w:rPr>
      </w:pPr>
      <w:r>
        <w:rPr>
          <w:rFonts w:ascii="Times New Roman" w:hAnsi="Times New Roman" w:cs="Times New Roman"/>
          <w:noProof/>
          <w:sz w:val="24"/>
          <w:szCs w:val="24"/>
          <w:u w:val="single"/>
        </w:rPr>
        <w:t>Entities affected by the UCPM</w:t>
      </w:r>
      <w:r>
        <w:rPr>
          <w:rFonts w:ascii="Times New Roman" w:hAnsi="Times New Roman" w:cs="Times New Roman"/>
          <w:noProof/>
          <w:sz w:val="24"/>
          <w:szCs w:val="24"/>
        </w:rPr>
        <w:t xml:space="preserve">: </w:t>
      </w:r>
      <w:r>
        <w:rPr>
          <w:rFonts w:ascii="Times New Roman" w:hAnsi="Times New Roman" w:cs="Times New Roman"/>
          <w:noProof/>
          <w:sz w:val="24"/>
          <w:szCs w:val="24"/>
        </w:rPr>
        <w:t>Host countries having received UCPM support (EU, Accession, Neighbourhood, and Third Countries), European Parliament, Committee of Regions, local authorities.</w:t>
      </w:r>
    </w:p>
    <w:p w:rsidR="00500553" w:rsidRDefault="00D978F2">
      <w:pPr>
        <w:pStyle w:val="ListParagraph"/>
        <w:numPr>
          <w:ilvl w:val="0"/>
          <w:numId w:val="67"/>
        </w:numPr>
        <w:spacing w:before="120"/>
        <w:jc w:val="both"/>
        <w:rPr>
          <w:rFonts w:ascii="Times New Roman" w:hAnsi="Times New Roman" w:cs="Times New Roman"/>
          <w:noProof/>
          <w:sz w:val="24"/>
          <w:szCs w:val="24"/>
        </w:rPr>
      </w:pPr>
      <w:r>
        <w:rPr>
          <w:rFonts w:ascii="Times New Roman" w:hAnsi="Times New Roman" w:cs="Times New Roman"/>
          <w:noProof/>
          <w:sz w:val="24"/>
          <w:szCs w:val="24"/>
          <w:u w:val="single"/>
        </w:rPr>
        <w:t>Entities with a stated interest in the UCPM</w:t>
      </w:r>
      <w:r>
        <w:rPr>
          <w:rFonts w:ascii="Times New Roman" w:hAnsi="Times New Roman" w:cs="Times New Roman"/>
          <w:noProof/>
          <w:sz w:val="24"/>
          <w:szCs w:val="24"/>
        </w:rPr>
        <w:t>: EU MS (authorities other than CP</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 non-MS PS (autho</w:t>
      </w:r>
      <w:r>
        <w:rPr>
          <w:rFonts w:ascii="Times New Roman" w:hAnsi="Times New Roman" w:cs="Times New Roman"/>
          <w:noProof/>
          <w:sz w:val="24"/>
          <w:szCs w:val="24"/>
        </w:rPr>
        <w:t>rities other than CP), UN agencies, World Bank, NGOs, private sector, foundations, etc.</w:t>
      </w:r>
    </w:p>
    <w:p w:rsidR="00500553" w:rsidRDefault="00D978F2">
      <w:pPr>
        <w:pStyle w:val="ListParagraph"/>
        <w:numPr>
          <w:ilvl w:val="0"/>
          <w:numId w:val="67"/>
        </w:numPr>
        <w:spacing w:before="120"/>
        <w:jc w:val="both"/>
        <w:rPr>
          <w:rFonts w:ascii="Times New Roman" w:hAnsi="Times New Roman" w:cs="Times New Roman"/>
          <w:noProof/>
          <w:sz w:val="24"/>
          <w:szCs w:val="24"/>
        </w:rPr>
      </w:pPr>
      <w:r>
        <w:rPr>
          <w:rFonts w:ascii="Times New Roman" w:hAnsi="Times New Roman" w:cs="Times New Roman"/>
          <w:noProof/>
          <w:sz w:val="24"/>
          <w:szCs w:val="24"/>
          <w:u w:val="single"/>
        </w:rPr>
        <w:t>Entities having expertise relevant to the UCPM</w:t>
      </w:r>
      <w:r>
        <w:rPr>
          <w:rFonts w:ascii="Times New Roman" w:hAnsi="Times New Roman" w:cs="Times New Roman"/>
          <w:noProof/>
          <w:sz w:val="24"/>
          <w:szCs w:val="24"/>
        </w:rPr>
        <w:t xml:space="preserve"> (i.e. disaster risk management): universities/centres of excellence and think tanks, mainly in PS.</w:t>
      </w:r>
    </w:p>
    <w:p w:rsidR="00500553" w:rsidRDefault="00D978F2">
      <w:pPr>
        <w:jc w:val="both"/>
        <w:rPr>
          <w:rFonts w:ascii="Times New Roman" w:hAnsi="Times New Roman" w:cs="Times New Roman"/>
          <w:b/>
          <w:noProof/>
          <w:sz w:val="24"/>
          <w:szCs w:val="24"/>
        </w:rPr>
      </w:pPr>
      <w:r>
        <w:rPr>
          <w:rFonts w:ascii="Times New Roman" w:hAnsi="Times New Roman" w:cs="Times New Roman"/>
          <w:noProof/>
          <w:sz w:val="24"/>
          <w:szCs w:val="24"/>
        </w:rPr>
        <w:t>The Open Public Consul</w:t>
      </w:r>
      <w:r>
        <w:rPr>
          <w:rFonts w:ascii="Times New Roman" w:hAnsi="Times New Roman" w:cs="Times New Roman"/>
          <w:noProof/>
          <w:sz w:val="24"/>
          <w:szCs w:val="24"/>
        </w:rPr>
        <w:t>tation included views from all of the four groups above whereas the targeted consultation focused on the following ones: entities implementing the UCPM, entities affected by the UCPM, and entities with a stated interest in the UCPM.</w:t>
      </w:r>
    </w:p>
    <w:p w:rsidR="00500553" w:rsidRDefault="00D978F2">
      <w:pPr>
        <w:pStyle w:val="Heading1"/>
        <w:numPr>
          <w:ilvl w:val="0"/>
          <w:numId w:val="69"/>
        </w:numPr>
        <w:spacing w:before="480" w:line="276" w:lineRule="auto"/>
        <w:ind w:left="357" w:hanging="357"/>
        <w:rPr>
          <w:rFonts w:ascii="Times New Roman" w:hAnsi="Times New Roman" w:cs="Times New Roman"/>
          <w:noProof/>
          <w:szCs w:val="24"/>
          <w:lang w:val="en"/>
        </w:rPr>
      </w:pPr>
      <w:bookmarkStart w:id="97" w:name="_Toc489347880"/>
      <w:bookmarkStart w:id="98" w:name="_Toc489347978"/>
      <w:bookmarkStart w:id="99" w:name="_Toc489427654"/>
      <w:r>
        <w:rPr>
          <w:rFonts w:ascii="Times New Roman" w:hAnsi="Times New Roman" w:cs="Times New Roman"/>
          <w:noProof/>
          <w:szCs w:val="24"/>
          <w:lang w:val="en"/>
        </w:rPr>
        <w:t>CONSULTATION METHODS AN</w:t>
      </w:r>
      <w:r>
        <w:rPr>
          <w:rFonts w:ascii="Times New Roman" w:hAnsi="Times New Roman" w:cs="Times New Roman"/>
          <w:noProof/>
          <w:szCs w:val="24"/>
          <w:lang w:val="en"/>
        </w:rPr>
        <w:t>D TOOLS</w:t>
      </w:r>
      <w:bookmarkEnd w:id="97"/>
      <w:bookmarkEnd w:id="98"/>
      <w:bookmarkEnd w:id="99"/>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overall consultation strategy aimed at gathering information and opinions on the implementation of the Decision as well as to test analyses and findings. Stakeholders were consulted through the following means:</w:t>
      </w:r>
    </w:p>
    <w:p w:rsidR="00500553" w:rsidRDefault="00D978F2">
      <w:pPr>
        <w:pStyle w:val="ListParagraph"/>
        <w:numPr>
          <w:ilvl w:val="0"/>
          <w:numId w:val="77"/>
        </w:numPr>
        <w:spacing w:before="120"/>
        <w:jc w:val="both"/>
        <w:rPr>
          <w:rFonts w:ascii="Times New Roman" w:hAnsi="Times New Roman" w:cs="Times New Roman"/>
          <w:noProof/>
          <w:sz w:val="24"/>
          <w:szCs w:val="24"/>
        </w:rPr>
      </w:pPr>
      <w:r>
        <w:rPr>
          <w:rFonts w:ascii="Times New Roman" w:hAnsi="Times New Roman" w:cs="Times New Roman"/>
          <w:noProof/>
          <w:sz w:val="24"/>
          <w:szCs w:val="24"/>
        </w:rPr>
        <w:t>Interviews</w:t>
      </w:r>
    </w:p>
    <w:p w:rsidR="00500553" w:rsidRDefault="00D978F2">
      <w:pPr>
        <w:pStyle w:val="ListParagraph"/>
        <w:numPr>
          <w:ilvl w:val="0"/>
          <w:numId w:val="77"/>
        </w:numPr>
        <w:spacing w:before="120"/>
        <w:jc w:val="both"/>
        <w:rPr>
          <w:rFonts w:ascii="Times New Roman" w:hAnsi="Times New Roman" w:cs="Times New Roman"/>
          <w:noProof/>
          <w:sz w:val="24"/>
          <w:szCs w:val="24"/>
        </w:rPr>
      </w:pPr>
      <w:r>
        <w:rPr>
          <w:rFonts w:ascii="Times New Roman" w:hAnsi="Times New Roman" w:cs="Times New Roman"/>
          <w:noProof/>
          <w:sz w:val="24"/>
          <w:szCs w:val="24"/>
        </w:rPr>
        <w:t>Online surveys</w:t>
      </w:r>
    </w:p>
    <w:p w:rsidR="00500553" w:rsidRDefault="00D978F2">
      <w:pPr>
        <w:pStyle w:val="ListParagraph"/>
        <w:numPr>
          <w:ilvl w:val="0"/>
          <w:numId w:val="77"/>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Open </w:t>
      </w:r>
      <w:r>
        <w:rPr>
          <w:rFonts w:ascii="Times New Roman" w:hAnsi="Times New Roman" w:cs="Times New Roman"/>
          <w:noProof/>
          <w:sz w:val="24"/>
          <w:szCs w:val="24"/>
        </w:rPr>
        <w:t>Public Consultation</w:t>
      </w:r>
    </w:p>
    <w:p w:rsidR="00500553" w:rsidRDefault="00D978F2">
      <w:pPr>
        <w:pStyle w:val="ListParagraph"/>
        <w:numPr>
          <w:ilvl w:val="0"/>
          <w:numId w:val="77"/>
        </w:numPr>
        <w:spacing w:before="120"/>
        <w:jc w:val="both"/>
        <w:rPr>
          <w:rFonts w:ascii="Times New Roman" w:hAnsi="Times New Roman" w:cs="Times New Roman"/>
          <w:noProof/>
          <w:sz w:val="24"/>
          <w:szCs w:val="24"/>
        </w:rPr>
      </w:pPr>
      <w:r>
        <w:rPr>
          <w:rFonts w:ascii="Times New Roman" w:hAnsi="Times New Roman" w:cs="Times New Roman"/>
          <w:noProof/>
          <w:sz w:val="24"/>
          <w:szCs w:val="24"/>
        </w:rPr>
        <w:t>Case studies</w:t>
      </w: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00" w:name="_Toc489347881"/>
      <w:bookmarkStart w:id="101" w:name="_Toc489347979"/>
      <w:bookmarkStart w:id="102" w:name="_Toc489427655"/>
      <w:r>
        <w:rPr>
          <w:rFonts w:ascii="Times New Roman" w:hAnsi="Times New Roman" w:cs="Times New Roman"/>
          <w:noProof/>
          <w:sz w:val="24"/>
          <w:szCs w:val="24"/>
        </w:rPr>
        <w:t>Interviews</w:t>
      </w:r>
      <w:bookmarkEnd w:id="100"/>
      <w:bookmarkEnd w:id="101"/>
      <w:bookmarkEnd w:id="102"/>
    </w:p>
    <w:p w:rsidR="00500553" w:rsidRDefault="00D978F2">
      <w:pPr>
        <w:pStyle w:val="BodyText"/>
        <w:spacing w:line="276"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Interviews were expected to be completed by end of February. In agreement with the ISG, it was decided to extend the consultation period until April to finalise two interviews with an EU Agency and an external ev</w:t>
      </w:r>
      <w:r>
        <w:rPr>
          <w:rFonts w:ascii="Times New Roman" w:hAnsi="Times New Roman" w:cs="Times New Roman"/>
          <w:noProof/>
          <w:color w:val="auto"/>
          <w:sz w:val="24"/>
          <w:szCs w:val="24"/>
        </w:rPr>
        <w:t>aluator that could not be undertaken beforehand.</w:t>
      </w:r>
    </w:p>
    <w:p w:rsidR="00500553" w:rsidRDefault="00D978F2">
      <w:pPr>
        <w:pStyle w:val="BodyText"/>
        <w:spacing w:line="276" w:lineRule="auto"/>
        <w:jc w:val="both"/>
        <w:rPr>
          <w:rFonts w:ascii="Times New Roman" w:hAnsi="Times New Roman" w:cs="Times New Roman"/>
          <w:b/>
          <w:noProof/>
          <w:color w:val="auto"/>
          <w:sz w:val="24"/>
          <w:szCs w:val="24"/>
        </w:rPr>
      </w:pPr>
      <w:r>
        <w:rPr>
          <w:rFonts w:ascii="Times New Roman" w:hAnsi="Times New Roman" w:cs="Times New Roman"/>
          <w:noProof/>
          <w:sz w:val="24"/>
          <w:szCs w:val="24"/>
        </w:rPr>
        <w:t>A total of 40 interviews with stakeholders were originally planned however, in the end, 64 interviews were carried out. In particular, the external contractor conducted a higher number than planned interview</w:t>
      </w:r>
      <w:r>
        <w:rPr>
          <w:rFonts w:ascii="Times New Roman" w:hAnsi="Times New Roman" w:cs="Times New Roman"/>
          <w:noProof/>
          <w:sz w:val="24"/>
          <w:szCs w:val="24"/>
        </w:rPr>
        <w:t>s with: DG ECHO officers, other DGs, EU Agencies, among others.</w:t>
      </w:r>
    </w:p>
    <w:p w:rsidR="00500553" w:rsidRDefault="00D978F2">
      <w:pPr>
        <w:pStyle w:val="BodyText"/>
        <w:spacing w:line="276" w:lineRule="auto"/>
        <w:jc w:val="both"/>
        <w:rPr>
          <w:rFonts w:ascii="Times New Roman" w:hAnsi="Times New Roman" w:cs="Times New Roman"/>
          <w:noProof/>
          <w:sz w:val="24"/>
          <w:szCs w:val="24"/>
        </w:rPr>
      </w:pPr>
      <w:r>
        <w:rPr>
          <w:rFonts w:ascii="Times New Roman" w:hAnsi="Times New Roman" w:cs="Times New Roman"/>
          <w:noProof/>
          <w:color w:val="auto"/>
          <w:sz w:val="24"/>
          <w:szCs w:val="24"/>
        </w:rPr>
        <w:t>Telephone and face-to-face interviews were conducted with relevant staff from a broad range of EC Directorates-General (DGs) and EU services, i.e.ECHO ENV, CLIMA, NEAR, HOME, SANTE, ENER, EU-A</w:t>
      </w:r>
      <w:r>
        <w:rPr>
          <w:rFonts w:ascii="Times New Roman" w:hAnsi="Times New Roman" w:cs="Times New Roman"/>
          <w:noProof/>
          <w:color w:val="auto"/>
          <w:sz w:val="24"/>
          <w:szCs w:val="24"/>
        </w:rPr>
        <w:t>gencies (ECDC, EMSA, EASO, EEA), as well as with ECHO international partners including disaster management-focused organisations (e.g. UN agencies) and national authorities from Participating States. Interviews with professional organisations (e.g. exchang</w:t>
      </w:r>
      <w:r>
        <w:rPr>
          <w:rFonts w:ascii="Times New Roman" w:hAnsi="Times New Roman" w:cs="Times New Roman"/>
          <w:noProof/>
          <w:color w:val="auto"/>
          <w:sz w:val="24"/>
          <w:szCs w:val="24"/>
        </w:rPr>
        <w:t>e of experts programme manager, exercise provider, transport provider) and with external evaluators (External Evaluation of EMSA, External Evaluation of PPRD South II) were also carried out.</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main purposes of these interviews were to:</w:t>
      </w:r>
    </w:p>
    <w:p w:rsidR="00500553" w:rsidRDefault="00D978F2">
      <w:pPr>
        <w:pStyle w:val="NoSpacing"/>
        <w:numPr>
          <w:ilvl w:val="0"/>
          <w:numId w:val="68"/>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Collect evaluative</w:t>
      </w:r>
      <w:r>
        <w:rPr>
          <w:rFonts w:ascii="Times New Roman" w:hAnsi="Times New Roman" w:cs="Times New Roman"/>
          <w:noProof/>
          <w:sz w:val="24"/>
          <w:szCs w:val="24"/>
        </w:rPr>
        <w:t xml:space="preserve"> evidence with regard to the effectiveness, efficiency, relevance, coherence, EU added value and sustainability of the mechanism; and</w:t>
      </w:r>
    </w:p>
    <w:p w:rsidR="00500553" w:rsidRDefault="00D978F2">
      <w:pPr>
        <w:pStyle w:val="NoSpacing"/>
        <w:numPr>
          <w:ilvl w:val="0"/>
          <w:numId w:val="68"/>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Outline the lessons learned, success factors, gaps and areas for improvement.</w:t>
      </w:r>
    </w:p>
    <w:p w:rsidR="00500553" w:rsidRDefault="00500553">
      <w:pPr>
        <w:pStyle w:val="NoSpacing"/>
        <w:spacing w:line="276" w:lineRule="auto"/>
        <w:ind w:left="720"/>
        <w:jc w:val="both"/>
        <w:rPr>
          <w:rFonts w:ascii="Times New Roman" w:hAnsi="Times New Roman" w:cs="Times New Roman"/>
          <w:noProof/>
          <w:sz w:val="24"/>
          <w:szCs w:val="24"/>
        </w:rPr>
      </w:pP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03" w:name="_Toc489347882"/>
      <w:bookmarkStart w:id="104" w:name="_Toc489347980"/>
      <w:bookmarkStart w:id="105" w:name="_Toc489427656"/>
      <w:r>
        <w:rPr>
          <w:rFonts w:ascii="Times New Roman" w:hAnsi="Times New Roman" w:cs="Times New Roman"/>
          <w:noProof/>
          <w:sz w:val="24"/>
          <w:szCs w:val="24"/>
        </w:rPr>
        <w:t>Online surveys</w:t>
      </w:r>
      <w:bookmarkEnd w:id="103"/>
      <w:bookmarkEnd w:id="104"/>
      <w:bookmarkEnd w:id="105"/>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reach the large </w:t>
      </w:r>
      <w:r>
        <w:rPr>
          <w:rFonts w:ascii="Times New Roman" w:hAnsi="Times New Roman" w:cs="Times New Roman"/>
          <w:noProof/>
          <w:sz w:val="24"/>
          <w:szCs w:val="24"/>
        </w:rPr>
        <w:t>number of actors involved in the implementation of the Union Mechanism over the 2014-2016, five (rather than the initially planned four) online surveys were carried out targeting the following stakeholder (sub-)groups:</w:t>
      </w:r>
    </w:p>
    <w:p w:rsidR="00500553" w:rsidRDefault="00D978F2">
      <w:pPr>
        <w:pStyle w:val="NumbList1"/>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National CP authorities Contact Point</w:t>
      </w:r>
      <w:r>
        <w:rPr>
          <w:rFonts w:ascii="Times New Roman" w:hAnsi="Times New Roman" w:cs="Times New Roman"/>
          <w:noProof/>
          <w:sz w:val="24"/>
          <w:szCs w:val="24"/>
        </w:rPr>
        <w:t>s;</w:t>
      </w:r>
    </w:p>
    <w:p w:rsidR="00500553" w:rsidRDefault="00D978F2">
      <w:pPr>
        <w:pStyle w:val="NumbList1"/>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Other relevant national authorities (e.g. other line ministries);</w:t>
      </w:r>
    </w:p>
    <w:p w:rsidR="00500553" w:rsidRDefault="00D978F2">
      <w:pPr>
        <w:pStyle w:val="NumbList1"/>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Trainers and National Training Coordinators;</w:t>
      </w:r>
    </w:p>
    <w:p w:rsidR="00500553" w:rsidRDefault="00D978F2">
      <w:pPr>
        <w:pStyle w:val="NumbList1"/>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CP experts participating in the exchange of experts programme</w:t>
      </w:r>
    </w:p>
    <w:p w:rsidR="00500553" w:rsidRDefault="00D978F2">
      <w:pPr>
        <w:pStyle w:val="NumbList1"/>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Leads of prevention and preparedness projects.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five online surveys were laun</w:t>
      </w:r>
      <w:r>
        <w:rPr>
          <w:rFonts w:ascii="Times New Roman" w:hAnsi="Times New Roman" w:cs="Times New Roman"/>
          <w:noProof/>
          <w:sz w:val="24"/>
          <w:szCs w:val="24"/>
        </w:rPr>
        <w:t>ched through an online application and a separate web-link was distributed to each target group, focused along the lines of the evaluation questions.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The surveys were launched three weeks later than initially scheduled (mid-December 2016) but all remained </w:t>
      </w:r>
      <w:r>
        <w:rPr>
          <w:rFonts w:ascii="Times New Roman" w:hAnsi="Times New Roman" w:cs="Times New Roman"/>
          <w:noProof/>
          <w:sz w:val="24"/>
          <w:szCs w:val="24"/>
        </w:rPr>
        <w:t>open for six weeks (as initially envisaged) in order to generate the maximum number of replies for each of these five surveys. In view of response rates being in line or beyond expectations the three-week delay is not considered to have had an impact on th</w:t>
      </w:r>
      <w:r>
        <w:rPr>
          <w:rFonts w:ascii="Times New Roman" w:hAnsi="Times New Roman" w:cs="Times New Roman"/>
          <w:noProof/>
          <w:sz w:val="24"/>
          <w:szCs w:val="24"/>
        </w:rPr>
        <w:t>e findings presented in the final report.</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response rate for the National civil protection authorities Contact Point survey was higher than expected, as well as for the other relevant national authorities and experts in the exchange of experts programme</w:t>
      </w:r>
      <w:r>
        <w:rPr>
          <w:rFonts w:ascii="Times New Roman" w:hAnsi="Times New Roman" w:cs="Times New Roman"/>
          <w:noProof/>
          <w:sz w:val="24"/>
          <w:szCs w:val="24"/>
        </w:rPr>
        <w:t>. Responses received from National Contact Points were followed up with phone interviews. The response rate from national training coordinators was initially lower than for civil protection authorities and project coordinators (initially due to missing con</w:t>
      </w:r>
      <w:r>
        <w:rPr>
          <w:rFonts w:ascii="Times New Roman" w:hAnsi="Times New Roman" w:cs="Times New Roman"/>
          <w:noProof/>
          <w:sz w:val="24"/>
          <w:szCs w:val="24"/>
        </w:rPr>
        <w:t>tact details) but additional reminders were sent and the survey closure date was extended to the end of February 2017.</w:t>
      </w: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06" w:name="_Toc489347883"/>
      <w:bookmarkStart w:id="107" w:name="_Toc489347981"/>
      <w:bookmarkStart w:id="108" w:name="_Toc489427657"/>
      <w:r>
        <w:rPr>
          <w:rFonts w:ascii="Times New Roman" w:hAnsi="Times New Roman" w:cs="Times New Roman"/>
          <w:noProof/>
          <w:sz w:val="24"/>
          <w:szCs w:val="24"/>
        </w:rPr>
        <w:t>Open Public Consultation</w:t>
      </w:r>
      <w:bookmarkEnd w:id="106"/>
      <w:bookmarkEnd w:id="107"/>
      <w:bookmarkEnd w:id="108"/>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launched an Open Public Consultation (OPC) on the implementation and performance of the Union </w:t>
      </w:r>
      <w:r>
        <w:rPr>
          <w:rFonts w:ascii="Times New Roman" w:hAnsi="Times New Roman" w:cs="Times New Roman"/>
          <w:noProof/>
          <w:sz w:val="24"/>
          <w:szCs w:val="24"/>
        </w:rPr>
        <w:t>Mechanism for a period of three months, starting on the 24 November 2016 and ending on 23 February 2017. The OPC was divided in two parts - one designed for respondents who indicated to have limited/no knowledge of the Mechanism and one for those with in-d</w:t>
      </w:r>
      <w:r>
        <w:rPr>
          <w:rFonts w:ascii="Times New Roman" w:hAnsi="Times New Roman" w:cs="Times New Roman"/>
          <w:noProof/>
          <w:sz w:val="24"/>
          <w:szCs w:val="24"/>
        </w:rPr>
        <w:t>epth knowledge. In total the OPC led to 67 answers for the survey from respondents without in-depth knowledge about the UCPM and 61 answers to the survey from respondents with in-depth knowledge about the UCPM, from 26 countries.</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A brief summary of the ma</w:t>
      </w:r>
      <w:r>
        <w:rPr>
          <w:rFonts w:ascii="Times New Roman" w:hAnsi="Times New Roman" w:cs="Times New Roman"/>
          <w:noProof/>
          <w:sz w:val="24"/>
          <w:szCs w:val="24"/>
        </w:rPr>
        <w:t>in elements raised by respondents is included in section 7 below.</w:t>
      </w: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09" w:name="_Toc489347884"/>
      <w:bookmarkStart w:id="110" w:name="_Toc489347982"/>
      <w:bookmarkStart w:id="111" w:name="_Toc489427658"/>
      <w:r>
        <w:rPr>
          <w:rFonts w:ascii="Times New Roman" w:hAnsi="Times New Roman" w:cs="Times New Roman"/>
          <w:noProof/>
          <w:sz w:val="24"/>
          <w:szCs w:val="24"/>
        </w:rPr>
        <w:t>Case Studies</w:t>
      </w:r>
      <w:bookmarkEnd w:id="109"/>
      <w:bookmarkEnd w:id="110"/>
      <w:bookmarkEnd w:id="111"/>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Three case studies were also carried out as part of the stakeholder consultation for this evaluation. The information collected was analysed and used to triangulate information received from all consultation tools. The case studies selected were: (1) a cas</w:t>
      </w:r>
      <w:r>
        <w:rPr>
          <w:rFonts w:ascii="Times New Roman" w:hAnsi="Times New Roman" w:cs="Times New Roman"/>
          <w:noProof/>
          <w:sz w:val="24"/>
          <w:szCs w:val="24"/>
        </w:rPr>
        <w:t xml:space="preserve">e study on </w:t>
      </w:r>
      <w:r>
        <w:rPr>
          <w:rFonts w:ascii="Times New Roman" w:hAnsi="Times New Roman" w:cs="Times New Roman"/>
          <w:b/>
          <w:noProof/>
          <w:sz w:val="24"/>
          <w:szCs w:val="24"/>
        </w:rPr>
        <w:t>forest fires in Cyprus</w:t>
      </w:r>
      <w:r>
        <w:rPr>
          <w:rFonts w:ascii="Times New Roman" w:hAnsi="Times New Roman" w:cs="Times New Roman"/>
          <w:noProof/>
          <w:sz w:val="24"/>
          <w:szCs w:val="24"/>
        </w:rPr>
        <w:t xml:space="preserve">; (2) a </w:t>
      </w:r>
      <w:r>
        <w:rPr>
          <w:rFonts w:ascii="Times New Roman" w:hAnsi="Times New Roman" w:cs="Times New Roman"/>
          <w:b/>
          <w:noProof/>
          <w:sz w:val="24"/>
          <w:szCs w:val="24"/>
        </w:rPr>
        <w:t>module exercise (ModEx) in Estonia</w:t>
      </w:r>
      <w:r>
        <w:rPr>
          <w:rFonts w:ascii="Times New Roman" w:hAnsi="Times New Roman" w:cs="Times New Roman"/>
          <w:noProof/>
          <w:sz w:val="24"/>
          <w:szCs w:val="24"/>
        </w:rPr>
        <w:t xml:space="preserve">; and (3) the case study of the </w:t>
      </w:r>
      <w:r>
        <w:rPr>
          <w:rFonts w:ascii="Times New Roman" w:hAnsi="Times New Roman" w:cs="Times New Roman"/>
          <w:b/>
          <w:noProof/>
          <w:sz w:val="24"/>
          <w:szCs w:val="24"/>
        </w:rPr>
        <w:t>response to the migration emergency on the Balkan route</w:t>
      </w:r>
      <w:r>
        <w:rPr>
          <w:rFonts w:ascii="Times New Roman" w:hAnsi="Times New Roman" w:cs="Times New Roman"/>
          <w:noProof/>
          <w:sz w:val="24"/>
          <w:szCs w:val="24"/>
        </w:rPr>
        <w:t>. During these case studies a total of 23 interviews were conducted with relevant stakeholders</w:t>
      </w:r>
      <w:r>
        <w:rPr>
          <w:rFonts w:ascii="Times New Roman" w:hAnsi="Times New Roman" w:cs="Times New Roman"/>
          <w:noProof/>
          <w:sz w:val="24"/>
          <w:szCs w:val="24"/>
        </w:rPr>
        <w:t xml:space="preserve"> (members of relevant ministries and national civil protection authorities, local experts, trainers, etc.). The case studies also served to test and confirm preliminary findings.</w:t>
      </w:r>
    </w:p>
    <w:p w:rsidR="00500553" w:rsidRDefault="00D978F2">
      <w:pPr>
        <w:pStyle w:val="Heading1"/>
        <w:numPr>
          <w:ilvl w:val="0"/>
          <w:numId w:val="69"/>
        </w:numPr>
        <w:spacing w:before="480" w:line="276" w:lineRule="auto"/>
        <w:ind w:left="357" w:hanging="357"/>
        <w:rPr>
          <w:rFonts w:ascii="Times New Roman" w:hAnsi="Times New Roman" w:cs="Times New Roman"/>
          <w:noProof/>
          <w:szCs w:val="24"/>
        </w:rPr>
      </w:pPr>
      <w:bookmarkStart w:id="112" w:name="_Toc489347885"/>
      <w:bookmarkStart w:id="113" w:name="_Toc489347983"/>
      <w:bookmarkStart w:id="114" w:name="_Toc489427659"/>
      <w:r>
        <w:rPr>
          <w:rFonts w:ascii="Times New Roman" w:hAnsi="Times New Roman" w:cs="Times New Roman"/>
          <w:noProof/>
          <w:szCs w:val="24"/>
        </w:rPr>
        <w:t>RESULTS OF EACH OF THE CONSULTATION ACTIVITIES (TARGETED)</w:t>
      </w:r>
      <w:bookmarkEnd w:id="112"/>
      <w:bookmarkEnd w:id="113"/>
      <w:bookmarkEnd w:id="114"/>
    </w:p>
    <w:p w:rsidR="00500553" w:rsidRDefault="00D978F2">
      <w:pPr>
        <w:spacing w:after="240"/>
        <w:jc w:val="both"/>
        <w:rPr>
          <w:rFonts w:ascii="Times New Roman" w:hAnsi="Times New Roman" w:cs="Times New Roman"/>
          <w:iCs/>
          <w:noProof/>
          <w:sz w:val="24"/>
          <w:szCs w:val="24"/>
        </w:rPr>
      </w:pPr>
      <w:r>
        <w:rPr>
          <w:rFonts w:ascii="Times New Roman" w:hAnsi="Times New Roman" w:cs="Times New Roman"/>
          <w:iCs/>
          <w:noProof/>
          <w:sz w:val="24"/>
          <w:szCs w:val="24"/>
        </w:rPr>
        <w:t>This section presen</w:t>
      </w:r>
      <w:r>
        <w:rPr>
          <w:rFonts w:ascii="Times New Roman" w:hAnsi="Times New Roman" w:cs="Times New Roman"/>
          <w:iCs/>
          <w:noProof/>
          <w:sz w:val="24"/>
          <w:szCs w:val="24"/>
        </w:rPr>
        <w:t xml:space="preserve">ts a summary of the views of the main stakeholders responding to each of the evaluation questions (i.e. Relevance, Effectiveness, Efficiency, Coherence, Added Value and Sustainability). Stakeholders have been divided into three main categories, namely: a) </w:t>
      </w:r>
      <w:r>
        <w:rPr>
          <w:rFonts w:ascii="Times New Roman" w:hAnsi="Times New Roman" w:cs="Times New Roman"/>
          <w:iCs/>
          <w:noProof/>
          <w:sz w:val="24"/>
          <w:szCs w:val="24"/>
        </w:rPr>
        <w:t>Participating States; b) EC Services; and c) International Partners. This division corresponds to the way the data was presented by the external contractor in the Interim Evaluation.</w:t>
      </w:r>
    </w:p>
    <w:p w:rsidR="00500553" w:rsidRDefault="00D978F2">
      <w:pPr>
        <w:spacing w:after="240"/>
        <w:jc w:val="both"/>
        <w:rPr>
          <w:rFonts w:ascii="Times New Roman" w:hAnsi="Times New Roman" w:cs="Times New Roman"/>
          <w:iCs/>
          <w:noProof/>
          <w:sz w:val="24"/>
          <w:szCs w:val="24"/>
        </w:rPr>
      </w:pPr>
      <w:r>
        <w:rPr>
          <w:rFonts w:ascii="Times New Roman" w:hAnsi="Times New Roman" w:cs="Times New Roman"/>
          <w:iCs/>
          <w:noProof/>
          <w:sz w:val="24"/>
          <w:szCs w:val="24"/>
        </w:rPr>
        <w:t>For each main question, this section highlights the main elements where b</w:t>
      </w:r>
      <w:r>
        <w:rPr>
          <w:rFonts w:ascii="Times New Roman" w:hAnsi="Times New Roman" w:cs="Times New Roman"/>
          <w:iCs/>
          <w:noProof/>
          <w:sz w:val="24"/>
          <w:szCs w:val="24"/>
        </w:rPr>
        <w:t>road consensus was reached by each stakeholder group, as well as some diverging opinions.</w:t>
      </w: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15" w:name="_Toc489347886"/>
      <w:bookmarkStart w:id="116" w:name="_Toc489347984"/>
      <w:bookmarkStart w:id="117" w:name="_Toc489427660"/>
      <w:r>
        <w:rPr>
          <w:rFonts w:ascii="Times New Roman" w:hAnsi="Times New Roman" w:cs="Times New Roman"/>
          <w:noProof/>
          <w:sz w:val="24"/>
          <w:szCs w:val="24"/>
        </w:rPr>
        <w:t>Relevance</w:t>
      </w:r>
      <w:bookmarkEnd w:id="115"/>
      <w:bookmarkEnd w:id="116"/>
      <w:bookmarkEnd w:id="117"/>
    </w:p>
    <w:p w:rsidR="00500553" w:rsidRDefault="00D978F2">
      <w:pPr>
        <w:pStyle w:val="ListParagraph"/>
        <w:numPr>
          <w:ilvl w:val="0"/>
          <w:numId w:val="71"/>
        </w:numPr>
        <w:spacing w:before="120" w:after="240"/>
        <w:jc w:val="both"/>
        <w:rPr>
          <w:rFonts w:ascii="Times New Roman" w:hAnsi="Times New Roman" w:cs="Times New Roman"/>
          <w:iCs/>
          <w:noProof/>
          <w:sz w:val="24"/>
          <w:szCs w:val="24"/>
        </w:rPr>
      </w:pPr>
      <w:r>
        <w:rPr>
          <w:rFonts w:ascii="Times New Roman" w:hAnsi="Times New Roman" w:cs="Times New Roman"/>
          <w:b/>
          <w:iCs/>
          <w:noProof/>
          <w:sz w:val="24"/>
          <w:szCs w:val="24"/>
        </w:rPr>
        <w:t>Participating States</w:t>
      </w:r>
      <w:r>
        <w:rPr>
          <w:rFonts w:ascii="Times New Roman" w:hAnsi="Times New Roman" w:cs="Times New Roman"/>
          <w:iCs/>
          <w:noProof/>
          <w:sz w:val="24"/>
          <w:szCs w:val="24"/>
        </w:rPr>
        <w:t xml:space="preserve"> agreed on the need to ensure a strategic link between the UCPM mandate and its activities. This includes the need to allocate resources</w:t>
      </w:r>
      <w:r>
        <w:rPr>
          <w:rFonts w:ascii="Times New Roman" w:hAnsi="Times New Roman" w:cs="Times New Roman"/>
          <w:iCs/>
          <w:noProof/>
          <w:sz w:val="24"/>
          <w:szCs w:val="24"/>
        </w:rPr>
        <w:t xml:space="preserve"> (e.g. for response) based on needs assessment  and on the comparative advantage of the civil protection vs. other actors (e.g humanitarian aid, police, etc). There was also a consensus on building the training and exercise programme on a need-based approa</w:t>
      </w:r>
      <w:r>
        <w:rPr>
          <w:rFonts w:ascii="Times New Roman" w:hAnsi="Times New Roman" w:cs="Times New Roman"/>
          <w:iCs/>
          <w:noProof/>
          <w:sz w:val="24"/>
          <w:szCs w:val="24"/>
        </w:rPr>
        <w:t>ch which is informed by operational lessons learnt in the first place.</w:t>
      </w:r>
    </w:p>
    <w:p w:rsidR="00500553" w:rsidRDefault="00D978F2">
      <w:pPr>
        <w:pStyle w:val="ListParagraph"/>
        <w:spacing w:after="240"/>
        <w:jc w:val="both"/>
        <w:rPr>
          <w:rFonts w:ascii="Times New Roman" w:hAnsi="Times New Roman" w:cs="Times New Roman"/>
          <w:iCs/>
          <w:noProof/>
          <w:sz w:val="24"/>
          <w:szCs w:val="24"/>
        </w:rPr>
      </w:pPr>
      <w:r>
        <w:rPr>
          <w:rFonts w:ascii="Times New Roman" w:hAnsi="Times New Roman" w:cs="Times New Roman"/>
          <w:iCs/>
          <w:noProof/>
          <w:sz w:val="24"/>
          <w:szCs w:val="24"/>
        </w:rPr>
        <w:t>Different views emerged on what the new training programme should look like (number of people trained for each course, frequency, content, etc.). Views among PS diverged also with regar</w:t>
      </w:r>
      <w:r>
        <w:rPr>
          <w:rFonts w:ascii="Times New Roman" w:hAnsi="Times New Roman" w:cs="Times New Roman"/>
          <w:iCs/>
          <w:noProof/>
          <w:sz w:val="24"/>
          <w:szCs w:val="24"/>
        </w:rPr>
        <w:t>ds to providing new/increased incentives for Voluntary Pool assets, due to the possible risk of encouraging PS to be too reliant on EU assistance for events which should be addressed by national capacities.</w:t>
      </w:r>
    </w:p>
    <w:p w:rsidR="00500553" w:rsidRDefault="00D978F2">
      <w:pPr>
        <w:pStyle w:val="ListParagraph"/>
        <w:numPr>
          <w:ilvl w:val="0"/>
          <w:numId w:val="71"/>
        </w:numPr>
        <w:spacing w:before="120" w:after="240"/>
        <w:jc w:val="both"/>
        <w:rPr>
          <w:rFonts w:ascii="Times New Roman" w:hAnsi="Times New Roman" w:cs="Times New Roman"/>
          <w:iCs/>
          <w:noProof/>
          <w:sz w:val="24"/>
          <w:szCs w:val="24"/>
        </w:rPr>
      </w:pPr>
      <w:r>
        <w:rPr>
          <w:rFonts w:ascii="Times New Roman" w:hAnsi="Times New Roman" w:cs="Times New Roman"/>
          <w:b/>
          <w:iCs/>
          <w:noProof/>
          <w:sz w:val="24"/>
          <w:szCs w:val="24"/>
        </w:rPr>
        <w:t xml:space="preserve">EC services </w:t>
      </w:r>
      <w:r>
        <w:rPr>
          <w:rFonts w:ascii="Times New Roman" w:hAnsi="Times New Roman" w:cs="Times New Roman"/>
          <w:iCs/>
          <w:noProof/>
          <w:sz w:val="24"/>
          <w:szCs w:val="24"/>
        </w:rPr>
        <w:t>noted the need to develop long-term s</w:t>
      </w:r>
      <w:r>
        <w:rPr>
          <w:rFonts w:ascii="Times New Roman" w:hAnsi="Times New Roman" w:cs="Times New Roman"/>
          <w:iCs/>
          <w:noProof/>
          <w:sz w:val="24"/>
          <w:szCs w:val="24"/>
        </w:rPr>
        <w:t>trategies as opposed to ad hoc activities from the UCPM and called for further integration with EC programmes attaining similar/related objectives.</w:t>
      </w:r>
    </w:p>
    <w:p w:rsidR="00500553" w:rsidRDefault="00D978F2">
      <w:pPr>
        <w:pStyle w:val="ListParagraph"/>
        <w:numPr>
          <w:ilvl w:val="0"/>
          <w:numId w:val="71"/>
        </w:numPr>
        <w:spacing w:before="120" w:after="240"/>
        <w:jc w:val="both"/>
        <w:rPr>
          <w:rFonts w:ascii="Times New Roman" w:hAnsi="Times New Roman" w:cs="Times New Roman"/>
          <w:iCs/>
          <w:noProof/>
          <w:sz w:val="24"/>
          <w:szCs w:val="24"/>
        </w:rPr>
      </w:pPr>
      <w:r>
        <w:rPr>
          <w:rFonts w:ascii="Times New Roman" w:hAnsi="Times New Roman" w:cs="Times New Roman"/>
          <w:b/>
          <w:iCs/>
          <w:noProof/>
          <w:sz w:val="24"/>
          <w:szCs w:val="24"/>
        </w:rPr>
        <w:t>International partners</w:t>
      </w:r>
      <w:r>
        <w:rPr>
          <w:rFonts w:ascii="Times New Roman" w:hAnsi="Times New Roman" w:cs="Times New Roman"/>
          <w:iCs/>
          <w:noProof/>
          <w:sz w:val="24"/>
          <w:szCs w:val="24"/>
        </w:rPr>
        <w:t xml:space="preserve"> (including UN agencies) called for an increased use of risk assessment maps, more emp</w:t>
      </w:r>
      <w:r>
        <w:rPr>
          <w:rFonts w:ascii="Times New Roman" w:hAnsi="Times New Roman" w:cs="Times New Roman"/>
          <w:iCs/>
          <w:noProof/>
          <w:sz w:val="24"/>
          <w:szCs w:val="24"/>
        </w:rPr>
        <w:t>hasis on international partners in training and exercises. Finally, some partners underscored that the UCPM response operations should be more used as an entry point to discuss disaster risk management with third countries.</w:t>
      </w: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18" w:name="_Toc489347887"/>
      <w:bookmarkStart w:id="119" w:name="_Toc489347985"/>
      <w:bookmarkStart w:id="120" w:name="_Toc489427661"/>
      <w:r>
        <w:rPr>
          <w:rFonts w:ascii="Times New Roman" w:hAnsi="Times New Roman" w:cs="Times New Roman"/>
          <w:noProof/>
          <w:sz w:val="24"/>
          <w:szCs w:val="24"/>
        </w:rPr>
        <w:t>Effectiveness</w:t>
      </w:r>
      <w:bookmarkEnd w:id="118"/>
      <w:bookmarkEnd w:id="119"/>
      <w:bookmarkEnd w:id="120"/>
    </w:p>
    <w:p w:rsidR="00500553" w:rsidRDefault="00D978F2">
      <w:pPr>
        <w:pStyle w:val="ListParagraph"/>
        <w:numPr>
          <w:ilvl w:val="0"/>
          <w:numId w:val="70"/>
        </w:numPr>
        <w:spacing w:before="120"/>
        <w:jc w:val="both"/>
        <w:rPr>
          <w:rFonts w:ascii="Times New Roman" w:hAnsi="Times New Roman" w:cs="Times New Roman"/>
          <w:noProof/>
          <w:sz w:val="24"/>
          <w:szCs w:val="24"/>
        </w:rPr>
      </w:pPr>
      <w:r>
        <w:rPr>
          <w:rFonts w:ascii="Times New Roman" w:hAnsi="Times New Roman" w:cs="Times New Roman"/>
          <w:noProof/>
          <w:sz w:val="24"/>
          <w:szCs w:val="24"/>
        </w:rPr>
        <w:t>Consulted</w:t>
      </w:r>
      <w:r>
        <w:rPr>
          <w:rFonts w:ascii="Times New Roman" w:hAnsi="Times New Roman" w:cs="Times New Roman"/>
          <w:b/>
          <w:noProof/>
          <w:sz w:val="24"/>
          <w:szCs w:val="24"/>
        </w:rPr>
        <w:t xml:space="preserve"> Particip</w:t>
      </w:r>
      <w:r>
        <w:rPr>
          <w:rFonts w:ascii="Times New Roman" w:hAnsi="Times New Roman" w:cs="Times New Roman"/>
          <w:b/>
          <w:noProof/>
          <w:sz w:val="24"/>
          <w:szCs w:val="24"/>
        </w:rPr>
        <w:t xml:space="preserve">ating States </w:t>
      </w:r>
      <w:r>
        <w:rPr>
          <w:rFonts w:ascii="Times New Roman" w:hAnsi="Times New Roman" w:cs="Times New Roman"/>
          <w:noProof/>
          <w:sz w:val="24"/>
          <w:szCs w:val="24"/>
        </w:rPr>
        <w:t>agreed, both in the online survey and in the interviews that the UCPM has been broadly effective during its first 3 years. They also agreed that the UCPM needs to better take into account existing bilateral agreements between PS (proximity fac</w:t>
      </w:r>
      <w:r>
        <w:rPr>
          <w:rFonts w:ascii="Times New Roman" w:hAnsi="Times New Roman" w:cs="Times New Roman"/>
          <w:noProof/>
          <w:sz w:val="24"/>
          <w:szCs w:val="24"/>
        </w:rPr>
        <w:t>tor) and clarify its cooperation/overlaps with the humanitarian assistance.</w:t>
      </w:r>
    </w:p>
    <w:p w:rsidR="00500553" w:rsidRDefault="00D978F2">
      <w:pPr>
        <w:pStyle w:val="ListParagraph"/>
        <w:jc w:val="both"/>
        <w:rPr>
          <w:rFonts w:ascii="Times New Roman" w:hAnsi="Times New Roman" w:cs="Times New Roman"/>
          <w:noProof/>
          <w:sz w:val="24"/>
          <w:szCs w:val="24"/>
        </w:rPr>
      </w:pPr>
      <w:r>
        <w:rPr>
          <w:rFonts w:ascii="Times New Roman" w:hAnsi="Times New Roman" w:cs="Times New Roman"/>
          <w:noProof/>
          <w:sz w:val="24"/>
          <w:szCs w:val="24"/>
        </w:rPr>
        <w:t>Diverging views were recorded with regards to the selection of experts for deployment (a number of PS believe the process can still be improved), the training programme (quotas all</w:t>
      </w:r>
      <w:r>
        <w:rPr>
          <w:rFonts w:ascii="Times New Roman" w:hAnsi="Times New Roman" w:cs="Times New Roman"/>
          <w:noProof/>
          <w:sz w:val="24"/>
          <w:szCs w:val="24"/>
        </w:rPr>
        <w:t>ocated by country size vs. by number of assets contributed to the Voluntary Pool), and to the effectiveness of peer reviews and their format (e.g. experts selected).</w:t>
      </w:r>
    </w:p>
    <w:p w:rsidR="00500553" w:rsidRDefault="00D978F2">
      <w:pPr>
        <w:pStyle w:val="ListParagraph"/>
        <w:numPr>
          <w:ilvl w:val="0"/>
          <w:numId w:val="70"/>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Several </w:t>
      </w:r>
      <w:r>
        <w:rPr>
          <w:rFonts w:ascii="Times New Roman" w:hAnsi="Times New Roman" w:cs="Times New Roman"/>
          <w:b/>
          <w:noProof/>
          <w:sz w:val="24"/>
          <w:szCs w:val="24"/>
        </w:rPr>
        <w:t>EC services</w:t>
      </w:r>
      <w:r>
        <w:rPr>
          <w:rFonts w:ascii="Times New Roman" w:hAnsi="Times New Roman" w:cs="Times New Roman"/>
          <w:noProof/>
          <w:sz w:val="24"/>
          <w:szCs w:val="24"/>
        </w:rPr>
        <w:t xml:space="preserve"> highlighted that improvements (e.g. more strategic use) to advisory mi</w:t>
      </w:r>
      <w:r>
        <w:rPr>
          <w:rFonts w:ascii="Times New Roman" w:hAnsi="Times New Roman" w:cs="Times New Roman"/>
          <w:noProof/>
          <w:sz w:val="24"/>
          <w:szCs w:val="24"/>
        </w:rPr>
        <w:t>ssions could increase their effectiveness. The integration of climate change adaptation into the UCPM (prevention and preparedness) as well as energy (e.g. risk assessments, preparedness plans) was also highlighted.</w:t>
      </w:r>
    </w:p>
    <w:p w:rsidR="00500553" w:rsidRDefault="00D978F2">
      <w:pPr>
        <w:pStyle w:val="ListParagraph"/>
        <w:numPr>
          <w:ilvl w:val="0"/>
          <w:numId w:val="70"/>
        </w:numPr>
        <w:spacing w:before="120"/>
        <w:jc w:val="both"/>
        <w:rPr>
          <w:rFonts w:ascii="Times New Roman" w:hAnsi="Times New Roman" w:cs="Times New Roman"/>
          <w:noProof/>
          <w:sz w:val="24"/>
          <w:szCs w:val="24"/>
        </w:rPr>
      </w:pPr>
      <w:r>
        <w:rPr>
          <w:rFonts w:ascii="Times New Roman" w:hAnsi="Times New Roman" w:cs="Times New Roman"/>
          <w:b/>
          <w:noProof/>
          <w:sz w:val="24"/>
          <w:szCs w:val="24"/>
        </w:rPr>
        <w:t>International partners</w:t>
      </w:r>
      <w:r>
        <w:rPr>
          <w:rFonts w:ascii="Times New Roman" w:hAnsi="Times New Roman" w:cs="Times New Roman"/>
          <w:noProof/>
          <w:sz w:val="24"/>
          <w:szCs w:val="24"/>
        </w:rPr>
        <w:t xml:space="preserve"> underscored the n</w:t>
      </w:r>
      <w:r>
        <w:rPr>
          <w:rFonts w:ascii="Times New Roman" w:hAnsi="Times New Roman" w:cs="Times New Roman"/>
          <w:noProof/>
          <w:sz w:val="24"/>
          <w:szCs w:val="24"/>
        </w:rPr>
        <w:t xml:space="preserve">eed for the UCPM to further build on the close linkages between the humanitarian aid actors and local communities/actors. They also raised the need to carefully look at how civil protection missions outside EU and in contexts of complex emergencies can be </w:t>
      </w:r>
      <w:r>
        <w:rPr>
          <w:rFonts w:ascii="Times New Roman" w:hAnsi="Times New Roman" w:cs="Times New Roman"/>
          <w:noProof/>
          <w:sz w:val="24"/>
          <w:szCs w:val="24"/>
        </w:rPr>
        <w:t>perceived as less neutral than humanitarian actors.</w:t>
      </w: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21" w:name="_Toc489347888"/>
      <w:bookmarkStart w:id="122" w:name="_Toc489347986"/>
      <w:bookmarkStart w:id="123" w:name="_Toc489427662"/>
      <w:r>
        <w:rPr>
          <w:rFonts w:ascii="Times New Roman" w:hAnsi="Times New Roman" w:cs="Times New Roman"/>
          <w:noProof/>
          <w:sz w:val="24"/>
          <w:szCs w:val="24"/>
        </w:rPr>
        <w:t>Efficiency</w:t>
      </w:r>
      <w:bookmarkEnd w:id="121"/>
      <w:bookmarkEnd w:id="122"/>
      <w:bookmarkEnd w:id="123"/>
    </w:p>
    <w:p w:rsidR="00500553" w:rsidRDefault="00D978F2">
      <w:pPr>
        <w:pStyle w:val="ListParagraph"/>
        <w:numPr>
          <w:ilvl w:val="0"/>
          <w:numId w:val="72"/>
        </w:numPr>
        <w:spacing w:before="120"/>
        <w:jc w:val="both"/>
        <w:rPr>
          <w:rFonts w:ascii="Times New Roman" w:hAnsi="Times New Roman" w:cs="Times New Roman"/>
          <w:noProof/>
          <w:sz w:val="24"/>
          <w:szCs w:val="24"/>
        </w:rPr>
      </w:pPr>
      <w:r>
        <w:rPr>
          <w:rFonts w:ascii="Times New Roman" w:hAnsi="Times New Roman" w:cs="Times New Roman"/>
          <w:b/>
          <w:noProof/>
          <w:sz w:val="24"/>
          <w:szCs w:val="24"/>
        </w:rPr>
        <w:t xml:space="preserve">Participating States </w:t>
      </w:r>
      <w:r>
        <w:rPr>
          <w:rFonts w:ascii="Times New Roman" w:hAnsi="Times New Roman" w:cs="Times New Roman"/>
          <w:noProof/>
          <w:sz w:val="24"/>
          <w:szCs w:val="24"/>
        </w:rPr>
        <w:t>noted that the efficiency of some activities could be increased by better defining their objectives (e.g. training people for deployment vs. to simply increasing their know</w:t>
      </w:r>
      <w:r>
        <w:rPr>
          <w:rFonts w:ascii="Times New Roman" w:hAnsi="Times New Roman" w:cs="Times New Roman"/>
          <w:noProof/>
          <w:sz w:val="24"/>
          <w:szCs w:val="24"/>
        </w:rPr>
        <w:t>ledge) and in some cases, with the streamlining of administrative processes.</w:t>
      </w:r>
    </w:p>
    <w:p w:rsidR="00500553" w:rsidRDefault="00D978F2">
      <w:pPr>
        <w:pStyle w:val="ListParagraph"/>
        <w:numPr>
          <w:ilvl w:val="0"/>
          <w:numId w:val="72"/>
        </w:numPr>
        <w:spacing w:before="120"/>
        <w:jc w:val="both"/>
        <w:rPr>
          <w:rFonts w:ascii="Times New Roman" w:hAnsi="Times New Roman" w:cs="Times New Roman"/>
          <w:noProof/>
          <w:sz w:val="24"/>
          <w:szCs w:val="24"/>
        </w:rPr>
      </w:pPr>
      <w:r>
        <w:rPr>
          <w:rFonts w:ascii="Times New Roman" w:hAnsi="Times New Roman" w:cs="Times New Roman"/>
          <w:b/>
          <w:noProof/>
          <w:sz w:val="24"/>
          <w:szCs w:val="24"/>
        </w:rPr>
        <w:t xml:space="preserve">EC services </w:t>
      </w:r>
      <w:r>
        <w:rPr>
          <w:rFonts w:ascii="Times New Roman" w:hAnsi="Times New Roman" w:cs="Times New Roman"/>
          <w:noProof/>
          <w:sz w:val="24"/>
          <w:szCs w:val="24"/>
        </w:rPr>
        <w:t>tended to question the efficiency of in-kind assistance, marking a difference with the view of Participating States.</w:t>
      </w:r>
    </w:p>
    <w:p w:rsidR="00500553" w:rsidRDefault="00D978F2">
      <w:pPr>
        <w:pStyle w:val="ListParagraph"/>
        <w:numPr>
          <w:ilvl w:val="0"/>
          <w:numId w:val="72"/>
        </w:numPr>
        <w:spacing w:before="120"/>
        <w:jc w:val="both"/>
        <w:rPr>
          <w:rFonts w:ascii="Times New Roman" w:hAnsi="Times New Roman" w:cs="Times New Roman"/>
          <w:noProof/>
          <w:sz w:val="24"/>
          <w:szCs w:val="24"/>
        </w:rPr>
      </w:pPr>
      <w:r>
        <w:rPr>
          <w:rFonts w:ascii="Times New Roman" w:hAnsi="Times New Roman" w:cs="Times New Roman"/>
          <w:b/>
          <w:noProof/>
          <w:sz w:val="24"/>
          <w:szCs w:val="24"/>
        </w:rPr>
        <w:t>International partners</w:t>
      </w:r>
      <w:r>
        <w:rPr>
          <w:rFonts w:ascii="Times New Roman" w:hAnsi="Times New Roman" w:cs="Times New Roman"/>
          <w:noProof/>
          <w:sz w:val="24"/>
          <w:szCs w:val="24"/>
        </w:rPr>
        <w:t xml:space="preserve"> did not express any views on this due to limited information available to them.</w:t>
      </w: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24" w:name="_Toc489347889"/>
      <w:bookmarkStart w:id="125" w:name="_Toc489347987"/>
      <w:bookmarkStart w:id="126" w:name="_Toc489427663"/>
      <w:r>
        <w:rPr>
          <w:rFonts w:ascii="Times New Roman" w:hAnsi="Times New Roman" w:cs="Times New Roman"/>
          <w:noProof/>
          <w:sz w:val="24"/>
          <w:szCs w:val="24"/>
        </w:rPr>
        <w:t>Coherence</w:t>
      </w:r>
      <w:bookmarkEnd w:id="124"/>
      <w:bookmarkEnd w:id="125"/>
      <w:bookmarkEnd w:id="126"/>
    </w:p>
    <w:p w:rsidR="00500553" w:rsidRDefault="00D978F2">
      <w:pPr>
        <w:pStyle w:val="ListParagraph"/>
        <w:numPr>
          <w:ilvl w:val="0"/>
          <w:numId w:val="73"/>
        </w:numPr>
        <w:spacing w:before="120"/>
        <w:jc w:val="both"/>
        <w:rPr>
          <w:rFonts w:ascii="Times New Roman" w:hAnsi="Times New Roman" w:cs="Times New Roman"/>
          <w:noProof/>
          <w:sz w:val="24"/>
          <w:szCs w:val="24"/>
        </w:rPr>
      </w:pPr>
      <w:r>
        <w:rPr>
          <w:rFonts w:ascii="Times New Roman" w:hAnsi="Times New Roman" w:cs="Times New Roman"/>
          <w:b/>
          <w:noProof/>
          <w:sz w:val="24"/>
          <w:szCs w:val="24"/>
        </w:rPr>
        <w:t>Participating States</w:t>
      </w:r>
      <w:r>
        <w:rPr>
          <w:rFonts w:ascii="Times New Roman" w:hAnsi="Times New Roman" w:cs="Times New Roman"/>
          <w:noProof/>
          <w:sz w:val="24"/>
          <w:szCs w:val="24"/>
        </w:rPr>
        <w:t xml:space="preserve"> agreed to a large extent that the UCPM cross-cutting activities (e.g. lessons learnt, peer reviews, advisory missions, exchange of experts) shou</w:t>
      </w:r>
      <w:r>
        <w:rPr>
          <w:rFonts w:ascii="Times New Roman" w:hAnsi="Times New Roman" w:cs="Times New Roman"/>
          <w:noProof/>
          <w:sz w:val="24"/>
          <w:szCs w:val="24"/>
        </w:rPr>
        <w:t>ld be driven by a more result-oriented approach to reinforce the internal coherence of the mechanism. Participating States expressed diverging views when assessing the risk of duplicating training activities at EU and national level.</w:t>
      </w:r>
    </w:p>
    <w:p w:rsidR="00500553" w:rsidRDefault="00D978F2">
      <w:pPr>
        <w:pStyle w:val="ListParagraph"/>
        <w:numPr>
          <w:ilvl w:val="0"/>
          <w:numId w:val="73"/>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At </w:t>
      </w:r>
      <w:r>
        <w:rPr>
          <w:rFonts w:ascii="Times New Roman" w:hAnsi="Times New Roman" w:cs="Times New Roman"/>
          <w:b/>
          <w:noProof/>
          <w:sz w:val="24"/>
          <w:szCs w:val="24"/>
        </w:rPr>
        <w:t>EC Services</w:t>
      </w:r>
      <w:r>
        <w:rPr>
          <w:rFonts w:ascii="Times New Roman" w:hAnsi="Times New Roman" w:cs="Times New Roman"/>
          <w:noProof/>
          <w:sz w:val="24"/>
          <w:szCs w:val="24"/>
        </w:rPr>
        <w:t xml:space="preserve"> level, </w:t>
      </w:r>
      <w:r>
        <w:rPr>
          <w:rFonts w:ascii="Times New Roman" w:hAnsi="Times New Roman" w:cs="Times New Roman"/>
          <w:noProof/>
          <w:sz w:val="24"/>
          <w:szCs w:val="24"/>
        </w:rPr>
        <w:t>the main point of concern related to the relation of the UCPM with other policy areas. Generally, although an improvement of linkages with other areas was appreciated in relation to the previous mechanism (2007-2013), EC services concluded that the level o</w:t>
      </w:r>
      <w:r>
        <w:rPr>
          <w:rFonts w:ascii="Times New Roman" w:hAnsi="Times New Roman" w:cs="Times New Roman"/>
          <w:noProof/>
          <w:sz w:val="24"/>
          <w:szCs w:val="24"/>
        </w:rPr>
        <w:t>f horizontal cooperation should be reinforced. These may include research and innovation, regional policy, environment, climate adaptation, health, the neighbourhood policy, as well as better integration of the new security landscape affecting Europe.</w:t>
      </w:r>
    </w:p>
    <w:p w:rsidR="00500553" w:rsidRDefault="00D978F2">
      <w:pPr>
        <w:pStyle w:val="ListParagraph"/>
        <w:numPr>
          <w:ilvl w:val="0"/>
          <w:numId w:val="73"/>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main point of concern for </w:t>
      </w:r>
      <w:r>
        <w:rPr>
          <w:rFonts w:ascii="Times New Roman" w:hAnsi="Times New Roman" w:cs="Times New Roman"/>
          <w:b/>
          <w:noProof/>
          <w:sz w:val="24"/>
          <w:szCs w:val="24"/>
        </w:rPr>
        <w:t>International Partners</w:t>
      </w:r>
      <w:r>
        <w:rPr>
          <w:rFonts w:ascii="Times New Roman" w:hAnsi="Times New Roman" w:cs="Times New Roman"/>
          <w:noProof/>
          <w:sz w:val="24"/>
          <w:szCs w:val="24"/>
        </w:rPr>
        <w:t xml:space="preserve"> is the growing interlinkage between civil protection operations and humanitarian aid operations, as the mechanism is increasingly activated to deal with humanitarian and complex emergencies. Whereas the UCPM</w:t>
      </w:r>
      <w:r>
        <w:rPr>
          <w:rFonts w:ascii="Times New Roman" w:hAnsi="Times New Roman" w:cs="Times New Roman"/>
          <w:noProof/>
          <w:sz w:val="24"/>
          <w:szCs w:val="24"/>
        </w:rPr>
        <w:t xml:space="preserve"> could positively contribute to humanitarian operations, the mandate and division of tasks need to be clearly set out to avoid overlapping and duplications.</w:t>
      </w:r>
    </w:p>
    <w:p w:rsidR="00500553" w:rsidRDefault="00D978F2">
      <w:pPr>
        <w:pStyle w:val="Heading2"/>
        <w:numPr>
          <w:ilvl w:val="1"/>
          <w:numId w:val="69"/>
        </w:numPr>
        <w:spacing w:before="360" w:line="276" w:lineRule="auto"/>
        <w:rPr>
          <w:rFonts w:ascii="Times New Roman" w:hAnsi="Times New Roman" w:cs="Times New Roman"/>
          <w:noProof/>
          <w:sz w:val="24"/>
          <w:szCs w:val="24"/>
        </w:rPr>
      </w:pPr>
      <w:bookmarkStart w:id="127" w:name="_Toc489347890"/>
      <w:bookmarkStart w:id="128" w:name="_Toc489347988"/>
      <w:bookmarkStart w:id="129" w:name="_Toc489427664"/>
      <w:r>
        <w:rPr>
          <w:rFonts w:ascii="Times New Roman" w:hAnsi="Times New Roman" w:cs="Times New Roman"/>
          <w:noProof/>
          <w:sz w:val="24"/>
          <w:szCs w:val="24"/>
        </w:rPr>
        <w:t>EU Added Value</w:t>
      </w:r>
      <w:bookmarkEnd w:id="127"/>
      <w:bookmarkEnd w:id="128"/>
      <w:bookmarkEnd w:id="129"/>
    </w:p>
    <w:p w:rsidR="00500553" w:rsidRDefault="00D978F2">
      <w:pPr>
        <w:pStyle w:val="ListParagraph"/>
        <w:numPr>
          <w:ilvl w:val="0"/>
          <w:numId w:val="74"/>
        </w:numPr>
        <w:spacing w:before="120"/>
        <w:jc w:val="both"/>
        <w:rPr>
          <w:rFonts w:ascii="Times New Roman" w:hAnsi="Times New Roman" w:cs="Times New Roman"/>
          <w:noProof/>
          <w:sz w:val="24"/>
          <w:szCs w:val="24"/>
          <w:lang w:val="en"/>
        </w:rPr>
      </w:pPr>
      <w:r>
        <w:rPr>
          <w:rFonts w:ascii="Times New Roman" w:hAnsi="Times New Roman" w:cs="Times New Roman"/>
          <w:b/>
          <w:noProof/>
          <w:sz w:val="24"/>
          <w:szCs w:val="24"/>
          <w:lang w:val="en"/>
        </w:rPr>
        <w:t>Participating States</w:t>
      </w:r>
      <w:r>
        <w:rPr>
          <w:rFonts w:ascii="Times New Roman" w:hAnsi="Times New Roman" w:cs="Times New Roman"/>
          <w:noProof/>
          <w:sz w:val="24"/>
          <w:szCs w:val="24"/>
          <w:lang w:val="en"/>
        </w:rPr>
        <w:t xml:space="preserve"> agreed to a large extent on the clear added value that the UCPM</w:t>
      </w:r>
      <w:r>
        <w:rPr>
          <w:rFonts w:ascii="Times New Roman" w:hAnsi="Times New Roman" w:cs="Times New Roman"/>
          <w:noProof/>
          <w:sz w:val="24"/>
          <w:szCs w:val="24"/>
          <w:lang w:val="en"/>
        </w:rPr>
        <w:t xml:space="preserve"> delivers in each of its three main pillars (i.e. prevention, preparedness and response). Participating States highlighted specially the creation of the ERCC as the most tangible and visible expression of the EU added value. In relation to the prevention p</w:t>
      </w:r>
      <w:r>
        <w:rPr>
          <w:rFonts w:ascii="Times New Roman" w:hAnsi="Times New Roman" w:cs="Times New Roman"/>
          <w:noProof/>
          <w:sz w:val="24"/>
          <w:szCs w:val="24"/>
          <w:lang w:val="en"/>
        </w:rPr>
        <w:t>illar, generally Participating States agreed that the actions foreseen under the legislation, (e.g. requirement to produce National Risks Assessments, conduction of Prevention and Preparedness projects, etc.) represented a clear EU added value as they help</w:t>
      </w:r>
      <w:r>
        <w:rPr>
          <w:rFonts w:ascii="Times New Roman" w:hAnsi="Times New Roman" w:cs="Times New Roman"/>
          <w:noProof/>
          <w:sz w:val="24"/>
          <w:szCs w:val="24"/>
          <w:lang w:val="en"/>
        </w:rPr>
        <w:t>ed to establish a common understanding of risks across Europe and facilitated cross-border cooperation, inherent when responding to disasters. The main point of concern, though, which also generated broad consensus, was the lack of clear and quantifiable i</w:t>
      </w:r>
      <w:r>
        <w:rPr>
          <w:rFonts w:ascii="Times New Roman" w:hAnsi="Times New Roman" w:cs="Times New Roman"/>
          <w:noProof/>
          <w:sz w:val="24"/>
          <w:szCs w:val="24"/>
          <w:lang w:val="en"/>
        </w:rPr>
        <w:t>ndicators that can help monitoring the results to better establish the EU added value of these actions.</w:t>
      </w:r>
    </w:p>
    <w:p w:rsidR="00500553" w:rsidRDefault="00D978F2">
      <w:pPr>
        <w:pStyle w:val="ListParagraph"/>
        <w:numPr>
          <w:ilvl w:val="0"/>
          <w:numId w:val="74"/>
        </w:numPr>
        <w:spacing w:before="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As far as </w:t>
      </w:r>
      <w:r>
        <w:rPr>
          <w:rFonts w:ascii="Times New Roman" w:hAnsi="Times New Roman" w:cs="Times New Roman"/>
          <w:b/>
          <w:noProof/>
          <w:sz w:val="24"/>
          <w:szCs w:val="24"/>
          <w:lang w:val="en"/>
        </w:rPr>
        <w:t>EC Services</w:t>
      </w:r>
      <w:r>
        <w:rPr>
          <w:rFonts w:ascii="Times New Roman" w:hAnsi="Times New Roman" w:cs="Times New Roman"/>
          <w:noProof/>
          <w:sz w:val="24"/>
          <w:szCs w:val="24"/>
          <w:lang w:val="en"/>
        </w:rPr>
        <w:t xml:space="preserve"> are concerned, the main element emphasised by respondents is the clear added value that the UCPM can generate by becoming the 'coo</w:t>
      </w:r>
      <w:r>
        <w:rPr>
          <w:rFonts w:ascii="Times New Roman" w:hAnsi="Times New Roman" w:cs="Times New Roman"/>
          <w:noProof/>
          <w:sz w:val="24"/>
          <w:szCs w:val="24"/>
          <w:lang w:val="en"/>
        </w:rPr>
        <w:t>rdination hub' of disaster response within the Union. As well as Participating States, EC Services also agreed that a better tracking system of cost-effectiveness of EU-level action could demonstrate further the significant added value.</w:t>
      </w:r>
    </w:p>
    <w:p w:rsidR="00500553" w:rsidRDefault="00D978F2">
      <w:pPr>
        <w:pStyle w:val="ListParagraph"/>
        <w:numPr>
          <w:ilvl w:val="0"/>
          <w:numId w:val="74"/>
        </w:numPr>
        <w:spacing w:before="120"/>
        <w:jc w:val="both"/>
        <w:rPr>
          <w:rFonts w:ascii="Times New Roman" w:hAnsi="Times New Roman" w:cs="Times New Roman"/>
          <w:noProof/>
          <w:sz w:val="24"/>
          <w:szCs w:val="24"/>
          <w:lang w:val="en"/>
        </w:rPr>
      </w:pPr>
      <w:r>
        <w:rPr>
          <w:rFonts w:ascii="Times New Roman" w:hAnsi="Times New Roman" w:cs="Times New Roman"/>
          <w:b/>
          <w:noProof/>
          <w:sz w:val="24"/>
          <w:szCs w:val="24"/>
          <w:lang w:val="en"/>
        </w:rPr>
        <w:t>International Partn</w:t>
      </w:r>
      <w:r>
        <w:rPr>
          <w:rFonts w:ascii="Times New Roman" w:hAnsi="Times New Roman" w:cs="Times New Roman"/>
          <w:b/>
          <w:noProof/>
          <w:sz w:val="24"/>
          <w:szCs w:val="24"/>
          <w:lang w:val="en"/>
        </w:rPr>
        <w:t>ers</w:t>
      </w:r>
      <w:r>
        <w:rPr>
          <w:rFonts w:ascii="Times New Roman" w:hAnsi="Times New Roman" w:cs="Times New Roman"/>
          <w:noProof/>
          <w:sz w:val="24"/>
          <w:szCs w:val="24"/>
          <w:lang w:val="en"/>
        </w:rPr>
        <w:t xml:space="preserve"> agreed that the creation of the ERCC represents a positive contribution towards the development of international networks of civil protection experts, as well as to facilitate the cooperation between EU and international actors.</w:t>
      </w:r>
    </w:p>
    <w:p w:rsidR="00500553" w:rsidRDefault="00D978F2">
      <w:pPr>
        <w:pStyle w:val="Heading2"/>
        <w:numPr>
          <w:ilvl w:val="1"/>
          <w:numId w:val="69"/>
        </w:numPr>
        <w:spacing w:before="360" w:line="276" w:lineRule="auto"/>
        <w:jc w:val="both"/>
        <w:rPr>
          <w:rFonts w:ascii="Times New Roman" w:hAnsi="Times New Roman" w:cs="Times New Roman"/>
          <w:noProof/>
          <w:sz w:val="24"/>
          <w:szCs w:val="24"/>
        </w:rPr>
      </w:pPr>
      <w:bookmarkStart w:id="130" w:name="_Toc489347891"/>
      <w:bookmarkStart w:id="131" w:name="_Toc489347989"/>
      <w:bookmarkStart w:id="132" w:name="_Toc489427665"/>
      <w:r>
        <w:rPr>
          <w:rFonts w:ascii="Times New Roman" w:hAnsi="Times New Roman" w:cs="Times New Roman"/>
          <w:noProof/>
          <w:sz w:val="24"/>
          <w:szCs w:val="24"/>
        </w:rPr>
        <w:t>Sustainability</w:t>
      </w:r>
      <w:bookmarkEnd w:id="130"/>
      <w:bookmarkEnd w:id="131"/>
      <w:bookmarkEnd w:id="132"/>
    </w:p>
    <w:p w:rsidR="00500553" w:rsidRDefault="00D978F2">
      <w:pPr>
        <w:pStyle w:val="ListParagraph"/>
        <w:numPr>
          <w:ilvl w:val="0"/>
          <w:numId w:val="75"/>
        </w:numPr>
        <w:spacing w:before="120"/>
        <w:jc w:val="both"/>
        <w:rPr>
          <w:rFonts w:ascii="Times New Roman" w:hAnsi="Times New Roman" w:cs="Times New Roman"/>
          <w:noProof/>
          <w:sz w:val="24"/>
          <w:szCs w:val="24"/>
          <w:lang w:val="en"/>
        </w:rPr>
      </w:pPr>
      <w:r>
        <w:rPr>
          <w:rFonts w:ascii="Times New Roman" w:hAnsi="Times New Roman" w:cs="Times New Roman"/>
          <w:b/>
          <w:noProof/>
          <w:sz w:val="24"/>
          <w:szCs w:val="24"/>
          <w:lang w:val="en"/>
        </w:rPr>
        <w:t>Particip</w:t>
      </w:r>
      <w:r>
        <w:rPr>
          <w:rFonts w:ascii="Times New Roman" w:hAnsi="Times New Roman" w:cs="Times New Roman"/>
          <w:b/>
          <w:noProof/>
          <w:sz w:val="24"/>
          <w:szCs w:val="24"/>
          <w:lang w:val="en"/>
        </w:rPr>
        <w:t>ating States</w:t>
      </w:r>
      <w:r>
        <w:rPr>
          <w:rFonts w:ascii="Times New Roman" w:hAnsi="Times New Roman" w:cs="Times New Roman"/>
          <w:noProof/>
          <w:sz w:val="24"/>
          <w:szCs w:val="24"/>
          <w:lang w:val="en"/>
        </w:rPr>
        <w:t xml:space="preserve"> generally agreed on the idea that better linkages between training and deployment need to be found, to ensure that knowledge acquired can be translated into actual action. On a similar note, Participating States also pointed out that a better </w:t>
      </w:r>
      <w:r>
        <w:rPr>
          <w:rFonts w:ascii="Times New Roman" w:hAnsi="Times New Roman" w:cs="Times New Roman"/>
          <w:noProof/>
          <w:sz w:val="24"/>
          <w:szCs w:val="24"/>
          <w:lang w:val="en"/>
        </w:rPr>
        <w:t>follow-up on recommendations done to a beneficiary country would be essential to ensure sustainability of changes. Some Participating States also raised concerns about the participation of private companies in UCPM activities (e.g. needs assessment, adviso</w:t>
      </w:r>
      <w:r>
        <w:rPr>
          <w:rFonts w:ascii="Times New Roman" w:hAnsi="Times New Roman" w:cs="Times New Roman"/>
          <w:noProof/>
          <w:sz w:val="24"/>
          <w:szCs w:val="24"/>
          <w:lang w:val="en"/>
        </w:rPr>
        <w:t>ry missions, peer reviews, etc.)</w:t>
      </w:r>
    </w:p>
    <w:p w:rsidR="00500553" w:rsidRDefault="00D978F2">
      <w:pPr>
        <w:pStyle w:val="ListParagraph"/>
        <w:numPr>
          <w:ilvl w:val="0"/>
          <w:numId w:val="74"/>
        </w:numPr>
        <w:spacing w:before="120"/>
        <w:jc w:val="both"/>
        <w:rPr>
          <w:rFonts w:ascii="Times New Roman" w:hAnsi="Times New Roman" w:cs="Times New Roman"/>
          <w:noProof/>
          <w:sz w:val="24"/>
          <w:szCs w:val="24"/>
          <w:lang w:val="en"/>
        </w:rPr>
      </w:pPr>
      <w:r>
        <w:rPr>
          <w:rFonts w:ascii="Times New Roman" w:hAnsi="Times New Roman" w:cs="Times New Roman"/>
          <w:b/>
          <w:noProof/>
          <w:sz w:val="24"/>
          <w:szCs w:val="24"/>
          <w:lang w:val="en"/>
        </w:rPr>
        <w:t>EC Services</w:t>
      </w:r>
      <w:r>
        <w:rPr>
          <w:rFonts w:ascii="Times New Roman" w:hAnsi="Times New Roman" w:cs="Times New Roman"/>
          <w:noProof/>
          <w:sz w:val="24"/>
          <w:szCs w:val="24"/>
          <w:lang w:val="en"/>
        </w:rPr>
        <w:t xml:space="preserve"> agreed on a general level that a viable financial model to ensure availability of capacities in the EERC needs to be established to ensure the sustainability of the model.</w:t>
      </w:r>
    </w:p>
    <w:p w:rsidR="00500553" w:rsidRDefault="00D978F2">
      <w:pPr>
        <w:pStyle w:val="ListParagraph"/>
        <w:numPr>
          <w:ilvl w:val="0"/>
          <w:numId w:val="74"/>
        </w:numPr>
        <w:spacing w:before="120"/>
        <w:jc w:val="both"/>
        <w:rPr>
          <w:rFonts w:ascii="Times New Roman" w:hAnsi="Times New Roman" w:cs="Times New Roman"/>
          <w:noProof/>
          <w:sz w:val="24"/>
          <w:szCs w:val="24"/>
        </w:rPr>
      </w:pPr>
      <w:r>
        <w:rPr>
          <w:rFonts w:ascii="Times New Roman" w:hAnsi="Times New Roman" w:cs="Times New Roman"/>
          <w:b/>
          <w:noProof/>
          <w:sz w:val="24"/>
          <w:szCs w:val="24"/>
        </w:rPr>
        <w:t>International partners</w:t>
      </w:r>
      <w:r>
        <w:rPr>
          <w:rFonts w:ascii="Times New Roman" w:hAnsi="Times New Roman" w:cs="Times New Roman"/>
          <w:noProof/>
          <w:sz w:val="24"/>
          <w:szCs w:val="24"/>
        </w:rPr>
        <w:t xml:space="preserve"> did not express </w:t>
      </w:r>
      <w:r>
        <w:rPr>
          <w:rFonts w:ascii="Times New Roman" w:hAnsi="Times New Roman" w:cs="Times New Roman"/>
          <w:noProof/>
          <w:sz w:val="24"/>
          <w:szCs w:val="24"/>
        </w:rPr>
        <w:t>views on this due to the limited information available to them.</w:t>
      </w:r>
    </w:p>
    <w:p w:rsidR="00500553" w:rsidRDefault="00D978F2">
      <w:pPr>
        <w:pStyle w:val="Heading1"/>
        <w:numPr>
          <w:ilvl w:val="0"/>
          <w:numId w:val="69"/>
        </w:numPr>
        <w:spacing w:before="480" w:line="276" w:lineRule="auto"/>
        <w:ind w:left="357" w:hanging="357"/>
        <w:jc w:val="both"/>
        <w:rPr>
          <w:rFonts w:ascii="Times New Roman" w:hAnsi="Times New Roman" w:cs="Times New Roman"/>
          <w:noProof/>
          <w:szCs w:val="24"/>
        </w:rPr>
      </w:pPr>
      <w:bookmarkStart w:id="133" w:name="_Toc489347892"/>
      <w:bookmarkStart w:id="134" w:name="_Toc489347990"/>
      <w:bookmarkStart w:id="135" w:name="_Toc489427666"/>
      <w:r>
        <w:rPr>
          <w:rFonts w:ascii="Times New Roman" w:hAnsi="Times New Roman" w:cs="Times New Roman"/>
          <w:noProof/>
          <w:szCs w:val="24"/>
        </w:rPr>
        <w:t>RESULTS OF THE CONSULTATION IN THE FRAMEWORK OF THE OPC</w:t>
      </w:r>
      <w:bookmarkEnd w:id="133"/>
      <w:bookmarkEnd w:id="134"/>
      <w:bookmarkEnd w:id="135"/>
    </w:p>
    <w:p w:rsidR="00500553" w:rsidRDefault="00D978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stated above, the OPC was designed following a two-track approach: a questionnaire for respondents with limited/no knowledge of the U</w:t>
      </w:r>
      <w:r>
        <w:rPr>
          <w:rFonts w:ascii="Times New Roman" w:hAnsi="Times New Roman" w:cs="Times New Roman"/>
          <w:noProof/>
          <w:sz w:val="24"/>
          <w:szCs w:val="24"/>
        </w:rPr>
        <w:t>CPM, and a separate one for respondents with in-depth knowledge. A summary of the results is presented here below:</w:t>
      </w:r>
    </w:p>
    <w:p w:rsidR="00500553" w:rsidRDefault="00D978F2">
      <w:pPr>
        <w:pStyle w:val="Heading2"/>
        <w:numPr>
          <w:ilvl w:val="1"/>
          <w:numId w:val="69"/>
        </w:numPr>
        <w:spacing w:before="360" w:line="276" w:lineRule="auto"/>
        <w:jc w:val="both"/>
        <w:rPr>
          <w:rFonts w:ascii="Times New Roman" w:hAnsi="Times New Roman" w:cs="Times New Roman"/>
          <w:noProof/>
          <w:sz w:val="24"/>
          <w:szCs w:val="24"/>
          <w:lang w:val="fr-BE"/>
        </w:rPr>
      </w:pPr>
      <w:bookmarkStart w:id="136" w:name="_Toc489347893"/>
      <w:bookmarkStart w:id="137" w:name="_Toc489347991"/>
      <w:bookmarkStart w:id="138" w:name="_Toc489427667"/>
      <w:r>
        <w:rPr>
          <w:rFonts w:ascii="Times New Roman" w:hAnsi="Times New Roman" w:cs="Times New Roman"/>
          <w:noProof/>
          <w:sz w:val="24"/>
          <w:szCs w:val="24"/>
          <w:lang w:val="fr-BE"/>
        </w:rPr>
        <w:t>General Questions (for both questionnaires)</w:t>
      </w:r>
      <w:bookmarkEnd w:id="136"/>
      <w:bookmarkEnd w:id="137"/>
      <w:bookmarkEnd w:id="138"/>
    </w:p>
    <w:p w:rsidR="00500553" w:rsidRDefault="00D978F2">
      <w:pPr>
        <w:ind w:left="360"/>
        <w:jc w:val="both"/>
        <w:rPr>
          <w:rFonts w:ascii="Times New Roman" w:hAnsi="Times New Roman" w:cs="Times New Roman"/>
          <w:noProof/>
          <w:sz w:val="24"/>
          <w:szCs w:val="24"/>
          <w:u w:val="single"/>
          <w:lang w:val="fr-BE"/>
        </w:rPr>
      </w:pPr>
      <w:r>
        <w:rPr>
          <w:rFonts w:ascii="Times New Roman" w:hAnsi="Times New Roman" w:cs="Times New Roman"/>
          <w:noProof/>
          <w:sz w:val="24"/>
          <w:szCs w:val="24"/>
          <w:u w:val="single"/>
          <w:lang w:val="fr-BE"/>
        </w:rPr>
        <w:t>Hazard/Emergencies</w:t>
      </w:r>
    </w:p>
    <w:p w:rsidR="00500553" w:rsidRDefault="00D978F2">
      <w:pPr>
        <w:pStyle w:val="ListParagraph"/>
        <w:numPr>
          <w:ilvl w:val="0"/>
          <w:numId w:val="78"/>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Respondents without in-depth knowledge about the UCPM indicated that the top </w:t>
      </w:r>
      <w:r>
        <w:rPr>
          <w:rFonts w:ascii="Times New Roman" w:hAnsi="Times New Roman" w:cs="Times New Roman"/>
          <w:noProof/>
          <w:sz w:val="24"/>
          <w:szCs w:val="24"/>
        </w:rPr>
        <w:t>three emergencies that the UCPM should deal with are: earthquakes, floods and terrorist attacks.</w:t>
      </w:r>
    </w:p>
    <w:p w:rsidR="00500553" w:rsidRDefault="00D978F2">
      <w:pPr>
        <w:pStyle w:val="ListParagraph"/>
        <w:numPr>
          <w:ilvl w:val="0"/>
          <w:numId w:val="78"/>
        </w:numPr>
        <w:spacing w:before="120"/>
        <w:jc w:val="both"/>
        <w:rPr>
          <w:rFonts w:ascii="Times New Roman" w:hAnsi="Times New Roman" w:cs="Times New Roman"/>
          <w:noProof/>
          <w:sz w:val="24"/>
          <w:szCs w:val="24"/>
        </w:rPr>
      </w:pPr>
      <w:r>
        <w:rPr>
          <w:rFonts w:ascii="Times New Roman" w:hAnsi="Times New Roman" w:cs="Times New Roman"/>
          <w:noProof/>
          <w:sz w:val="24"/>
          <w:szCs w:val="24"/>
        </w:rPr>
        <w:t>On the contrary, respondents with in-depth knowledge established earthquakes, floods and forest fires as the three main priorities.</w:t>
      </w:r>
    </w:p>
    <w:p w:rsidR="00500553" w:rsidRDefault="00D978F2">
      <w:pPr>
        <w:ind w:left="36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Source of Information</w:t>
      </w:r>
    </w:p>
    <w:p w:rsidR="00500553" w:rsidRDefault="00D978F2">
      <w:pPr>
        <w:pStyle w:val="ListParagraph"/>
        <w:numPr>
          <w:ilvl w:val="0"/>
          <w:numId w:val="79"/>
        </w:numPr>
        <w:spacing w:before="120"/>
        <w:jc w:val="both"/>
        <w:rPr>
          <w:rFonts w:ascii="Times New Roman" w:hAnsi="Times New Roman" w:cs="Times New Roman"/>
          <w:noProof/>
          <w:sz w:val="24"/>
          <w:szCs w:val="24"/>
        </w:rPr>
      </w:pPr>
      <w:r>
        <w:rPr>
          <w:rFonts w:ascii="Times New Roman" w:hAnsi="Times New Roman" w:cs="Times New Roman"/>
          <w:noProof/>
          <w:sz w:val="24"/>
          <w:szCs w:val="24"/>
        </w:rPr>
        <w:t>For r</w:t>
      </w:r>
      <w:r>
        <w:rPr>
          <w:rFonts w:ascii="Times New Roman" w:hAnsi="Times New Roman" w:cs="Times New Roman"/>
          <w:noProof/>
          <w:sz w:val="24"/>
          <w:szCs w:val="24"/>
        </w:rPr>
        <w:t>espondents without in-depth knowledge the preferred source of information about the UCPM would be national civil protection authorities.</w:t>
      </w:r>
    </w:p>
    <w:p w:rsidR="00500553" w:rsidRDefault="00D978F2">
      <w:pPr>
        <w:pStyle w:val="ListParagraph"/>
        <w:numPr>
          <w:ilvl w:val="0"/>
          <w:numId w:val="79"/>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Whereas for respondents with in-depth knowledge, the main source of information about the Mechanism would be by far DG </w:t>
      </w:r>
      <w:r>
        <w:rPr>
          <w:rFonts w:ascii="Times New Roman" w:hAnsi="Times New Roman" w:cs="Times New Roman"/>
          <w:noProof/>
          <w:sz w:val="24"/>
          <w:szCs w:val="24"/>
        </w:rPr>
        <w:t>ECHO.</w:t>
      </w:r>
    </w:p>
    <w:p w:rsidR="00500553" w:rsidRDefault="00D978F2">
      <w:pPr>
        <w:ind w:left="36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Pillars</w:t>
      </w:r>
    </w:p>
    <w:p w:rsidR="00500553" w:rsidRDefault="00D978F2">
      <w:pPr>
        <w:pStyle w:val="ListParagraph"/>
        <w:numPr>
          <w:ilvl w:val="0"/>
          <w:numId w:val="79"/>
        </w:numPr>
        <w:spacing w:before="120"/>
        <w:jc w:val="both"/>
        <w:rPr>
          <w:rFonts w:ascii="Times New Roman" w:hAnsi="Times New Roman" w:cs="Times New Roman"/>
          <w:noProof/>
          <w:sz w:val="24"/>
          <w:szCs w:val="24"/>
        </w:rPr>
      </w:pPr>
      <w:r>
        <w:rPr>
          <w:rFonts w:ascii="Times New Roman" w:hAnsi="Times New Roman" w:cs="Times New Roman"/>
          <w:noProof/>
          <w:sz w:val="24"/>
          <w:szCs w:val="24"/>
        </w:rPr>
        <w:t>Respondents without in-depth knowledge agreed to a large extent that an EU-coordinated action in the field of prevention, preparedness and response would be more effective than single actions undertaken by Member States.</w:t>
      </w:r>
    </w:p>
    <w:p w:rsidR="00500553" w:rsidRDefault="00D978F2">
      <w:pPr>
        <w:pStyle w:val="ListParagraph"/>
        <w:numPr>
          <w:ilvl w:val="0"/>
          <w:numId w:val="79"/>
        </w:numPr>
        <w:spacing w:before="120"/>
        <w:jc w:val="both"/>
        <w:rPr>
          <w:rFonts w:ascii="Times New Roman" w:hAnsi="Times New Roman" w:cs="Times New Roman"/>
          <w:noProof/>
          <w:sz w:val="24"/>
          <w:szCs w:val="24"/>
        </w:rPr>
      </w:pPr>
      <w:r>
        <w:rPr>
          <w:rFonts w:ascii="Times New Roman" w:hAnsi="Times New Roman" w:cs="Times New Roman"/>
          <w:noProof/>
          <w:sz w:val="24"/>
          <w:szCs w:val="24"/>
        </w:rPr>
        <w:t>Similarly, respondent</w:t>
      </w:r>
      <w:r>
        <w:rPr>
          <w:rFonts w:ascii="Times New Roman" w:hAnsi="Times New Roman" w:cs="Times New Roman"/>
          <w:noProof/>
          <w:sz w:val="24"/>
          <w:szCs w:val="24"/>
        </w:rPr>
        <w:t>s with in-depth knowledge also agreed that the effectives of an EU-coordinated action would be higher (particularly in the field of preparedness and response) than single undertakings.</w:t>
      </w:r>
    </w:p>
    <w:p w:rsidR="00500553" w:rsidRDefault="00D978F2">
      <w:pPr>
        <w:pStyle w:val="Heading2"/>
        <w:numPr>
          <w:ilvl w:val="1"/>
          <w:numId w:val="69"/>
        </w:numPr>
        <w:spacing w:before="360" w:line="276" w:lineRule="auto"/>
        <w:jc w:val="both"/>
        <w:rPr>
          <w:rFonts w:ascii="Times New Roman" w:hAnsi="Times New Roman" w:cs="Times New Roman"/>
          <w:noProof/>
          <w:sz w:val="24"/>
          <w:szCs w:val="24"/>
        </w:rPr>
      </w:pPr>
      <w:bookmarkStart w:id="139" w:name="_Toc489347894"/>
      <w:bookmarkStart w:id="140" w:name="_Toc489347992"/>
      <w:bookmarkStart w:id="141" w:name="_Toc489427668"/>
      <w:r>
        <w:rPr>
          <w:rFonts w:ascii="Times New Roman" w:hAnsi="Times New Roman" w:cs="Times New Roman"/>
          <w:noProof/>
          <w:sz w:val="24"/>
          <w:szCs w:val="24"/>
        </w:rPr>
        <w:t>Relevance (only for in-depth knowledge)</w:t>
      </w:r>
      <w:bookmarkEnd w:id="139"/>
      <w:bookmarkEnd w:id="140"/>
      <w:bookmarkEnd w:id="141"/>
    </w:p>
    <w:p w:rsidR="00500553" w:rsidRDefault="00D978F2">
      <w:pPr>
        <w:pStyle w:val="ListParagraph"/>
        <w:numPr>
          <w:ilvl w:val="0"/>
          <w:numId w:val="80"/>
        </w:numPr>
        <w:spacing w:before="120"/>
        <w:jc w:val="both"/>
        <w:rPr>
          <w:rFonts w:ascii="Times New Roman" w:hAnsi="Times New Roman" w:cs="Times New Roman"/>
          <w:noProof/>
          <w:sz w:val="24"/>
          <w:szCs w:val="24"/>
        </w:rPr>
      </w:pPr>
      <w:r>
        <w:rPr>
          <w:rFonts w:ascii="Times New Roman" w:hAnsi="Times New Roman" w:cs="Times New Roman"/>
          <w:noProof/>
          <w:sz w:val="24"/>
          <w:szCs w:val="24"/>
        </w:rPr>
        <w:t>Respondents without in-depth kn</w:t>
      </w:r>
      <w:r>
        <w:rPr>
          <w:rFonts w:ascii="Times New Roman" w:hAnsi="Times New Roman" w:cs="Times New Roman"/>
          <w:noProof/>
          <w:sz w:val="24"/>
          <w:szCs w:val="24"/>
        </w:rPr>
        <w:t>owledge about the UCPM agreed on the continuous relevance of the Mechanism as it addresses the critical challenges faced by the EU. Although still high, lesser consensus is reached when assessing the capability of the Mechanism to adapt to new risks in the</w:t>
      </w:r>
      <w:r>
        <w:rPr>
          <w:rFonts w:ascii="Times New Roman" w:hAnsi="Times New Roman" w:cs="Times New Roman"/>
          <w:noProof/>
          <w:sz w:val="24"/>
          <w:szCs w:val="24"/>
        </w:rPr>
        <w:t xml:space="preserve"> emergency management.</w:t>
      </w:r>
    </w:p>
    <w:p w:rsidR="00500553" w:rsidRDefault="00D978F2">
      <w:pPr>
        <w:pStyle w:val="Heading2"/>
        <w:numPr>
          <w:ilvl w:val="1"/>
          <w:numId w:val="69"/>
        </w:numPr>
        <w:spacing w:before="360" w:line="276" w:lineRule="auto"/>
        <w:jc w:val="both"/>
        <w:rPr>
          <w:rFonts w:ascii="Times New Roman" w:hAnsi="Times New Roman" w:cs="Times New Roman"/>
          <w:noProof/>
          <w:sz w:val="24"/>
          <w:szCs w:val="24"/>
        </w:rPr>
      </w:pPr>
      <w:bookmarkStart w:id="142" w:name="_Toc489347895"/>
      <w:bookmarkStart w:id="143" w:name="_Toc489347993"/>
      <w:bookmarkStart w:id="144" w:name="_Toc489427669"/>
      <w:r>
        <w:rPr>
          <w:rFonts w:ascii="Times New Roman" w:hAnsi="Times New Roman" w:cs="Times New Roman"/>
          <w:noProof/>
          <w:sz w:val="24"/>
          <w:szCs w:val="24"/>
        </w:rPr>
        <w:t>Effectiveness (only for in-depth knowledge)</w:t>
      </w:r>
      <w:bookmarkEnd w:id="142"/>
      <w:bookmarkEnd w:id="143"/>
      <w:bookmarkEnd w:id="144"/>
    </w:p>
    <w:p w:rsidR="00500553" w:rsidRDefault="00D978F2">
      <w:pPr>
        <w:pStyle w:val="ListParagraph"/>
        <w:numPr>
          <w:ilvl w:val="0"/>
          <w:numId w:val="80"/>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Respondents without in-depth knowledge stressed that coordination at EU level in the three pillars of the UCPM (prevention, preparedness and response) has improved the effectiveness of the </w:t>
      </w:r>
      <w:r>
        <w:rPr>
          <w:rFonts w:ascii="Times New Roman" w:hAnsi="Times New Roman" w:cs="Times New Roman"/>
          <w:noProof/>
          <w:sz w:val="24"/>
          <w:szCs w:val="24"/>
        </w:rPr>
        <w:t>disaster response mechanisms at national level. Some criticism was raised, though, regarding the response to the migration crisis, which was not considered positively handled.</w:t>
      </w:r>
    </w:p>
    <w:p w:rsidR="00500553" w:rsidRDefault="00D978F2">
      <w:pPr>
        <w:pStyle w:val="Heading2"/>
        <w:numPr>
          <w:ilvl w:val="1"/>
          <w:numId w:val="69"/>
        </w:numPr>
        <w:spacing w:before="360" w:line="276" w:lineRule="auto"/>
        <w:jc w:val="both"/>
        <w:rPr>
          <w:rFonts w:ascii="Times New Roman" w:hAnsi="Times New Roman" w:cs="Times New Roman"/>
          <w:noProof/>
          <w:sz w:val="24"/>
          <w:szCs w:val="24"/>
        </w:rPr>
      </w:pPr>
      <w:bookmarkStart w:id="145" w:name="_Toc489347896"/>
      <w:bookmarkStart w:id="146" w:name="_Toc489347994"/>
      <w:bookmarkStart w:id="147" w:name="_Toc489427670"/>
      <w:r>
        <w:rPr>
          <w:rFonts w:ascii="Times New Roman" w:hAnsi="Times New Roman" w:cs="Times New Roman"/>
          <w:noProof/>
          <w:sz w:val="24"/>
          <w:szCs w:val="24"/>
        </w:rPr>
        <w:t>Efficiency (only for in-depth knowledge)</w:t>
      </w:r>
      <w:bookmarkEnd w:id="145"/>
      <w:bookmarkEnd w:id="146"/>
      <w:bookmarkEnd w:id="147"/>
    </w:p>
    <w:p w:rsidR="00500553" w:rsidRDefault="00D978F2">
      <w:pPr>
        <w:pStyle w:val="ListParagraph"/>
        <w:numPr>
          <w:ilvl w:val="0"/>
          <w:numId w:val="80"/>
        </w:numPr>
        <w:spacing w:before="120"/>
        <w:jc w:val="both"/>
        <w:rPr>
          <w:rFonts w:ascii="Times New Roman" w:hAnsi="Times New Roman" w:cs="Times New Roman"/>
          <w:noProof/>
          <w:sz w:val="24"/>
          <w:szCs w:val="24"/>
        </w:rPr>
      </w:pPr>
      <w:r>
        <w:rPr>
          <w:rFonts w:ascii="Times New Roman" w:hAnsi="Times New Roman" w:cs="Times New Roman"/>
          <w:noProof/>
          <w:sz w:val="24"/>
          <w:szCs w:val="24"/>
        </w:rPr>
        <w:t>Half of respondents without in-depth kn</w:t>
      </w:r>
      <w:r>
        <w:rPr>
          <w:rFonts w:ascii="Times New Roman" w:hAnsi="Times New Roman" w:cs="Times New Roman"/>
          <w:noProof/>
          <w:sz w:val="24"/>
          <w:szCs w:val="24"/>
        </w:rPr>
        <w:t>owledge noted that the administrative procedures to prepare and submit an application for the prevention and preparedness projects were too cumbersome, therefore undermining the efficiency of the Mechanism.</w:t>
      </w:r>
    </w:p>
    <w:p w:rsidR="00500553" w:rsidRDefault="00D978F2">
      <w:pPr>
        <w:pStyle w:val="Heading2"/>
        <w:numPr>
          <w:ilvl w:val="1"/>
          <w:numId w:val="69"/>
        </w:numPr>
        <w:spacing w:before="360" w:line="276" w:lineRule="auto"/>
        <w:jc w:val="both"/>
        <w:rPr>
          <w:rFonts w:ascii="Times New Roman" w:hAnsi="Times New Roman" w:cs="Times New Roman"/>
          <w:noProof/>
          <w:sz w:val="24"/>
          <w:szCs w:val="24"/>
        </w:rPr>
      </w:pPr>
      <w:bookmarkStart w:id="148" w:name="_Toc489347897"/>
      <w:bookmarkStart w:id="149" w:name="_Toc489347995"/>
      <w:bookmarkStart w:id="150" w:name="_Toc489427671"/>
      <w:r>
        <w:rPr>
          <w:rFonts w:ascii="Times New Roman" w:hAnsi="Times New Roman" w:cs="Times New Roman"/>
          <w:noProof/>
          <w:sz w:val="24"/>
          <w:szCs w:val="24"/>
        </w:rPr>
        <w:t>Coherence (only for in-depth knowledge)</w:t>
      </w:r>
      <w:bookmarkEnd w:id="148"/>
      <w:bookmarkEnd w:id="149"/>
      <w:bookmarkEnd w:id="150"/>
    </w:p>
    <w:p w:rsidR="00500553" w:rsidRDefault="00D978F2">
      <w:pPr>
        <w:pStyle w:val="ListParagraph"/>
        <w:numPr>
          <w:ilvl w:val="0"/>
          <w:numId w:val="80"/>
        </w:numPr>
        <w:spacing w:before="120"/>
        <w:jc w:val="both"/>
        <w:rPr>
          <w:rFonts w:ascii="Times New Roman" w:hAnsi="Times New Roman" w:cs="Times New Roman"/>
          <w:noProof/>
          <w:sz w:val="24"/>
          <w:szCs w:val="24"/>
        </w:rPr>
      </w:pPr>
      <w:r>
        <w:rPr>
          <w:rFonts w:ascii="Times New Roman" w:hAnsi="Times New Roman" w:cs="Times New Roman"/>
          <w:noProof/>
          <w:sz w:val="24"/>
          <w:szCs w:val="24"/>
        </w:rPr>
        <w:t>For respo</w:t>
      </w:r>
      <w:r>
        <w:rPr>
          <w:rFonts w:ascii="Times New Roman" w:hAnsi="Times New Roman" w:cs="Times New Roman"/>
          <w:noProof/>
          <w:sz w:val="24"/>
          <w:szCs w:val="24"/>
        </w:rPr>
        <w:t>ndents with in-depth knowledge, internal coherence within the Mechanisms (i.e. the three pillars) was achieved to a large extent. Regarding external coherence (i.e. coherence with other policy areas), respondents agreed that clear links were established wi</w:t>
      </w:r>
      <w:r>
        <w:rPr>
          <w:rFonts w:ascii="Times New Roman" w:hAnsi="Times New Roman" w:cs="Times New Roman"/>
          <w:noProof/>
          <w:sz w:val="24"/>
          <w:szCs w:val="24"/>
        </w:rPr>
        <w:t>th the humanitarian aid. However, a lack of synergies was mentioned regarding migration and refugees.</w:t>
      </w:r>
    </w:p>
    <w:p w:rsidR="00500553" w:rsidRDefault="00D978F2">
      <w:pPr>
        <w:pStyle w:val="Heading2"/>
        <w:numPr>
          <w:ilvl w:val="1"/>
          <w:numId w:val="69"/>
        </w:numPr>
        <w:spacing w:before="360" w:line="276" w:lineRule="auto"/>
        <w:jc w:val="both"/>
        <w:rPr>
          <w:rFonts w:ascii="Times New Roman" w:hAnsi="Times New Roman" w:cs="Times New Roman"/>
          <w:noProof/>
          <w:sz w:val="24"/>
          <w:szCs w:val="24"/>
        </w:rPr>
      </w:pPr>
      <w:bookmarkStart w:id="151" w:name="_Toc489347898"/>
      <w:bookmarkStart w:id="152" w:name="_Toc489347996"/>
      <w:bookmarkStart w:id="153" w:name="_Toc489427672"/>
      <w:r>
        <w:rPr>
          <w:rFonts w:ascii="Times New Roman" w:hAnsi="Times New Roman" w:cs="Times New Roman"/>
          <w:noProof/>
          <w:sz w:val="24"/>
          <w:szCs w:val="24"/>
        </w:rPr>
        <w:t>EU added value (only for in-depth knowledge)</w:t>
      </w:r>
      <w:bookmarkEnd w:id="151"/>
      <w:bookmarkEnd w:id="152"/>
      <w:bookmarkEnd w:id="153"/>
    </w:p>
    <w:p w:rsidR="00500553" w:rsidRDefault="00D978F2">
      <w:pPr>
        <w:pStyle w:val="ListParagraph"/>
        <w:numPr>
          <w:ilvl w:val="0"/>
          <w:numId w:val="80"/>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By a large majority, respondents with in-depth knowledge noted that individual Member States benefit notably </w:t>
      </w:r>
      <w:r>
        <w:rPr>
          <w:rFonts w:ascii="Times New Roman" w:hAnsi="Times New Roman" w:cs="Times New Roman"/>
          <w:noProof/>
          <w:sz w:val="24"/>
          <w:szCs w:val="24"/>
        </w:rPr>
        <w:t>from a coordinated EU action through the Mechanism. Consensus was also reached on the fact that EU action also increased the international visibility of the EU as a global actor.</w:t>
      </w:r>
    </w:p>
    <w:p w:rsidR="00500553" w:rsidRDefault="00D978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framework of the Open Public Consultation, and in addition to the info</w:t>
      </w:r>
      <w:r>
        <w:rPr>
          <w:rFonts w:ascii="Times New Roman" w:hAnsi="Times New Roman" w:cs="Times New Roman"/>
          <w:noProof/>
          <w:sz w:val="24"/>
          <w:szCs w:val="24"/>
        </w:rPr>
        <w:t>rmation gathered through the questionnaires specifically designed, five other contributions (documents) were submitted via the online portal. These are of different nature and scope and therefore difficult to categorise. For transparency purposes, they are</w:t>
      </w:r>
      <w:r>
        <w:rPr>
          <w:rFonts w:ascii="Times New Roman" w:hAnsi="Times New Roman" w:cs="Times New Roman"/>
          <w:noProof/>
          <w:sz w:val="24"/>
          <w:szCs w:val="24"/>
        </w:rPr>
        <w:t xml:space="preserve"> presented here below:</w:t>
      </w:r>
    </w:p>
    <w:p w:rsidR="00500553" w:rsidRDefault="00D978F2">
      <w:pPr>
        <w:pStyle w:val="ListParagraph"/>
        <w:numPr>
          <w:ilvl w:val="0"/>
          <w:numId w:val="76"/>
        </w:num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National Red Cross Societies of EU Member States and the International Federation of Red Cross and Red Crescent Societies, </w:t>
      </w:r>
      <w:r>
        <w:rPr>
          <w:rFonts w:ascii="Times New Roman" w:hAnsi="Times New Roman" w:cs="Times New Roman"/>
          <w:i/>
          <w:noProof/>
          <w:sz w:val="24"/>
          <w:szCs w:val="24"/>
        </w:rPr>
        <w:t>Contribution to the Public Consultation on Evaluation of the Union Civil Protection Mechanism</w:t>
      </w:r>
      <w:r>
        <w:rPr>
          <w:rFonts w:ascii="Times New Roman" w:hAnsi="Times New Roman" w:cs="Times New Roman"/>
          <w:noProof/>
          <w:sz w:val="24"/>
          <w:szCs w:val="24"/>
        </w:rPr>
        <w:t>, February 2017.</w:t>
      </w:r>
    </w:p>
    <w:p w:rsidR="00500553" w:rsidRDefault="00D978F2">
      <w:pPr>
        <w:pStyle w:val="ListParagraph"/>
        <w:numPr>
          <w:ilvl w:val="0"/>
          <w:numId w:val="76"/>
        </w:num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NN, </w:t>
      </w:r>
      <w:r>
        <w:rPr>
          <w:rFonts w:ascii="Times New Roman" w:hAnsi="Times New Roman" w:cs="Times New Roman"/>
          <w:i/>
          <w:noProof/>
          <w:sz w:val="24"/>
          <w:szCs w:val="24"/>
        </w:rPr>
        <w:t>The Securitisation of European Union Civil Protection. Investigating the logics of securitisation and the development of European Union Civil Protection</w:t>
      </w:r>
      <w:r>
        <w:rPr>
          <w:rFonts w:ascii="Times New Roman" w:hAnsi="Times New Roman" w:cs="Times New Roman"/>
          <w:noProof/>
          <w:sz w:val="24"/>
          <w:szCs w:val="24"/>
        </w:rPr>
        <w:t>, Thesis, School of Politics and International Relations – University College Dublin, August 2016.</w:t>
      </w:r>
    </w:p>
    <w:p w:rsidR="00500553" w:rsidRDefault="00D978F2">
      <w:pPr>
        <w:pStyle w:val="ListParagraph"/>
        <w:numPr>
          <w:ilvl w:val="0"/>
          <w:numId w:val="76"/>
        </w:num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N</w:t>
      </w:r>
      <w:r>
        <w:rPr>
          <w:rFonts w:ascii="Times New Roman" w:hAnsi="Times New Roman" w:cs="Times New Roman"/>
          <w:noProof/>
          <w:sz w:val="24"/>
          <w:szCs w:val="24"/>
        </w:rPr>
        <w:t xml:space="preserve">N, </w:t>
      </w:r>
      <w:r>
        <w:rPr>
          <w:rFonts w:ascii="Times New Roman" w:hAnsi="Times New Roman" w:cs="Times New Roman"/>
          <w:i/>
          <w:noProof/>
          <w:sz w:val="24"/>
          <w:szCs w:val="24"/>
        </w:rPr>
        <w:t>Position Paper on the European Commission's 'Public Consultation on the Interim Evaluation of the Union Civil Protection Mechanism'</w:t>
      </w:r>
      <w:r>
        <w:rPr>
          <w:rFonts w:ascii="Times New Roman" w:hAnsi="Times New Roman" w:cs="Times New Roman"/>
          <w:noProof/>
          <w:sz w:val="24"/>
          <w:szCs w:val="24"/>
        </w:rPr>
        <w:t>.</w:t>
      </w:r>
    </w:p>
    <w:p w:rsidR="00500553" w:rsidRDefault="00D978F2">
      <w:pPr>
        <w:pStyle w:val="ListParagraph"/>
        <w:numPr>
          <w:ilvl w:val="0"/>
          <w:numId w:val="76"/>
        </w:num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PLATAFORMA, </w:t>
      </w:r>
      <w:r>
        <w:rPr>
          <w:rFonts w:ascii="Times New Roman" w:hAnsi="Times New Roman" w:cs="Times New Roman"/>
          <w:i/>
          <w:noProof/>
          <w:sz w:val="24"/>
          <w:szCs w:val="24"/>
        </w:rPr>
        <w:t>Forced displacement and development. Plataforma's comments on the non-paper for expert consultations</w:t>
      </w:r>
      <w:r>
        <w:rPr>
          <w:rFonts w:ascii="Times New Roman" w:hAnsi="Times New Roman" w:cs="Times New Roman"/>
          <w:noProof/>
          <w:sz w:val="24"/>
          <w:szCs w:val="24"/>
        </w:rPr>
        <w:t>.</w:t>
      </w:r>
    </w:p>
    <w:p w:rsidR="00500553" w:rsidRDefault="00D978F2">
      <w:pPr>
        <w:pStyle w:val="ListParagraph"/>
        <w:numPr>
          <w:ilvl w:val="0"/>
          <w:numId w:val="76"/>
        </w:num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Intern</w:t>
      </w:r>
      <w:r>
        <w:rPr>
          <w:rFonts w:ascii="Times New Roman" w:hAnsi="Times New Roman" w:cs="Times New Roman"/>
          <w:noProof/>
          <w:sz w:val="24"/>
          <w:szCs w:val="24"/>
        </w:rPr>
        <w:t xml:space="preserve">ational Amateur Radio Union, </w:t>
      </w:r>
      <w:r>
        <w:rPr>
          <w:rFonts w:ascii="Times New Roman" w:hAnsi="Times New Roman" w:cs="Times New Roman"/>
          <w:i/>
          <w:noProof/>
          <w:sz w:val="24"/>
          <w:szCs w:val="24"/>
        </w:rPr>
        <w:t>Response to Public Consultation on the Interim Evaluation of the Union Civil Protection Mechanism</w:t>
      </w:r>
      <w:r>
        <w:rPr>
          <w:rFonts w:ascii="Times New Roman" w:hAnsi="Times New Roman" w:cs="Times New Roman"/>
          <w:noProof/>
          <w:sz w:val="24"/>
          <w:szCs w:val="24"/>
        </w:rPr>
        <w:t>, February 2017.</w:t>
      </w:r>
    </w:p>
    <w:p w:rsidR="00500553" w:rsidRDefault="00500553">
      <w:pPr>
        <w:spacing w:after="0" w:line="240" w:lineRule="auto"/>
        <w:jc w:val="both"/>
        <w:rPr>
          <w:rFonts w:ascii="Times New Roman" w:hAnsi="Times New Roman" w:cs="Times New Roman"/>
          <w:noProof/>
          <w:sz w:val="24"/>
          <w:szCs w:val="24"/>
        </w:rPr>
      </w:pPr>
    </w:p>
    <w:p w:rsidR="00500553" w:rsidRDefault="00D978F2">
      <w:pPr>
        <w:pStyle w:val="Heading1"/>
        <w:numPr>
          <w:ilvl w:val="0"/>
          <w:numId w:val="69"/>
        </w:numPr>
        <w:spacing w:before="480" w:line="276" w:lineRule="auto"/>
        <w:ind w:left="357" w:hanging="357"/>
        <w:jc w:val="both"/>
        <w:rPr>
          <w:rFonts w:ascii="Times New Roman" w:hAnsi="Times New Roman" w:cs="Times New Roman"/>
          <w:noProof/>
          <w:szCs w:val="24"/>
        </w:rPr>
      </w:pPr>
      <w:bookmarkStart w:id="154" w:name="_Toc489347899"/>
      <w:bookmarkStart w:id="155" w:name="_Toc489347997"/>
      <w:bookmarkStart w:id="156" w:name="_Toc489427673"/>
      <w:r>
        <w:rPr>
          <w:rFonts w:ascii="Times New Roman" w:hAnsi="Times New Roman" w:cs="Times New Roman"/>
          <w:noProof/>
          <w:szCs w:val="24"/>
        </w:rPr>
        <w:t>CONCLUSIONS</w:t>
      </w:r>
      <w:bookmarkEnd w:id="154"/>
      <w:bookmarkEnd w:id="155"/>
      <w:bookmarkEnd w:id="156"/>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The stakeholder consultation provided valuable feedback on the functioning of the UCPM during its fi</w:t>
      </w:r>
      <w:r>
        <w:rPr>
          <w:rFonts w:ascii="Times New Roman" w:hAnsi="Times New Roman" w:cs="Times New Roman"/>
          <w:noProof/>
          <w:sz w:val="24"/>
          <w:szCs w:val="24"/>
        </w:rPr>
        <w:t>rst three years of implementation, highlighting its achievements as well as some of its shortcomings.</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In general terms, stakeholders present a relatively high degree of satisfaction with the functioning of the Mechanism. Responses from the consultation exe</w:t>
      </w:r>
      <w:r>
        <w:rPr>
          <w:rFonts w:ascii="Times New Roman" w:hAnsi="Times New Roman" w:cs="Times New Roman"/>
          <w:noProof/>
          <w:sz w:val="24"/>
          <w:szCs w:val="24"/>
        </w:rPr>
        <w:t>rcise seem to indicate that the Mechanism is on its way to achieve its general and specific objectives. However, crossing all the input collected during the stakeholder consultation, there are certain recurring points of concern.</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Stakeholders emphasised th</w:t>
      </w:r>
      <w:r>
        <w:rPr>
          <w:rFonts w:ascii="Times New Roman" w:hAnsi="Times New Roman" w:cs="Times New Roman"/>
          <w:noProof/>
          <w:sz w:val="24"/>
          <w:szCs w:val="24"/>
        </w:rPr>
        <w:t>e need for a more strategic use of the UCPM activities already in place, that is, foster synergies within its three pillars and reinforce and systematise the integration of lessons learnt into the feedback cycle.</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stakeholders also pointed out the </w:t>
      </w:r>
      <w:r>
        <w:rPr>
          <w:rFonts w:ascii="Times New Roman" w:hAnsi="Times New Roman" w:cs="Times New Roman"/>
          <w:noProof/>
          <w:sz w:val="24"/>
          <w:szCs w:val="24"/>
        </w:rPr>
        <w:t>need to enhance the synergies with other policy areas, actors and instruments with the aim to strengthen the external coherence of the Mechanism, and improve international cooperation.</w:t>
      </w:r>
    </w:p>
    <w:p w:rsidR="00500553" w:rsidRDefault="00D978F2">
      <w:pPr>
        <w:jc w:val="both"/>
        <w:rPr>
          <w:rFonts w:ascii="Times New Roman" w:hAnsi="Times New Roman" w:cs="Times New Roman"/>
          <w:noProof/>
          <w:sz w:val="24"/>
          <w:szCs w:val="24"/>
        </w:rPr>
      </w:pPr>
      <w:r>
        <w:rPr>
          <w:rFonts w:ascii="Times New Roman" w:hAnsi="Times New Roman" w:cs="Times New Roman"/>
          <w:noProof/>
          <w:sz w:val="24"/>
          <w:szCs w:val="24"/>
        </w:rPr>
        <w:t>Likewise, a recurrent point of concern among stakeholders seems to be c</w:t>
      </w:r>
      <w:r>
        <w:rPr>
          <w:rFonts w:ascii="Times New Roman" w:hAnsi="Times New Roman" w:cs="Times New Roman"/>
          <w:noProof/>
          <w:sz w:val="24"/>
          <w:szCs w:val="24"/>
        </w:rPr>
        <w:t>ertain administrative burdens that prevent the Mechanism from being speedier and fully effective, particularly for disaster response operations.</w:t>
      </w:r>
    </w:p>
    <w:p w:rsidR="00500553" w:rsidRDefault="00D978F2">
      <w:pPr>
        <w:rPr>
          <w:rFonts w:ascii="Times New Roman" w:hAnsi="Times New Roman" w:cs="Times New Roman"/>
          <w:noProof/>
          <w:szCs w:val="24"/>
        </w:rPr>
      </w:pPr>
      <w:r>
        <w:rPr>
          <w:rFonts w:ascii="Times New Roman" w:hAnsi="Times New Roman" w:cs="Times New Roman"/>
          <w:noProof/>
          <w:sz w:val="24"/>
          <w:szCs w:val="24"/>
        </w:rPr>
        <w:t>As a central piece of the Interim Evaluation of the UCPM, the results of the stakeholder consultation have high</w:t>
      </w:r>
      <w:r>
        <w:rPr>
          <w:rFonts w:ascii="Times New Roman" w:hAnsi="Times New Roman" w:cs="Times New Roman"/>
          <w:noProof/>
          <w:sz w:val="24"/>
          <w:szCs w:val="24"/>
        </w:rPr>
        <w:t>lighted the positive elements, as well as some shortcomings of the Mechanism. Several of the latter may be rectified by possible amendments to the implementing decision, i.e. Commission Implementing Decision 2014/762/EU. As for the rest, the results of the</w:t>
      </w:r>
      <w:r>
        <w:rPr>
          <w:rFonts w:ascii="Times New Roman" w:hAnsi="Times New Roman" w:cs="Times New Roman"/>
          <w:noProof/>
          <w:sz w:val="24"/>
          <w:szCs w:val="24"/>
        </w:rPr>
        <w:t xml:space="preserve"> consultation will certainly be integrated in the reflection process for future possible modifications of the UCPM.</w:t>
      </w:r>
      <w:bookmarkEnd w:id="87"/>
      <w:bookmarkEnd w:id="86"/>
    </w:p>
    <w:sectPr w:rsidR="00500553">
      <w:headerReference w:type="even" r:id="rId64"/>
      <w:headerReference w:type="default" r:id="rId65"/>
      <w:footerReference w:type="even" r:id="rId66"/>
      <w:footerReference w:type="default" r:id="rId67"/>
      <w:headerReference w:type="first" r:id="rId68"/>
      <w:footerReference w:type="firs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53" w:rsidRDefault="00D978F2">
      <w:pPr>
        <w:spacing w:after="0" w:line="240" w:lineRule="auto"/>
      </w:pPr>
      <w:r>
        <w:separator/>
      </w:r>
    </w:p>
  </w:endnote>
  <w:endnote w:type="continuationSeparator" w:id="0">
    <w:p w:rsidR="00500553" w:rsidRDefault="00D978F2">
      <w:pPr>
        <w:spacing w:after="0" w:line="240" w:lineRule="auto"/>
      </w:pPr>
      <w:r>
        <w:continuationSeparator/>
      </w:r>
    </w:p>
  </w:endnote>
  <w:endnote w:type="continuationNotice" w:id="1">
    <w:p w:rsidR="00500553" w:rsidRDefault="00500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180349"/>
      <w:docPartObj>
        <w:docPartGallery w:val="Page Numbers (Bottom of Page)"/>
        <w:docPartUnique/>
      </w:docPartObj>
    </w:sdtPr>
    <w:sdtEndPr>
      <w:rPr>
        <w:rFonts w:ascii="Times New Roman" w:hAnsi="Times New Roman" w:cs="Times New Roman"/>
        <w:noProof/>
      </w:rPr>
    </w:sdtEndPr>
    <w:sdtContent>
      <w:p w:rsidR="00500553" w:rsidRDefault="00D978F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41</w:t>
        </w:r>
        <w:r>
          <w:rPr>
            <w:rFonts w:ascii="Times New Roman" w:hAnsi="Times New Roman" w:cs="Times New Roman"/>
            <w:noProof/>
          </w:rPr>
          <w:fldChar w:fldCharType="end"/>
        </w:r>
      </w:p>
    </w:sdtContent>
  </w:sdt>
  <w:p w:rsidR="00500553" w:rsidRDefault="0050055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jc w:val="center"/>
    </w:pPr>
  </w:p>
  <w:p w:rsidR="00500553" w:rsidRDefault="0050055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521067"/>
      <w:docPartObj>
        <w:docPartGallery w:val="Page Numbers (Bottom of Page)"/>
        <w:docPartUnique/>
      </w:docPartObj>
    </w:sdtPr>
    <w:sdtEndPr>
      <w:rPr>
        <w:rFonts w:ascii="Times New Roman" w:hAnsi="Times New Roman" w:cs="Times New Roman"/>
        <w:noProof/>
      </w:rPr>
    </w:sdtEndPr>
    <w:sdtContent>
      <w:p w:rsidR="00500553" w:rsidRDefault="00D978F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42</w:t>
        </w:r>
        <w:r>
          <w:rPr>
            <w:rFonts w:ascii="Times New Roman" w:hAnsi="Times New Roman" w:cs="Times New Roman"/>
            <w:noProof/>
          </w:rPr>
          <w:fldChar w:fldCharType="end"/>
        </w:r>
      </w:p>
    </w:sdtContent>
  </w:sdt>
  <w:p w:rsidR="00500553" w:rsidRDefault="0050055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jc w:val="center"/>
    </w:pPr>
  </w:p>
  <w:p w:rsidR="00500553" w:rsidRDefault="0050055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60123"/>
      <w:docPartObj>
        <w:docPartGallery w:val="Page Numbers (Bottom of Page)"/>
        <w:docPartUnique/>
      </w:docPartObj>
    </w:sdtPr>
    <w:sdtEndPr>
      <w:rPr>
        <w:rFonts w:ascii="Times New Roman" w:hAnsi="Times New Roman" w:cs="Times New Roman"/>
        <w:noProof/>
      </w:rPr>
    </w:sdtEndPr>
    <w:sdtContent>
      <w:p w:rsidR="00500553" w:rsidRDefault="00D978F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47</w:t>
        </w:r>
        <w:r>
          <w:rPr>
            <w:rFonts w:ascii="Times New Roman" w:hAnsi="Times New Roman" w:cs="Times New Roman"/>
            <w:noProof/>
          </w:rPr>
          <w:fldChar w:fldCharType="end"/>
        </w:r>
      </w:p>
    </w:sdtContent>
  </w:sdt>
  <w:p w:rsidR="00500553" w:rsidRDefault="0050055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jc w:val="center"/>
    </w:pPr>
  </w:p>
  <w:p w:rsidR="00500553" w:rsidRDefault="0050055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D978F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406401"/>
      <w:docPartObj>
        <w:docPartGallery w:val="Page Numbers (Bottom of Page)"/>
        <w:docPartUnique/>
      </w:docPartObj>
    </w:sdtPr>
    <w:sdtEndPr>
      <w:rPr>
        <w:rFonts w:ascii="Times New Roman" w:hAnsi="Times New Roman" w:cs="Times New Roman"/>
        <w:noProof/>
      </w:rPr>
    </w:sdtEndPr>
    <w:sdtContent>
      <w:p w:rsidR="00500553" w:rsidRDefault="00D978F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56</w:t>
        </w:r>
        <w:r>
          <w:rPr>
            <w:rFonts w:ascii="Times New Roman" w:hAnsi="Times New Roman" w:cs="Times New Roman"/>
            <w:noProof/>
          </w:rPr>
          <w:fldChar w:fldCharType="end"/>
        </w:r>
      </w:p>
    </w:sdtContent>
  </w:sdt>
  <w:p w:rsidR="00500553" w:rsidRDefault="0050055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jc w:val="center"/>
    </w:pPr>
  </w:p>
  <w:p w:rsidR="00500553" w:rsidRDefault="005005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7894"/>
      <w:docPartObj>
        <w:docPartGallery w:val="Page Numbers (Bottom of Page)"/>
        <w:docPartUnique/>
      </w:docPartObj>
    </w:sdtPr>
    <w:sdtEndPr>
      <w:rPr>
        <w:rFonts w:ascii="Times New Roman" w:hAnsi="Times New Roman" w:cs="Times New Roman"/>
        <w:noProof/>
      </w:rPr>
    </w:sdtEndPr>
    <w:sdtContent>
      <w:p w:rsidR="00500553" w:rsidRDefault="00D978F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500553" w:rsidRDefault="005005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jc w:val="center"/>
    </w:pPr>
  </w:p>
  <w:p w:rsidR="00500553" w:rsidRDefault="0050055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503578"/>
      <w:docPartObj>
        <w:docPartGallery w:val="Page Numbers (Bottom of Page)"/>
        <w:docPartUnique/>
      </w:docPartObj>
    </w:sdtPr>
    <w:sdtEndPr>
      <w:rPr>
        <w:rFonts w:ascii="Times New Roman" w:hAnsi="Times New Roman" w:cs="Times New Roman"/>
        <w:noProof/>
      </w:rPr>
    </w:sdtEndPr>
    <w:sdtContent>
      <w:p w:rsidR="00500553" w:rsidRDefault="00D978F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noProof/>
          </w:rPr>
          <w:fldChar w:fldCharType="end"/>
        </w:r>
      </w:p>
    </w:sdtContent>
  </w:sdt>
  <w:p w:rsidR="00500553" w:rsidRDefault="0050055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Footer"/>
      <w:jc w:val="center"/>
    </w:pPr>
  </w:p>
  <w:p w:rsidR="00500553" w:rsidRDefault="00500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53" w:rsidRDefault="00D978F2">
      <w:pPr>
        <w:spacing w:after="0" w:line="240" w:lineRule="auto"/>
      </w:pPr>
      <w:r>
        <w:separator/>
      </w:r>
    </w:p>
  </w:footnote>
  <w:footnote w:type="continuationSeparator" w:id="0">
    <w:p w:rsidR="00500553" w:rsidRDefault="00D978F2">
      <w:pPr>
        <w:spacing w:after="0" w:line="240" w:lineRule="auto"/>
      </w:pPr>
      <w:r>
        <w:continuationSeparator/>
      </w:r>
    </w:p>
  </w:footnote>
  <w:footnote w:type="continuationNotice" w:id="1">
    <w:p w:rsidR="00500553" w:rsidRDefault="00500553">
      <w:pPr>
        <w:spacing w:after="0" w:line="240" w:lineRule="auto"/>
      </w:pPr>
    </w:p>
  </w:footnote>
  <w:footnote w:id="2">
    <w:p w:rsidR="00500553" w:rsidRDefault="00D978F2">
      <w:pPr>
        <w:pStyle w:val="Times"/>
        <w:jc w:val="both"/>
        <w:rPr>
          <w:rFonts w:ascii="Times New Roman" w:hAnsi="Times New Roman" w:cs="Times New Roman"/>
          <w:i/>
          <w:iCs/>
          <w:color w:val="444444"/>
          <w:sz w:val="18"/>
          <w:szCs w:val="18"/>
          <w:lang w:val="e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OJ L 347, 20.12.2013, p. 924</w:t>
      </w:r>
    </w:p>
    <w:p w:rsidR="00500553" w:rsidRDefault="00D978F2">
      <w:pPr>
        <w:pStyle w:val="Times"/>
        <w:jc w:val="both"/>
        <w:rPr>
          <w:rFonts w:ascii="Times New Roman" w:hAnsi="Times New Roman" w:cs="Times New Roman"/>
          <w:sz w:val="18"/>
          <w:szCs w:val="18"/>
        </w:rPr>
      </w:pPr>
      <w:r>
        <w:rPr>
          <w:rFonts w:ascii="Times New Roman" w:hAnsi="Times New Roman" w:cs="Times New Roman"/>
          <w:sz w:val="18"/>
          <w:szCs w:val="18"/>
        </w:rPr>
        <w:t xml:space="preserve">Available at: </w:t>
      </w:r>
      <w:hyperlink r:id="rId1" w:history="1">
        <w:r>
          <w:rPr>
            <w:rStyle w:val="Hyperlink"/>
            <w:rFonts w:ascii="Times New Roman" w:hAnsi="Times New Roman" w:cs="Times New Roman"/>
            <w:sz w:val="18"/>
            <w:szCs w:val="18"/>
          </w:rPr>
          <w:t>http://eur-lex.europa.eu/LexUriServ/LexUriServ.do?uri=OJ:L:2013:347:0924:0947:EN:PDF</w:t>
        </w:r>
      </w:hyperlink>
      <w:r>
        <w:rPr>
          <w:rFonts w:ascii="Times New Roman" w:hAnsi="Times New Roman" w:cs="Times New Roman"/>
          <w:sz w:val="18"/>
          <w:szCs w:val="18"/>
        </w:rPr>
        <w:t xml:space="preserve"> </w:t>
      </w:r>
    </w:p>
  </w:footnote>
  <w:footnote w:id="3">
    <w:p w:rsidR="00500553" w:rsidRDefault="00D978F2">
      <w:pPr>
        <w:pStyle w:val="Times"/>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Namely, Decision 1313/2013/EU (see above) and Commission Implementing</w:t>
      </w:r>
      <w:r>
        <w:rPr>
          <w:rFonts w:ascii="Times New Roman" w:hAnsi="Times New Roman" w:cs="Times New Roman"/>
          <w:sz w:val="18"/>
          <w:szCs w:val="18"/>
        </w:rPr>
        <w:t xml:space="preserve"> Decision 2014/762/EU of 16 October 2014 laying down the rules for the implementation of Decision 1313/2013/EU (herein 'implementing rules'), OJ L 320, 6.11.2014, p. 1</w:t>
      </w:r>
    </w:p>
  </w:footnote>
  <w:footnote w:id="4">
    <w:p w:rsidR="00500553" w:rsidRDefault="00D978F2">
      <w:pPr>
        <w:pStyle w:val="Times"/>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financial envelope for the implementation of the Union Mechanism's actions in the </w:t>
      </w:r>
      <w:r>
        <w:rPr>
          <w:rFonts w:ascii="Times New Roman" w:hAnsi="Times New Roman" w:cs="Times New Roman"/>
          <w:sz w:val="18"/>
          <w:szCs w:val="18"/>
        </w:rPr>
        <w:t>period of 2014-2020 is EUR 368 428 000. Article 19(4) specifies that this financial envelope is allocated according to the following breakdown: 20% Prevention, 50% preparedness, 30% response, with the possibility to vary each by ± 8 percentage points.</w:t>
      </w:r>
    </w:p>
  </w:footnote>
  <w:footnote w:id="5">
    <w:p w:rsidR="00500553" w:rsidRDefault="00D978F2">
      <w:pPr>
        <w:pStyle w:val="Times"/>
        <w:jc w:val="both"/>
        <w:rPr>
          <w:rFonts w:ascii="Times New Roman" w:hAnsi="Times New Roman" w:cs="Times New Roman"/>
          <w:sz w:val="18"/>
          <w:szCs w:val="18"/>
          <w:highlight w:val="yellow"/>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Fi</w:t>
      </w:r>
      <w:r>
        <w:rPr>
          <w:rFonts w:ascii="Times New Roman" w:hAnsi="Times New Roman" w:cs="Times New Roman"/>
          <w:sz w:val="18"/>
          <w:szCs w:val="18"/>
        </w:rPr>
        <w:t xml:space="preserve">nal report available at: </w:t>
      </w:r>
      <w:hyperlink r:id="rId2" w:history="1">
        <w:r>
          <w:rPr>
            <w:rStyle w:val="Hyperlink"/>
            <w:rFonts w:ascii="Times New Roman" w:hAnsi="Times New Roman" w:cs="Times New Roman"/>
            <w:sz w:val="18"/>
            <w:szCs w:val="18"/>
          </w:rPr>
          <w:t>https://ec.europa.eu/echo/sites/echo-site/files/ucpm_final_report.pdf</w:t>
        </w:r>
      </w:hyperlink>
      <w:r>
        <w:rPr>
          <w:rFonts w:ascii="Times New Roman" w:hAnsi="Times New Roman" w:cs="Times New Roman"/>
          <w:sz w:val="18"/>
          <w:szCs w:val="18"/>
        </w:rPr>
        <w:t xml:space="preserve"> </w:t>
      </w:r>
    </w:p>
  </w:footnote>
  <w:footnote w:id="6">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 </w:t>
      </w:r>
      <w:r>
        <w:rPr>
          <w:rFonts w:ascii="Times New Roman" w:hAnsi="Times New Roman" w:cs="Times New Roman"/>
          <w:i/>
          <w:sz w:val="18"/>
          <w:szCs w:val="18"/>
        </w:rPr>
        <w:t>Better Regulation for Better Results — An EU agenda</w:t>
      </w:r>
      <w:r>
        <w:rPr>
          <w:rFonts w:ascii="Times New Roman" w:hAnsi="Times New Roman" w:cs="Times New Roman"/>
          <w:sz w:val="18"/>
          <w:szCs w:val="18"/>
        </w:rPr>
        <w:t xml:space="preserve">, COM (2015)215, and </w:t>
      </w:r>
      <w:r>
        <w:rPr>
          <w:rFonts w:ascii="Times New Roman" w:hAnsi="Times New Roman" w:cs="Times New Roman"/>
          <w:i/>
          <w:sz w:val="18"/>
          <w:szCs w:val="18"/>
        </w:rPr>
        <w:t>Better Regulation Guidelines</w:t>
      </w:r>
      <w:r>
        <w:rPr>
          <w:rFonts w:ascii="Times New Roman" w:hAnsi="Times New Roman" w:cs="Times New Roman"/>
          <w:sz w:val="18"/>
          <w:szCs w:val="18"/>
        </w:rPr>
        <w:t xml:space="preserve"> (Commission Staff Working Document), SWD (2015) 111.</w:t>
      </w:r>
    </w:p>
  </w:footnote>
  <w:footnote w:id="7">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Roadmap of the Interim Evaluation can be consulted here: http://ec.europa.eu/smart-regulation/roadmaps/docs/2016_echo_007_evaluation_ucpm_en.pdf</w:t>
      </w:r>
    </w:p>
  </w:footnote>
  <w:footnote w:id="8">
    <w:p w:rsidR="00500553" w:rsidRDefault="00D978F2">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As of June 2017, the Participating States of the Union Mechanism include all EU Member States, Iceland, Norway, Serbia, the Former Yugoslav Republic of Macedonia, Montenegro and Turkey.</w:t>
      </w:r>
    </w:p>
  </w:footnote>
  <w:footnote w:id="9">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"Financial assistance may also be granted to candidate countries and</w:t>
      </w:r>
      <w:r>
        <w:rPr>
          <w:rFonts w:ascii="Times New Roman" w:hAnsi="Times New Roman" w:cs="Times New Roman"/>
          <w:sz w:val="18"/>
          <w:szCs w:val="18"/>
        </w:rPr>
        <w:t xml:space="preserve"> potential candidates not participating in the Union Mechanism as well as to countries that are part of the ENP (…)"</w:t>
      </w:r>
    </w:p>
  </w:footnote>
  <w:footnote w:id="10">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Decision 2001/729/EC, Euratom of 23 October 2001 establishing a Community mechanism to facilitate reinforced cooperation in civil</w:t>
      </w:r>
      <w:r>
        <w:rPr>
          <w:rFonts w:ascii="Times New Roman" w:hAnsi="Times New Roman" w:cs="Times New Roman"/>
          <w:sz w:val="18"/>
          <w:szCs w:val="18"/>
        </w:rPr>
        <w:t xml:space="preserve"> protection assistance interventions (OJ L 297, 15.11.2001, p.7)</w:t>
      </w:r>
    </w:p>
  </w:footnote>
  <w:footnote w:id="11">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Decision 1007/779/EC, Euratom of 8 November 2007 establishing a Community Civil Protection Mechanism (OJ L 314, 1.12.2007, p.9)</w:t>
      </w:r>
    </w:p>
  </w:footnote>
  <w:footnote w:id="12">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Impact Assessment (2011) Review of the civil protec</w:t>
      </w:r>
      <w:r>
        <w:rPr>
          <w:rFonts w:ascii="Times New Roman" w:hAnsi="Times New Roman" w:cs="Times New Roman"/>
          <w:sz w:val="18"/>
          <w:szCs w:val="18"/>
        </w:rPr>
        <w:t>tion regulatory framework, SEC(2011) 1632 final</w:t>
      </w:r>
    </w:p>
  </w:footnote>
  <w:footnote w:id="13">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28(1) of Decision No 1313/2013/EU</w:t>
      </w:r>
    </w:p>
  </w:footnote>
  <w:footnote w:id="14">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28(2) of Decision No 1313/2013/EU</w:t>
      </w:r>
    </w:p>
  </w:footnote>
  <w:footnote w:id="15">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Defined in Annex II of  the Commission Implementing Decision of 16 October 2014 (C(2014) 7489)</w:t>
      </w:r>
    </w:p>
  </w:footnote>
  <w:footnote w:id="16">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Listed in Annex III of the Commission Implementing Decision of 16 October 2014 (C(2014) 7489)</w:t>
      </w:r>
    </w:p>
  </w:footnote>
  <w:footnote w:id="17">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iCs/>
          <w:noProof/>
          <w:sz w:val="18"/>
          <w:szCs w:val="18"/>
        </w:rPr>
        <w:t>Recent examples include: the Ebola outbreak in West Africa (2014), the floods in the Western Balkans (2014), the conflict in Eastern Ukraine (2015), the volunta</w:t>
      </w:r>
      <w:r>
        <w:rPr>
          <w:rFonts w:ascii="Times New Roman" w:hAnsi="Times New Roman" w:cs="Times New Roman"/>
          <w:iCs/>
          <w:noProof/>
          <w:sz w:val="18"/>
          <w:szCs w:val="18"/>
        </w:rPr>
        <w:t>ry evacuation of EU citizens from Yemen (2015), and the ongoing refugee crisis (2015-16).</w:t>
      </w:r>
    </w:p>
  </w:footnote>
  <w:footnote w:id="18">
    <w:p w:rsidR="00500553" w:rsidRDefault="00D978F2">
      <w:pPr>
        <w:pStyle w:val="FootnoteText"/>
        <w:jc w:val="both"/>
        <w:rPr>
          <w:rFonts w:ascii="Times New Roman" w:hAnsi="Times New Roman" w:cs="Times New Roman"/>
          <w:noProof/>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noProof/>
          <w:sz w:val="18"/>
          <w:szCs w:val="18"/>
        </w:rPr>
        <w:t>When civil protection assistance is requested by third countries, it is often combined with humanitarian aid.</w:t>
      </w:r>
    </w:p>
  </w:footnote>
  <w:footnote w:id="19">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As per Commission Decision on the Union Mechanism An</w:t>
      </w:r>
      <w:r>
        <w:rPr>
          <w:rFonts w:ascii="Times New Roman" w:hAnsi="Times New Roman" w:cs="Times New Roman"/>
          <w:sz w:val="18"/>
          <w:szCs w:val="18"/>
        </w:rPr>
        <w:t>nual Work Programmes (2014, 2015, 2016) and Commission Decision on financing the UCPM emergency response actions (2014, 2015, 2016).</w:t>
      </w:r>
    </w:p>
    <w:p w:rsidR="00500553" w:rsidRDefault="00500553">
      <w:pPr>
        <w:pStyle w:val="FootnoteText"/>
        <w:jc w:val="both"/>
        <w:rPr>
          <w:rFonts w:ascii="Times New Roman" w:hAnsi="Times New Roman" w:cs="Times New Roman"/>
          <w:sz w:val="18"/>
          <w:szCs w:val="18"/>
        </w:rPr>
      </w:pPr>
    </w:p>
  </w:footnote>
  <w:footnote w:id="20">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footnote 6</w:t>
      </w:r>
    </w:p>
  </w:footnote>
  <w:footnote w:id="21">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Report on the Open Public Consultation can be consulted here: </w:t>
      </w:r>
      <w:hyperlink r:id="rId3" w:history="1">
        <w:r>
          <w:rPr>
            <w:rStyle w:val="Hyperlink"/>
            <w:rFonts w:ascii="Times New Roman" w:hAnsi="Times New Roman" w:cs="Times New Roman"/>
            <w:sz w:val="18"/>
            <w:szCs w:val="18"/>
          </w:rPr>
          <w:t>http://ec.europa.eu/echo/sites/echo-site/files/ucpm_-_opc_report_0.pdf</w:t>
        </w:r>
      </w:hyperlink>
      <w:r>
        <w:rPr>
          <w:rFonts w:ascii="Times New Roman" w:hAnsi="Times New Roman" w:cs="Times New Roman"/>
          <w:sz w:val="18"/>
          <w:szCs w:val="18"/>
        </w:rPr>
        <w:t xml:space="preserve"> </w:t>
      </w:r>
    </w:p>
  </w:footnote>
  <w:footnote w:id="22">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Special report no 33/2016: </w:t>
      </w:r>
      <w:r>
        <w:rPr>
          <w:rFonts w:ascii="Times New Roman" w:hAnsi="Times New Roman" w:cs="Times New Roman"/>
          <w:i/>
          <w:sz w:val="18"/>
          <w:szCs w:val="18"/>
        </w:rPr>
        <w:t>Union Civil Protection Mechanism: the coordination of responses to disasters outside the EU has been broa</w:t>
      </w:r>
      <w:r>
        <w:rPr>
          <w:rFonts w:ascii="Times New Roman" w:hAnsi="Times New Roman" w:cs="Times New Roman"/>
          <w:i/>
          <w:sz w:val="18"/>
          <w:szCs w:val="18"/>
        </w:rPr>
        <w:t>dly effective</w:t>
      </w:r>
      <w:r>
        <w:rPr>
          <w:rFonts w:ascii="Times New Roman" w:hAnsi="Times New Roman" w:cs="Times New Roman"/>
          <w:sz w:val="18"/>
          <w:szCs w:val="18"/>
        </w:rPr>
        <w:t>, January 2017</w:t>
      </w:r>
    </w:p>
  </w:footnote>
  <w:footnote w:id="23">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Report from the Commission to the European Parliament and the Council on progress made and gaps remaining in the European Emergency Response Capacity, 17.02.2017</w:t>
      </w:r>
    </w:p>
  </w:footnote>
  <w:footnote w:id="24">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 xml:space="preserve">Stakeholders that responded include: civil protection </w:t>
      </w:r>
      <w:r>
        <w:rPr>
          <w:rFonts w:ascii="Times New Roman" w:hAnsi="Times New Roman" w:cs="Times New Roman"/>
          <w:sz w:val="18"/>
          <w:szCs w:val="18"/>
        </w:rPr>
        <w:t>authorities from 26 Participating States (PS) (online surveys); civil protection authorities from 17 PS (interviews); National Training Coordinators from 21 PS (online surveys); 137 experts having participated in the exchange of expert programme and 23 lea</w:t>
      </w:r>
      <w:r>
        <w:rPr>
          <w:rFonts w:ascii="Times New Roman" w:hAnsi="Times New Roman" w:cs="Times New Roman"/>
          <w:sz w:val="18"/>
          <w:szCs w:val="18"/>
        </w:rPr>
        <w:t>ds of projects funded via the UCPM from 13 PS (online surveys); 14 international partners including UN agencies, OECD, World Bank, Red Cross, etc.(interviews); 15 Directorates-General and services of the EU (interviews)</w:t>
      </w:r>
    </w:p>
  </w:footnote>
  <w:footnote w:id="25">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footnote 20</w:t>
      </w:r>
    </w:p>
  </w:footnote>
  <w:footnote w:id="26">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of the E</w:t>
      </w:r>
      <w:r>
        <w:rPr>
          <w:rFonts w:ascii="Times New Roman" w:hAnsi="Times New Roman" w:cs="Times New Roman"/>
          <w:sz w:val="18"/>
          <w:szCs w:val="18"/>
        </w:rPr>
        <w:t>U, Report of the Netherlands Presidency on the main achievements at EU level in the field of civil protection, Document 10019/16, Brussels, 17 June 2016, available at:</w:t>
      </w:r>
    </w:p>
    <w:p w:rsidR="00500553" w:rsidRDefault="00D978F2">
      <w:pPr>
        <w:pStyle w:val="FootnoteText"/>
        <w:jc w:val="both"/>
        <w:rPr>
          <w:rFonts w:ascii="Times New Roman" w:hAnsi="Times New Roman" w:cs="Times New Roman"/>
          <w:sz w:val="18"/>
          <w:szCs w:val="18"/>
        </w:rPr>
      </w:pPr>
      <w:hyperlink r:id="rId4" w:history="1">
        <w:r>
          <w:rPr>
            <w:rStyle w:val="Hyperlink"/>
            <w:rFonts w:ascii="Times New Roman" w:hAnsi="Times New Roman" w:cs="Times New Roman"/>
            <w:sz w:val="18"/>
            <w:szCs w:val="18"/>
          </w:rPr>
          <w:t>http://data.consilium.europa.eu/doc/document/ST-10019-2016-INIT/en/pdf</w:t>
        </w:r>
      </w:hyperlink>
    </w:p>
  </w:footnote>
  <w:footnote w:id="27">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Staff Working Document, Overview of Natural and Man-made Disaster Risks the European Union may face, 23.05.2017 SWD(2017)176 final</w:t>
      </w:r>
    </w:p>
  </w:footnote>
  <w:footnote w:id="28">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Notice, Risk Management Capability Asse</w:t>
      </w:r>
      <w:r>
        <w:rPr>
          <w:rFonts w:ascii="Times New Roman" w:hAnsi="Times New Roman" w:cs="Times New Roman"/>
          <w:sz w:val="18"/>
          <w:szCs w:val="18"/>
        </w:rPr>
        <w:t>ssment Guidelines, (2015/C 261/03). Available at: http://eur-lex.europa.eu/legal-content/EN/TXT/?uri=CELEX%3A52015XC0808%2801%29</w:t>
      </w:r>
    </w:p>
  </w:footnote>
  <w:footnote w:id="29">
    <w:p w:rsidR="00500553" w:rsidRDefault="00D978F2">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Article 222 TFEU</w:t>
      </w:r>
    </w:p>
  </w:footnote>
  <w:footnote w:id="30">
    <w:p w:rsidR="00500553" w:rsidRDefault="00D978F2">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sz w:val="18"/>
          <w:szCs w:val="18"/>
        </w:rPr>
        <w:t>Copernicus EMS provides information for emergency response to different types of disasters, including mete</w:t>
      </w:r>
      <w:r>
        <w:rPr>
          <w:rFonts w:ascii="Times New Roman" w:eastAsia="Times New Roman" w:hAnsi="Times New Roman" w:cs="Times New Roman"/>
          <w:sz w:val="18"/>
          <w:szCs w:val="18"/>
        </w:rPr>
        <w:t>orological hazards, geophysical hazards, deliberate and accidental man-made disasters and other humanitarian disasters as well as prevention, preparedness, response and recovery activities. For further information see http://emergency.copernicus.eu/.</w:t>
      </w:r>
    </w:p>
  </w:footnote>
  <w:footnote w:id="31">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Ful</w:t>
      </w:r>
      <w:r>
        <w:rPr>
          <w:rFonts w:ascii="Times New Roman" w:hAnsi="Times New Roman" w:cs="Times New Roman"/>
          <w:sz w:val="18"/>
          <w:szCs w:val="18"/>
        </w:rPr>
        <w:t xml:space="preserve">l Scale Exercises are designed to replicate one or several phases of an emergency with the commitment of </w:t>
      </w:r>
      <w:r>
        <w:rPr>
          <w:rFonts w:ascii="Times New Roman" w:hAnsi="Times New Roman" w:cs="Times New Roman"/>
          <w:i/>
          <w:sz w:val="18"/>
          <w:szCs w:val="18"/>
        </w:rPr>
        <w:t>all</w:t>
      </w:r>
      <w:r>
        <w:rPr>
          <w:rFonts w:ascii="Times New Roman" w:hAnsi="Times New Roman" w:cs="Times New Roman"/>
          <w:sz w:val="18"/>
          <w:szCs w:val="18"/>
        </w:rPr>
        <w:t xml:space="preserve"> the public bodies and authorities that would be committed in a real situation.</w:t>
      </w:r>
    </w:p>
  </w:footnote>
  <w:footnote w:id="32">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Modules field exercises aim to provide an opportunity for testing </w:t>
      </w:r>
      <w:r>
        <w:rPr>
          <w:rFonts w:ascii="Times New Roman" w:hAnsi="Times New Roman" w:cs="Times New Roman"/>
          <w:sz w:val="18"/>
          <w:szCs w:val="18"/>
        </w:rPr>
        <w:t>specific response capacities, as well as the self-sufficiency, interoperability, coordination and procedures of response teams and equipment.</w:t>
      </w:r>
    </w:p>
  </w:footnote>
  <w:footnote w:id="33">
    <w:p w:rsidR="00500553" w:rsidRDefault="00D978F2">
      <w:pPr>
        <w:pStyle w:val="FootnoteText"/>
        <w:jc w:val="both"/>
        <w:rPr>
          <w:rFonts w:ascii="Times New Roman" w:hAnsi="Times New Roman" w:cs="Times New Roman"/>
          <w:color w:val="000000" w:themeColor="text1"/>
          <w:sz w:val="18"/>
          <w:szCs w:val="18"/>
          <w:lang w:val="lv-LV"/>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lv-LV"/>
        </w:rPr>
        <w:t>This includes: 46 experts deployed to 11 response missions and 38 experts deployed to 7 advisory missions.</w:t>
      </w:r>
    </w:p>
  </w:footnote>
  <w:footnote w:id="34">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budget line of the Work Programme also include other meetings with Participating States, such as the bi-annual civil protection Directors-General meeting.</w:t>
      </w:r>
    </w:p>
  </w:footnote>
  <w:footnote w:id="35">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 Implementing Decision of 16 October 2014 (C(2014) 7489)</w:t>
      </w:r>
    </w:p>
  </w:footnote>
  <w:footnote w:id="36">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ICF, Interim E</w:t>
      </w:r>
      <w:r>
        <w:rPr>
          <w:rFonts w:ascii="Times New Roman" w:hAnsi="Times New Roman" w:cs="Times New Roman"/>
          <w:sz w:val="18"/>
          <w:szCs w:val="18"/>
        </w:rPr>
        <w:t xml:space="preserve">valuation of the Union Civil Protection Mechanism, 2014-2016, </w:t>
      </w:r>
      <w:r>
        <w:rPr>
          <w:rFonts w:ascii="Times New Roman" w:hAnsi="Times New Roman" w:cs="Times New Roman"/>
          <w:i/>
          <w:sz w:val="18"/>
          <w:szCs w:val="18"/>
        </w:rPr>
        <w:t>Final Report</w:t>
      </w:r>
      <w:r>
        <w:rPr>
          <w:rFonts w:ascii="Times New Roman" w:hAnsi="Times New Roman" w:cs="Times New Roman"/>
          <w:sz w:val="18"/>
          <w:szCs w:val="18"/>
        </w:rPr>
        <w:t>, July 2017, (hereafter: External Evaluation Report), p. 51</w:t>
      </w:r>
    </w:p>
  </w:footnote>
  <w:footnote w:id="37">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18</w:t>
      </w:r>
    </w:p>
  </w:footnote>
  <w:footnote w:id="38">
    <w:p w:rsidR="00500553" w:rsidRDefault="00D978F2">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European Court of Auditors, Special Report (2016), Union Civil Protection Mechanism:</w:t>
      </w:r>
      <w:r>
        <w:rPr>
          <w:rFonts w:ascii="Times New Roman" w:hAnsi="Times New Roman" w:cs="Times New Roman"/>
          <w:sz w:val="18"/>
          <w:szCs w:val="18"/>
          <w:lang w:val="en-US"/>
        </w:rPr>
        <w:t xml:space="preserve"> the coordination of responses to disasters outside the EU has been broadly effective. </w:t>
      </w:r>
      <w:r>
        <w:rPr>
          <w:rFonts w:ascii="Times New Roman" w:hAnsi="Times New Roman" w:cs="Times New Roman"/>
          <w:sz w:val="18"/>
          <w:szCs w:val="18"/>
          <w:lang w:val="fr-BE"/>
        </w:rPr>
        <w:t>Available at:</w:t>
      </w:r>
    </w:p>
    <w:p w:rsidR="00500553" w:rsidRDefault="00D978F2">
      <w:pPr>
        <w:pStyle w:val="FootnoteText"/>
        <w:jc w:val="both"/>
        <w:rPr>
          <w:rFonts w:ascii="Times New Roman" w:hAnsi="Times New Roman" w:cs="Times New Roman"/>
          <w:sz w:val="18"/>
          <w:szCs w:val="18"/>
          <w:lang w:val="fr-BE"/>
        </w:rPr>
      </w:pPr>
      <w:hyperlink r:id="rId5" w:history="1">
        <w:r>
          <w:rPr>
            <w:rStyle w:val="Hyperlink"/>
            <w:rFonts w:ascii="Times New Roman" w:hAnsi="Times New Roman" w:cs="Times New Roman"/>
            <w:sz w:val="18"/>
            <w:szCs w:val="18"/>
            <w:lang w:val="fr-BE"/>
          </w:rPr>
          <w:t>http://www.eca.europa.eu/Lists/ECADocuments/SR16_33/SR_DISA</w:t>
        </w:r>
        <w:r>
          <w:rPr>
            <w:rStyle w:val="Hyperlink"/>
            <w:rFonts w:ascii="Times New Roman" w:hAnsi="Times New Roman" w:cs="Times New Roman"/>
            <w:sz w:val="18"/>
            <w:szCs w:val="18"/>
            <w:lang w:val="fr-BE"/>
          </w:rPr>
          <w:t>STER_RESPONSE_EN.pdf</w:t>
        </w:r>
      </w:hyperlink>
    </w:p>
  </w:footnote>
  <w:footnote w:id="39">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Annex 4: "Synopsis of Stakeholder Consultation". Also, External Evaluation Report, p. 69</w:t>
      </w:r>
    </w:p>
  </w:footnote>
  <w:footnote w:id="40">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73</w:t>
      </w:r>
    </w:p>
  </w:footnote>
  <w:footnote w:id="41">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305</w:t>
      </w:r>
    </w:p>
  </w:footnote>
  <w:footnote w:id="42">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73</w:t>
      </w:r>
    </w:p>
  </w:footnote>
  <w:footnote w:id="43">
    <w:p w:rsidR="00500553" w:rsidRDefault="00D978F2">
      <w:pPr>
        <w:pStyle w:val="Defaul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Among others, European Parlia</w:t>
      </w:r>
      <w:r>
        <w:rPr>
          <w:rFonts w:ascii="Times New Roman" w:hAnsi="Times New Roman" w:cs="Times New Roman"/>
          <w:sz w:val="18"/>
          <w:szCs w:val="18"/>
        </w:rPr>
        <w:t>ment resolution of 1 December 2016 on the situation in Italy after the earthquakes (2016/2988(RSP))</w:t>
      </w:r>
    </w:p>
  </w:footnote>
  <w:footnote w:id="44">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 Special Eurobarometer 454, Civil Protection, May 2017</w:t>
      </w:r>
    </w:p>
  </w:footnote>
  <w:footnote w:id="45">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footnote 25</w:t>
      </w:r>
    </w:p>
  </w:footnote>
  <w:footnote w:id="46">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Based on conversations with PS representatives during meeti</w:t>
      </w:r>
      <w:r>
        <w:rPr>
          <w:rFonts w:ascii="Times New Roman" w:hAnsi="Times New Roman" w:cs="Times New Roman"/>
          <w:sz w:val="18"/>
          <w:szCs w:val="18"/>
        </w:rPr>
        <w:t>ngs (CPC, lessons learned, experts' meetings, etc.).</w:t>
      </w:r>
    </w:p>
  </w:footnote>
  <w:footnote w:id="47">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 Towards a Strategic Framework for Training and Exercises within the Union Civil Protection Mechanism (UCPM) 2017-2020, not available online.</w:t>
      </w:r>
    </w:p>
  </w:footnote>
  <w:footnote w:id="48">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European Forest Fires Information System (EFFIS). This figure is based on a conservative assessment of economic losses (does not include, for instance, the high cost of firefighting equipment).</w:t>
      </w:r>
    </w:p>
  </w:footnote>
  <w:footnote w:id="49">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153</w:t>
      </w:r>
    </w:p>
  </w:footnote>
  <w:footnote w:id="50">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97</w:t>
      </w:r>
    </w:p>
  </w:footnote>
  <w:footnote w:id="51">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114</w:t>
      </w:r>
    </w:p>
  </w:footnote>
  <w:footnote w:id="52">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Overview of Risks Report, p. 3</w:t>
      </w:r>
    </w:p>
  </w:footnote>
  <w:footnote w:id="53">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Notice, Risk Management Capability Assessment Guidelines (2015/C 261/03), available at: http://eur-lex.europa.eu/legal-content/EN/TXT/HTML</w:t>
      </w:r>
      <w:r>
        <w:rPr>
          <w:rFonts w:ascii="Times New Roman" w:hAnsi="Times New Roman" w:cs="Times New Roman"/>
          <w:sz w:val="18"/>
          <w:szCs w:val="18"/>
        </w:rPr>
        <w:t>/?uri=CELEX:52015XC0808(01)&amp;from=EN</w:t>
      </w:r>
    </w:p>
  </w:footnote>
  <w:footnote w:id="54">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22</w:t>
      </w:r>
    </w:p>
  </w:footnote>
  <w:footnote w:id="55">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23</w:t>
      </w:r>
    </w:p>
  </w:footnote>
  <w:footnote w:id="56">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footnote 54</w:t>
      </w:r>
    </w:p>
  </w:footnote>
  <w:footnote w:id="57">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includes the 2017 Eurobarometer survey on civil protection, where about half of all respondents think that not enough is be</w:t>
      </w:r>
      <w:r>
        <w:rPr>
          <w:rFonts w:ascii="Times New Roman" w:hAnsi="Times New Roman" w:cs="Times New Roman"/>
          <w:sz w:val="18"/>
          <w:szCs w:val="18"/>
        </w:rPr>
        <w:t>ing done for disaster prevention by their region and country (49%) and at EU level (43%).</w:t>
      </w:r>
    </w:p>
  </w:footnote>
  <w:footnote w:id="58">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25, 93-94</w:t>
      </w:r>
    </w:p>
  </w:footnote>
  <w:footnote w:id="59">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Staff Working Paper, Risk Assessment and Mapping Guidelines for Disaster Management, 2010</w:t>
      </w:r>
    </w:p>
  </w:footnote>
  <w:footnote w:id="60">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Report from the Co</w:t>
      </w:r>
      <w:r>
        <w:rPr>
          <w:rFonts w:ascii="Times New Roman" w:hAnsi="Times New Roman" w:cs="Times New Roman"/>
          <w:sz w:val="18"/>
          <w:szCs w:val="18"/>
        </w:rPr>
        <w:t>mmission to the European Parliament and the Council on progress made and gaps remaining in the European Emergency Response Capacity, 17.02.2017</w:t>
      </w:r>
    </w:p>
  </w:footnote>
  <w:footnote w:id="61">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Such goals were defined by the Commission Implementing Decision of 16 October 2014 (C(2014) 7489)</w:t>
      </w:r>
    </w:p>
  </w:footnote>
  <w:footnote w:id="62">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DG</w:t>
      </w:r>
      <w:r>
        <w:rPr>
          <w:rFonts w:ascii="Times New Roman" w:hAnsi="Times New Roman" w:cs="Times New Roman"/>
          <w:sz w:val="18"/>
          <w:szCs w:val="18"/>
        </w:rPr>
        <w:t xml:space="preserve"> ECHO</w:t>
      </w:r>
    </w:p>
  </w:footnote>
  <w:footnote w:id="63">
    <w:p w:rsidR="00500553" w:rsidRDefault="00D978F2">
      <w:pPr>
        <w:pStyle w:val="FootnoteText"/>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MUSAR - Medium urban search and rescue, GFFFV - Ground Forest Fire Fighting Using Vehicles, CBRNDET -Chemical, biological, radiological and nuclear detection and sampling (CBRN), HCP - High capacity pumping, HUSAR - Heavy urban search and rescue, A</w:t>
      </w:r>
      <w:r>
        <w:rPr>
          <w:rFonts w:ascii="Times New Roman" w:hAnsi="Times New Roman" w:cs="Times New Roman"/>
          <w:color w:val="000000" w:themeColor="text1"/>
          <w:sz w:val="18"/>
          <w:szCs w:val="18"/>
        </w:rPr>
        <w:t>MP - Advanced medical post, GFF - Ground Forest Fire Fighting, USARCBRN - Search and rescue in CBRN conditions, WP - Water purification, FRB - Flood Rescue Using Boats, AMP-S - Advanced medical post with surgery, MEVAC - Medical aerial evacuation of disast</w:t>
      </w:r>
      <w:r>
        <w:rPr>
          <w:rFonts w:ascii="Times New Roman" w:hAnsi="Times New Roman" w:cs="Times New Roman"/>
          <w:color w:val="000000" w:themeColor="text1"/>
          <w:sz w:val="18"/>
          <w:szCs w:val="18"/>
        </w:rPr>
        <w:t>er victims, FFFP - Aerial forest fire fighting module using airplanes, FFFH – Aerial forest firefighting module using helicopters, FHOS – Field hospital, FC - Flood Containment, ETS - Emergency temporary shelter, TAST – Technical Assistance and Support Tea</w:t>
      </w:r>
      <w:r>
        <w:rPr>
          <w:rFonts w:ascii="Times New Roman" w:hAnsi="Times New Roman" w:cs="Times New Roman"/>
          <w:color w:val="000000" w:themeColor="text1"/>
          <w:sz w:val="18"/>
          <w:szCs w:val="18"/>
        </w:rPr>
        <w:t>ms</w:t>
      </w:r>
    </w:p>
  </w:footnote>
  <w:footnote w:id="64">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Externarl Evaluation Report, p. 26-28</w:t>
      </w:r>
    </w:p>
  </w:footnote>
  <w:footnote w:id="65">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32</w:t>
      </w:r>
    </w:p>
  </w:footnote>
  <w:footnote w:id="66">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footnote 45</w:t>
      </w:r>
    </w:p>
  </w:footnote>
  <w:footnote w:id="67">
    <w:p w:rsidR="00500553" w:rsidRDefault="00D978F2">
      <w:pPr>
        <w:pStyle w:val="FootnoteText"/>
        <w:tabs>
          <w:tab w:val="left" w:pos="6813"/>
        </w:tabs>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 Implementing Decision of 16 October 2014 (C(2014) 7489)</w:t>
      </w:r>
    </w:p>
  </w:footnote>
  <w:footnote w:id="68">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60</w:t>
      </w:r>
    </w:p>
  </w:footnote>
  <w:footnote w:id="69">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39</w:t>
      </w:r>
    </w:p>
  </w:footnote>
  <w:footnote w:id="70">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footnote 21</w:t>
      </w:r>
    </w:p>
  </w:footnote>
  <w:footnote w:id="71">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41</w:t>
      </w:r>
    </w:p>
  </w:footnote>
  <w:footnote w:id="72">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41</w:t>
      </w:r>
    </w:p>
  </w:footnote>
  <w:footnote w:id="73">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39</w:t>
      </w:r>
    </w:p>
  </w:footnote>
  <w:footnote w:id="74">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43</w:t>
      </w:r>
    </w:p>
  </w:footnote>
  <w:footnote w:id="75">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55</w:t>
      </w:r>
    </w:p>
  </w:footnote>
  <w:footnote w:id="76">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60</w:t>
      </w:r>
    </w:p>
  </w:footnote>
  <w:footnote w:id="77">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These findings need to be considered as preliminary due to the short timeframe of the evaluation and to the fact in many cases final invoicing has not yet been processed.</w:t>
      </w:r>
    </w:p>
  </w:footnote>
  <w:footnote w:id="78">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63</w:t>
      </w:r>
    </w:p>
  </w:footnote>
  <w:footnote w:id="79">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65</w:t>
      </w:r>
    </w:p>
  </w:footnote>
  <w:footnote w:id="80">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w:t>
      </w:r>
      <w:r>
        <w:rPr>
          <w:rFonts w:ascii="Times New Roman" w:hAnsi="Times New Roman" w:cs="Times New Roman"/>
          <w:sz w:val="18"/>
          <w:szCs w:val="18"/>
        </w:rPr>
        <w:t>valuation Report, p. 305</w:t>
      </w:r>
    </w:p>
  </w:footnote>
  <w:footnote w:id="81">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footnote 45</w:t>
      </w:r>
    </w:p>
  </w:footnote>
  <w:footnote w:id="82">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Estonia ModEx exercise, observed in the context of the external evaluation.</w:t>
      </w:r>
    </w:p>
  </w:footnote>
  <w:footnote w:id="83">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See footnote 45</w:t>
      </w:r>
    </w:p>
  </w:footnote>
  <w:footnote w:id="84">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119</w:t>
      </w:r>
    </w:p>
  </w:footnote>
  <w:footnote w:id="85">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Consultations included 15 DGs and other services of the EU. The complete list </w:t>
      </w:r>
      <w:r>
        <w:rPr>
          <w:rFonts w:ascii="Times New Roman" w:hAnsi="Times New Roman" w:cs="Times New Roman"/>
          <w:sz w:val="18"/>
          <w:szCs w:val="18"/>
        </w:rPr>
        <w:t>is provided in Annex 2.</w:t>
      </w:r>
    </w:p>
  </w:footnote>
  <w:footnote w:id="86">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 ROM Report, Prevention Preparedness &amp; Response to natural and man-made Disasters in the EaP East (PPRD_East II), 03/05/2017</w:t>
      </w:r>
    </w:p>
  </w:footnote>
  <w:footnote w:id="87">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PARTICIP, Evaluation of the PPRD South II Regional Project (ENI South), January 201</w:t>
      </w:r>
      <w:r>
        <w:rPr>
          <w:rFonts w:ascii="Times New Roman" w:hAnsi="Times New Roman" w:cs="Times New Roman"/>
          <w:sz w:val="18"/>
          <w:szCs w:val="18"/>
        </w:rPr>
        <w:t>7</w:t>
      </w:r>
    </w:p>
  </w:footnote>
  <w:footnote w:id="88">
    <w:p w:rsidR="00500553" w:rsidRDefault="00D978F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IPA Civil Protection Cooperation Programme II, Final Programme Report, December 2015</w:t>
      </w:r>
    </w:p>
  </w:footnote>
  <w:footnote w:id="89">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173</w:t>
      </w:r>
    </w:p>
  </w:footnote>
  <w:footnote w:id="90">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207</w:t>
      </w:r>
    </w:p>
  </w:footnote>
  <w:footnote w:id="91">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101-102</w:t>
      </w:r>
    </w:p>
  </w:footnote>
  <w:footnote w:id="92">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102</w:t>
      </w:r>
    </w:p>
  </w:footnote>
  <w:footnote w:id="93">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w:t>
      </w:r>
      <w:r>
        <w:rPr>
          <w:rFonts w:ascii="Times New Roman" w:hAnsi="Times New Roman" w:cs="Times New Roman"/>
          <w:sz w:val="18"/>
          <w:szCs w:val="18"/>
        </w:rPr>
        <w:t>uation Report, p. 117-126</w:t>
      </w:r>
    </w:p>
  </w:footnote>
  <w:footnote w:id="94">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149</w:t>
      </w:r>
    </w:p>
  </w:footnote>
  <w:footnote w:id="95">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288</w:t>
      </w:r>
    </w:p>
  </w:footnote>
  <w:footnote w:id="96">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Based on dialogue with PS during several meetings occurred in 2016 and first half of 2017 (e.g. Civil Protection Committee, CP DG meeting, experts' meetings, etc.).</w:t>
      </w:r>
    </w:p>
  </w:footnote>
  <w:footnote w:id="97">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Evaluation Report, p. 50</w:t>
      </w:r>
    </w:p>
  </w:footnote>
  <w:footnote w:id="98">
    <w:p w:rsidR="00500553" w:rsidRDefault="00D978F2">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European Court of Auditors, Special Report no 33/201</w:t>
      </w:r>
      <w:r>
        <w:rPr>
          <w:rFonts w:ascii="Times New Roman" w:hAnsi="Times New Roman" w:cs="Times New Roman"/>
          <w:sz w:val="18"/>
          <w:szCs w:val="18"/>
          <w:lang w:val="en-US"/>
        </w:rPr>
        <w:t xml:space="preserve">6; </w:t>
      </w:r>
      <w:r>
        <w:rPr>
          <w:rFonts w:ascii="Times New Roman" w:hAnsi="Times New Roman" w:cs="Times New Roman"/>
          <w:sz w:val="18"/>
          <w:szCs w:val="18"/>
        </w:rPr>
        <w:t>Report from the Commission to the European Parliament and the Council on progress made and gaps remaining in the European Emergency Response Capacity, 17.02.2017</w:t>
      </w:r>
    </w:p>
  </w:footnote>
  <w:footnote w:id="99">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emerges as the main findings of recent evaluations, including: ROM Review of PPRD-Ea</w:t>
      </w:r>
      <w:r>
        <w:rPr>
          <w:rFonts w:ascii="Times New Roman" w:hAnsi="Times New Roman" w:cs="Times New Roman"/>
          <w:sz w:val="18"/>
          <w:szCs w:val="18"/>
        </w:rPr>
        <w:t xml:space="preserve">st (2017); Evaluation of PPRD-South (2017); Evaluation of IPA II (2015). </w:t>
      </w:r>
    </w:p>
  </w:footnote>
  <w:footnote w:id="100">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consultation strategy was published on 24 November 2017 and is available at: </w:t>
      </w:r>
      <w:hyperlink r:id="rId6" w:history="1">
        <w:r>
          <w:rPr>
            <w:rStyle w:val="Hyperlink"/>
            <w:rFonts w:ascii="Times New Roman" w:hAnsi="Times New Roman" w:cs="Times New Roman"/>
            <w:sz w:val="18"/>
            <w:szCs w:val="18"/>
          </w:rPr>
          <w:t>http://ec.</w:t>
        </w:r>
        <w:r>
          <w:rPr>
            <w:rStyle w:val="Hyperlink"/>
            <w:rFonts w:ascii="Times New Roman" w:hAnsi="Times New Roman" w:cs="Times New Roman"/>
            <w:sz w:val="18"/>
            <w:szCs w:val="18"/>
          </w:rPr>
          <w:t>europa.eu/echo/sites/echo-site/files/consultation_strategy.pdf</w:t>
        </w:r>
      </w:hyperlink>
    </w:p>
  </w:footnote>
  <w:footnote w:id="101">
    <w:p w:rsidR="00500553" w:rsidRDefault="00D978F2">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http://ec.europa.eu/smart-regulation/guidelines/toc_guide_en.htm</w:t>
      </w:r>
    </w:p>
  </w:footnote>
  <w:footnote w:id="102">
    <w:p w:rsidR="00500553" w:rsidRDefault="00D978F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includes other government counterparts whose actions are overlapping with activities carried out by the UPCM. Exam</w:t>
      </w:r>
      <w:r>
        <w:rPr>
          <w:rFonts w:ascii="Times New Roman" w:hAnsi="Times New Roman" w:cs="Times New Roman"/>
          <w:sz w:val="18"/>
          <w:szCs w:val="18"/>
        </w:rPr>
        <w:t>ples include: Ministries of Social Affairs (e.g. protection of people from the impact of disasters), Ministry of National Security/Interior (e.g. management of civil protection consequences of security threats), Ministry of Public Works (e.g. protection of</w:t>
      </w:r>
      <w:r>
        <w:rPr>
          <w:rFonts w:ascii="Times New Roman" w:hAnsi="Times New Roman" w:cs="Times New Roman"/>
          <w:sz w:val="18"/>
          <w:szCs w:val="18"/>
        </w:rPr>
        <w:t xml:space="preserve"> assets), Ministry of Health (e.g. prevention and management of pandemics).</w:t>
      </w:r>
    </w:p>
  </w:footnote>
  <w:footnote w:id="103">
    <w:p w:rsidR="00500553" w:rsidRDefault="00D978F2">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report on the Open Public Consultation, summarising the main contributions by stakeholders can be found here: </w:t>
      </w:r>
      <w:hyperlink r:id="rId7" w:history="1">
        <w:r>
          <w:rPr>
            <w:rStyle w:val="Hyperlink"/>
            <w:rFonts w:ascii="Times New Roman" w:hAnsi="Times New Roman" w:cs="Times New Roman"/>
            <w:sz w:val="18"/>
            <w:szCs w:val="18"/>
          </w:rPr>
          <w:t>http://ec.europa.eu/echo/sites/echo-site/files/ucpm_-_opc_report_0.pdf</w:t>
        </w:r>
      </w:hyperlink>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53" w:rsidRDefault="00500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FB6"/>
    <w:multiLevelType w:val="hybridMultilevel"/>
    <w:tmpl w:val="F8F43D46"/>
    <w:lvl w:ilvl="0" w:tplc="0809000B">
      <w:start w:val="1"/>
      <w:numFmt w:val="bullet"/>
      <w:lvlText w:val=""/>
      <w:lvlJc w:val="left"/>
      <w:pPr>
        <w:ind w:left="1347" w:hanging="360"/>
      </w:pPr>
      <w:rPr>
        <w:rFonts w:ascii="Wingdings" w:hAnsi="Wingdings" w:hint="default"/>
      </w:rPr>
    </w:lvl>
    <w:lvl w:ilvl="1" w:tplc="08090003" w:tentative="1">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1">
    <w:nsid w:val="01EF5006"/>
    <w:multiLevelType w:val="multilevel"/>
    <w:tmpl w:val="8F320F56"/>
    <w:styleLink w:val="NumblistTables"/>
    <w:lvl w:ilvl="0">
      <w:start w:val="1"/>
      <w:numFmt w:val="decimal"/>
      <w:pStyle w:val="TableTitle"/>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02192D26"/>
    <w:multiLevelType w:val="hybridMultilevel"/>
    <w:tmpl w:val="916ECA1C"/>
    <w:lvl w:ilvl="0" w:tplc="3B98A1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74FFF"/>
    <w:multiLevelType w:val="hybridMultilevel"/>
    <w:tmpl w:val="8346AD3E"/>
    <w:lvl w:ilvl="0" w:tplc="E252F7B8">
      <w:start w:val="5"/>
      <w:numFmt w:val="bullet"/>
      <w:lvlText w:val="-"/>
      <w:lvlJc w:val="left"/>
      <w:pPr>
        <w:ind w:left="720" w:hanging="360"/>
      </w:pPr>
      <w:rPr>
        <w:rFonts w:ascii="Times New Roman" w:eastAsia="Times New Roman" w:hAnsi="Times New Roman" w:cs="Times New Roman" w:hint="default"/>
      </w:rPr>
    </w:lvl>
    <w:lvl w:ilvl="1" w:tplc="E252F7B8">
      <w:start w:val="5"/>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DF12A6"/>
    <w:multiLevelType w:val="hybridMultilevel"/>
    <w:tmpl w:val="E866581E"/>
    <w:lvl w:ilvl="0" w:tplc="3B1C045E">
      <w:numFmt w:val="bullet"/>
      <w:lvlText w:val="-"/>
      <w:lvlJc w:val="left"/>
      <w:pPr>
        <w:ind w:left="720" w:hanging="360"/>
      </w:pPr>
      <w:rPr>
        <w:rFonts w:ascii="Times" w:eastAsiaTheme="minorHAnsi" w:hAnsi="Tim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7A43B0"/>
    <w:multiLevelType w:val="hybridMultilevel"/>
    <w:tmpl w:val="F968B8D0"/>
    <w:lvl w:ilvl="0" w:tplc="49D4982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616BCE"/>
    <w:multiLevelType w:val="hybridMultilevel"/>
    <w:tmpl w:val="36A01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171D4A"/>
    <w:multiLevelType w:val="hybridMultilevel"/>
    <w:tmpl w:val="8AC428E2"/>
    <w:lvl w:ilvl="0" w:tplc="49D498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9110B4A"/>
    <w:multiLevelType w:val="hybridMultilevel"/>
    <w:tmpl w:val="A35C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2D5EE7"/>
    <w:multiLevelType w:val="hybridMultilevel"/>
    <w:tmpl w:val="1D3841B0"/>
    <w:lvl w:ilvl="0" w:tplc="E252F7B8">
      <w:start w:val="5"/>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9A195A"/>
    <w:multiLevelType w:val="hybridMultilevel"/>
    <w:tmpl w:val="9DBE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5A7B0F"/>
    <w:multiLevelType w:val="hybridMultilevel"/>
    <w:tmpl w:val="BBE25496"/>
    <w:lvl w:ilvl="0" w:tplc="3B98A1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C45B1C"/>
    <w:multiLevelType w:val="hybridMultilevel"/>
    <w:tmpl w:val="CAD004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127BC6"/>
    <w:multiLevelType w:val="hybridMultilevel"/>
    <w:tmpl w:val="C5281CA8"/>
    <w:lvl w:ilvl="0" w:tplc="7D5A89A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2B43124"/>
    <w:multiLevelType w:val="hybridMultilevel"/>
    <w:tmpl w:val="54129748"/>
    <w:lvl w:ilvl="0" w:tplc="3B98A1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6808CB"/>
    <w:multiLevelType w:val="multilevel"/>
    <w:tmpl w:val="BAB2EC58"/>
    <w:styleLink w:val="NumbListFigures"/>
    <w:lvl w:ilvl="0">
      <w:start w:val="1"/>
      <w:numFmt w:val="decimal"/>
      <w:pStyle w:val="FigureTitle"/>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17F30863"/>
    <w:multiLevelType w:val="hybridMultilevel"/>
    <w:tmpl w:val="00E0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865AE1"/>
    <w:multiLevelType w:val="multilevel"/>
    <w:tmpl w:val="816EC836"/>
    <w:numStyleLink w:val="NumbListNumb"/>
  </w:abstractNum>
  <w:abstractNum w:abstractNumId="18">
    <w:nsid w:val="1AB24E33"/>
    <w:multiLevelType w:val="hybridMultilevel"/>
    <w:tmpl w:val="49A2425C"/>
    <w:lvl w:ilvl="0" w:tplc="0809000B">
      <w:start w:val="1"/>
      <w:numFmt w:val="bullet"/>
      <w:lvlText w:val=""/>
      <w:lvlJc w:val="left"/>
      <w:pPr>
        <w:ind w:left="840" w:hanging="360"/>
      </w:pPr>
      <w:rPr>
        <w:rFonts w:ascii="Wingdings" w:hAnsi="Wingdings"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nsid w:val="1AF3045F"/>
    <w:multiLevelType w:val="hybridMultilevel"/>
    <w:tmpl w:val="B27E2398"/>
    <w:lvl w:ilvl="0" w:tplc="EE142CF2">
      <w:start w:val="1"/>
      <w:numFmt w:val="bullet"/>
      <w:lvlText w:val="•"/>
      <w:lvlJc w:val="left"/>
      <w:pPr>
        <w:tabs>
          <w:tab w:val="num" w:pos="720"/>
        </w:tabs>
        <w:ind w:left="720" w:hanging="360"/>
      </w:pPr>
      <w:rPr>
        <w:rFonts w:ascii="Arial" w:hAnsi="Arial" w:hint="default"/>
      </w:rPr>
    </w:lvl>
    <w:lvl w:ilvl="1" w:tplc="A8FE99C4" w:tentative="1">
      <w:start w:val="1"/>
      <w:numFmt w:val="bullet"/>
      <w:lvlText w:val="•"/>
      <w:lvlJc w:val="left"/>
      <w:pPr>
        <w:tabs>
          <w:tab w:val="num" w:pos="1440"/>
        </w:tabs>
        <w:ind w:left="1440" w:hanging="360"/>
      </w:pPr>
      <w:rPr>
        <w:rFonts w:ascii="Arial" w:hAnsi="Arial" w:hint="default"/>
      </w:rPr>
    </w:lvl>
    <w:lvl w:ilvl="2" w:tplc="677A36AA" w:tentative="1">
      <w:start w:val="1"/>
      <w:numFmt w:val="bullet"/>
      <w:lvlText w:val="•"/>
      <w:lvlJc w:val="left"/>
      <w:pPr>
        <w:tabs>
          <w:tab w:val="num" w:pos="2160"/>
        </w:tabs>
        <w:ind w:left="2160" w:hanging="360"/>
      </w:pPr>
      <w:rPr>
        <w:rFonts w:ascii="Arial" w:hAnsi="Arial" w:hint="default"/>
      </w:rPr>
    </w:lvl>
    <w:lvl w:ilvl="3" w:tplc="A0DA5DC0" w:tentative="1">
      <w:start w:val="1"/>
      <w:numFmt w:val="bullet"/>
      <w:lvlText w:val="•"/>
      <w:lvlJc w:val="left"/>
      <w:pPr>
        <w:tabs>
          <w:tab w:val="num" w:pos="2880"/>
        </w:tabs>
        <w:ind w:left="2880" w:hanging="360"/>
      </w:pPr>
      <w:rPr>
        <w:rFonts w:ascii="Arial" w:hAnsi="Arial" w:hint="default"/>
      </w:rPr>
    </w:lvl>
    <w:lvl w:ilvl="4" w:tplc="010EF570" w:tentative="1">
      <w:start w:val="1"/>
      <w:numFmt w:val="bullet"/>
      <w:lvlText w:val="•"/>
      <w:lvlJc w:val="left"/>
      <w:pPr>
        <w:tabs>
          <w:tab w:val="num" w:pos="3600"/>
        </w:tabs>
        <w:ind w:left="3600" w:hanging="360"/>
      </w:pPr>
      <w:rPr>
        <w:rFonts w:ascii="Arial" w:hAnsi="Arial" w:hint="default"/>
      </w:rPr>
    </w:lvl>
    <w:lvl w:ilvl="5" w:tplc="81D4087C" w:tentative="1">
      <w:start w:val="1"/>
      <w:numFmt w:val="bullet"/>
      <w:lvlText w:val="•"/>
      <w:lvlJc w:val="left"/>
      <w:pPr>
        <w:tabs>
          <w:tab w:val="num" w:pos="4320"/>
        </w:tabs>
        <w:ind w:left="4320" w:hanging="360"/>
      </w:pPr>
      <w:rPr>
        <w:rFonts w:ascii="Arial" w:hAnsi="Arial" w:hint="default"/>
      </w:rPr>
    </w:lvl>
    <w:lvl w:ilvl="6" w:tplc="D01C3782" w:tentative="1">
      <w:start w:val="1"/>
      <w:numFmt w:val="bullet"/>
      <w:lvlText w:val="•"/>
      <w:lvlJc w:val="left"/>
      <w:pPr>
        <w:tabs>
          <w:tab w:val="num" w:pos="5040"/>
        </w:tabs>
        <w:ind w:left="5040" w:hanging="360"/>
      </w:pPr>
      <w:rPr>
        <w:rFonts w:ascii="Arial" w:hAnsi="Arial" w:hint="default"/>
      </w:rPr>
    </w:lvl>
    <w:lvl w:ilvl="7" w:tplc="FCECAD46" w:tentative="1">
      <w:start w:val="1"/>
      <w:numFmt w:val="bullet"/>
      <w:lvlText w:val="•"/>
      <w:lvlJc w:val="left"/>
      <w:pPr>
        <w:tabs>
          <w:tab w:val="num" w:pos="5760"/>
        </w:tabs>
        <w:ind w:left="5760" w:hanging="360"/>
      </w:pPr>
      <w:rPr>
        <w:rFonts w:ascii="Arial" w:hAnsi="Arial" w:hint="default"/>
      </w:rPr>
    </w:lvl>
    <w:lvl w:ilvl="8" w:tplc="D4847AD8" w:tentative="1">
      <w:start w:val="1"/>
      <w:numFmt w:val="bullet"/>
      <w:lvlText w:val="•"/>
      <w:lvlJc w:val="left"/>
      <w:pPr>
        <w:tabs>
          <w:tab w:val="num" w:pos="6480"/>
        </w:tabs>
        <w:ind w:left="6480" w:hanging="360"/>
      </w:pPr>
      <w:rPr>
        <w:rFonts w:ascii="Arial" w:hAnsi="Arial" w:hint="default"/>
      </w:rPr>
    </w:lvl>
  </w:abstractNum>
  <w:abstractNum w:abstractNumId="20">
    <w:nsid w:val="1B082AC0"/>
    <w:multiLevelType w:val="hybridMultilevel"/>
    <w:tmpl w:val="627A3CCA"/>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nsid w:val="1CA355BB"/>
    <w:multiLevelType w:val="hybridMultilevel"/>
    <w:tmpl w:val="419EC3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CEE0FF5"/>
    <w:multiLevelType w:val="hybridMultilevel"/>
    <w:tmpl w:val="0FE0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FAC48DF"/>
    <w:multiLevelType w:val="hybridMultilevel"/>
    <w:tmpl w:val="B51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BE59BD"/>
    <w:multiLevelType w:val="hybridMultilevel"/>
    <w:tmpl w:val="F2F651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960C0E"/>
    <w:multiLevelType w:val="multilevel"/>
    <w:tmpl w:val="3CEA6C3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270B1657"/>
    <w:multiLevelType w:val="hybridMultilevel"/>
    <w:tmpl w:val="80966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175979"/>
    <w:multiLevelType w:val="hybridMultilevel"/>
    <w:tmpl w:val="903E3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2AB239BE"/>
    <w:multiLevelType w:val="hybridMultilevel"/>
    <w:tmpl w:val="F23EB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C642CEC"/>
    <w:multiLevelType w:val="hybridMultilevel"/>
    <w:tmpl w:val="49D61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D6E09A5"/>
    <w:multiLevelType w:val="hybridMultilevel"/>
    <w:tmpl w:val="F27C38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E8B5924"/>
    <w:multiLevelType w:val="multilevel"/>
    <w:tmpl w:val="36C690BE"/>
    <w:lvl w:ilvl="0">
      <w:start w:val="1"/>
      <w:numFmt w:val="decimal"/>
      <w:lvlText w:val="Annex %1"/>
      <w:lvlJc w:val="left"/>
      <w:pPr>
        <w:tabs>
          <w:tab w:val="num" w:pos="851"/>
        </w:tabs>
        <w:ind w:left="851" w:hanging="851"/>
      </w:pPr>
      <w:rPr>
        <w:rFonts w:hint="default"/>
      </w:rPr>
    </w:lvl>
    <w:lvl w:ilvl="1">
      <w:start w:val="1"/>
      <w:numFmt w:val="decimal"/>
      <w:lvlText w:val="A%1.%2"/>
      <w:lvlJc w:val="left"/>
      <w:pPr>
        <w:tabs>
          <w:tab w:val="num" w:pos="851"/>
        </w:tabs>
        <w:ind w:left="851" w:hanging="851"/>
      </w:pPr>
      <w:rPr>
        <w:rFonts w:hint="default"/>
      </w:rPr>
    </w:lvl>
    <w:lvl w:ilvl="2">
      <w:start w:val="1"/>
      <w:numFmt w:val="decimal"/>
      <w:lvlText w:val="A%1.%2.%3"/>
      <w:lvlJc w:val="left"/>
      <w:pPr>
        <w:tabs>
          <w:tab w:val="num" w:pos="851"/>
        </w:tabs>
        <w:ind w:left="851" w:hanging="851"/>
      </w:pPr>
      <w:rPr>
        <w:rFonts w:hint="default"/>
      </w:rPr>
    </w:lvl>
    <w:lvl w:ilvl="3">
      <w:start w:val="1"/>
      <w:numFmt w:val="decimal"/>
      <w:lvlText w:val="A%1.%2.%3.%4"/>
      <w:lvlJc w:val="left"/>
      <w:pPr>
        <w:tabs>
          <w:tab w:val="num" w:pos="851"/>
        </w:tabs>
        <w:ind w:left="851" w:hanging="851"/>
      </w:pPr>
      <w:rPr>
        <w:rFonts w:hint="default"/>
      </w:rPr>
    </w:lvl>
    <w:lvl w:ilvl="4">
      <w:start w:val="1"/>
      <w:numFmt w:val="decimal"/>
      <w:lvlRestart w:val="1"/>
      <w:lvlText w:val="Table A%1.%5"/>
      <w:lvlJc w:val="left"/>
      <w:pPr>
        <w:tabs>
          <w:tab w:val="num" w:pos="851"/>
        </w:tabs>
        <w:ind w:left="851" w:hanging="851"/>
      </w:pPr>
      <w:rPr>
        <w:rFonts w:hint="default"/>
      </w:rPr>
    </w:lvl>
    <w:lvl w:ilvl="5">
      <w:start w:val="1"/>
      <w:numFmt w:val="decimal"/>
      <w:lvlRestart w:val="1"/>
      <w:lvlText w:val="Figure A%1.%6"/>
      <w:lvlJc w:val="left"/>
      <w:pPr>
        <w:tabs>
          <w:tab w:val="num" w:pos="851"/>
        </w:tabs>
        <w:ind w:left="851" w:hanging="851"/>
      </w:pPr>
      <w:rPr>
        <w:rFonts w:hint="default"/>
      </w:rPr>
    </w:lvl>
    <w:lvl w:ilvl="6">
      <w:start w:val="1"/>
      <w:numFmt w:val="decimal"/>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2">
    <w:nsid w:val="2FAA4B76"/>
    <w:multiLevelType w:val="hybridMultilevel"/>
    <w:tmpl w:val="5A606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0BF5CC8"/>
    <w:multiLevelType w:val="hybridMultilevel"/>
    <w:tmpl w:val="49A4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37C4F08"/>
    <w:multiLevelType w:val="multilevel"/>
    <w:tmpl w:val="688C2EF2"/>
    <w:numStyleLink w:val="NumbListHeading"/>
  </w:abstractNum>
  <w:abstractNum w:abstractNumId="35">
    <w:nsid w:val="34C65847"/>
    <w:multiLevelType w:val="multilevel"/>
    <w:tmpl w:val="688C2EF2"/>
    <w:styleLink w:val="NumbListHeading"/>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1106"/>
        </w:tabs>
        <w:ind w:left="1106"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36">
    <w:nsid w:val="352206B1"/>
    <w:multiLevelType w:val="hybridMultilevel"/>
    <w:tmpl w:val="CD8892DE"/>
    <w:lvl w:ilvl="0" w:tplc="3B98A1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6C0073"/>
    <w:multiLevelType w:val="multilevel"/>
    <w:tmpl w:val="816EC836"/>
    <w:styleLink w:val="NumbListNumb"/>
    <w:lvl w:ilvl="0">
      <w:start w:val="1"/>
      <w:numFmt w:val="decimal"/>
      <w:pStyle w:val="NumbList1"/>
      <w:lvlText w:val="%1."/>
      <w:lvlJc w:val="left"/>
      <w:pPr>
        <w:tabs>
          <w:tab w:val="num" w:pos="680"/>
        </w:tabs>
        <w:ind w:left="680" w:hanging="340"/>
      </w:pPr>
      <w:rPr>
        <w:rFonts w:hint="default"/>
        <w:color w:val="auto"/>
      </w:rPr>
    </w:lvl>
    <w:lvl w:ilvl="1">
      <w:start w:val="1"/>
      <w:numFmt w:val="lowerLetter"/>
      <w:pStyle w:val="NumbList2"/>
      <w:lvlText w:val="%2)"/>
      <w:lvlJc w:val="left"/>
      <w:pPr>
        <w:tabs>
          <w:tab w:val="num" w:pos="1021"/>
        </w:tabs>
        <w:ind w:left="1021" w:hanging="341"/>
      </w:pPr>
      <w:rPr>
        <w:rFonts w:hint="default"/>
      </w:rPr>
    </w:lvl>
    <w:lvl w:ilvl="2">
      <w:start w:val="1"/>
      <w:numFmt w:val="lowerRoman"/>
      <w:pStyle w:val="NumbList3"/>
      <w:lvlText w:val="%3."/>
      <w:lvlJc w:val="left"/>
      <w:pPr>
        <w:tabs>
          <w:tab w:val="num" w:pos="1361"/>
        </w:tabs>
        <w:ind w:left="1361" w:hanging="340"/>
      </w:pPr>
      <w:rPr>
        <w:rFonts w:hint="default"/>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38">
    <w:nsid w:val="3A8D635D"/>
    <w:multiLevelType w:val="hybridMultilevel"/>
    <w:tmpl w:val="619AC0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3C845BAD"/>
    <w:multiLevelType w:val="hybridMultilevel"/>
    <w:tmpl w:val="4154C56C"/>
    <w:lvl w:ilvl="0" w:tplc="0809000F">
      <w:start w:val="1"/>
      <w:numFmt w:val="decimal"/>
      <w:lvlText w:val="%1."/>
      <w:lvlJc w:val="left"/>
      <w:pPr>
        <w:ind w:left="1080" w:hanging="360"/>
      </w:pPr>
    </w:lvl>
    <w:lvl w:ilvl="1" w:tplc="49D4982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3D564B21"/>
    <w:multiLevelType w:val="hybridMultilevel"/>
    <w:tmpl w:val="D6CA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DB92A87"/>
    <w:multiLevelType w:val="multilevel"/>
    <w:tmpl w:val="D2D8303A"/>
    <w:styleLink w:val="Bullets"/>
    <w:lvl w:ilvl="0">
      <w:start w:val="1"/>
      <w:numFmt w:val="bullet"/>
      <w:pStyle w:val="Bullet1"/>
      <w:lvlText w:val=""/>
      <w:lvlJc w:val="left"/>
      <w:pPr>
        <w:tabs>
          <w:tab w:val="num" w:pos="340"/>
        </w:tabs>
        <w:ind w:left="340" w:hanging="340"/>
      </w:pPr>
      <w:rPr>
        <w:rFonts w:ascii="Wingdings" w:hAnsi="Wingdings" w:hint="default"/>
        <w:color w:val="002395"/>
        <w:sz w:val="24"/>
      </w:rPr>
    </w:lvl>
    <w:lvl w:ilvl="1">
      <w:start w:val="1"/>
      <w:numFmt w:val="bullet"/>
      <w:pStyle w:val="Bullet2"/>
      <w:lvlText w:val="-"/>
      <w:lvlJc w:val="left"/>
      <w:pPr>
        <w:tabs>
          <w:tab w:val="num" w:pos="681"/>
        </w:tabs>
        <w:ind w:left="681" w:hanging="341"/>
      </w:pPr>
      <w:rPr>
        <w:rFonts w:ascii="Arial" w:hAnsi="Arial" w:hint="default"/>
        <w:color w:val="auto"/>
        <w:sz w:val="24"/>
      </w:rPr>
    </w:lvl>
    <w:lvl w:ilvl="2">
      <w:start w:val="1"/>
      <w:numFmt w:val="bullet"/>
      <w:pStyle w:val="Bullet3"/>
      <w:lvlText w:val="◦"/>
      <w:lvlJc w:val="left"/>
      <w:pPr>
        <w:tabs>
          <w:tab w:val="num" w:pos="1021"/>
        </w:tabs>
        <w:ind w:left="1021" w:hanging="340"/>
      </w:pPr>
      <w:rPr>
        <w:rFonts w:ascii="Arial" w:hAnsi="Arial" w:hint="default"/>
        <w:color w:val="1F497D" w:themeColor="text2"/>
        <w:sz w:val="28"/>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42">
    <w:nsid w:val="3ECA0D33"/>
    <w:multiLevelType w:val="hybridMultilevel"/>
    <w:tmpl w:val="14068A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nsid w:val="3F2371AC"/>
    <w:multiLevelType w:val="hybridMultilevel"/>
    <w:tmpl w:val="6C20951E"/>
    <w:lvl w:ilvl="0" w:tplc="3B98A18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3F670AE9"/>
    <w:multiLevelType w:val="hybridMultilevel"/>
    <w:tmpl w:val="79CC2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3E56C0"/>
    <w:multiLevelType w:val="hybridMultilevel"/>
    <w:tmpl w:val="95C66B58"/>
    <w:lvl w:ilvl="0" w:tplc="3B98A1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6543C2E"/>
    <w:multiLevelType w:val="hybridMultilevel"/>
    <w:tmpl w:val="04BAD5A8"/>
    <w:lvl w:ilvl="0" w:tplc="2916A556">
      <w:start w:val="1"/>
      <w:numFmt w:val="bullet"/>
      <w:lvlText w:val="•"/>
      <w:lvlJc w:val="left"/>
      <w:pPr>
        <w:tabs>
          <w:tab w:val="num" w:pos="720"/>
        </w:tabs>
        <w:ind w:left="720" w:hanging="360"/>
      </w:pPr>
      <w:rPr>
        <w:rFonts w:ascii="Arial" w:hAnsi="Arial" w:hint="default"/>
      </w:rPr>
    </w:lvl>
    <w:lvl w:ilvl="1" w:tplc="5FF0E4A8" w:tentative="1">
      <w:start w:val="1"/>
      <w:numFmt w:val="bullet"/>
      <w:lvlText w:val="•"/>
      <w:lvlJc w:val="left"/>
      <w:pPr>
        <w:tabs>
          <w:tab w:val="num" w:pos="1440"/>
        </w:tabs>
        <w:ind w:left="1440" w:hanging="360"/>
      </w:pPr>
      <w:rPr>
        <w:rFonts w:ascii="Arial" w:hAnsi="Arial" w:hint="default"/>
      </w:rPr>
    </w:lvl>
    <w:lvl w:ilvl="2" w:tplc="8812AC58" w:tentative="1">
      <w:start w:val="1"/>
      <w:numFmt w:val="bullet"/>
      <w:lvlText w:val="•"/>
      <w:lvlJc w:val="left"/>
      <w:pPr>
        <w:tabs>
          <w:tab w:val="num" w:pos="2160"/>
        </w:tabs>
        <w:ind w:left="2160" w:hanging="360"/>
      </w:pPr>
      <w:rPr>
        <w:rFonts w:ascii="Arial" w:hAnsi="Arial" w:hint="default"/>
      </w:rPr>
    </w:lvl>
    <w:lvl w:ilvl="3" w:tplc="5DD88B40" w:tentative="1">
      <w:start w:val="1"/>
      <w:numFmt w:val="bullet"/>
      <w:lvlText w:val="•"/>
      <w:lvlJc w:val="left"/>
      <w:pPr>
        <w:tabs>
          <w:tab w:val="num" w:pos="2880"/>
        </w:tabs>
        <w:ind w:left="2880" w:hanging="360"/>
      </w:pPr>
      <w:rPr>
        <w:rFonts w:ascii="Arial" w:hAnsi="Arial" w:hint="default"/>
      </w:rPr>
    </w:lvl>
    <w:lvl w:ilvl="4" w:tplc="8726246E" w:tentative="1">
      <w:start w:val="1"/>
      <w:numFmt w:val="bullet"/>
      <w:lvlText w:val="•"/>
      <w:lvlJc w:val="left"/>
      <w:pPr>
        <w:tabs>
          <w:tab w:val="num" w:pos="3600"/>
        </w:tabs>
        <w:ind w:left="3600" w:hanging="360"/>
      </w:pPr>
      <w:rPr>
        <w:rFonts w:ascii="Arial" w:hAnsi="Arial" w:hint="default"/>
      </w:rPr>
    </w:lvl>
    <w:lvl w:ilvl="5" w:tplc="EEF26B6E" w:tentative="1">
      <w:start w:val="1"/>
      <w:numFmt w:val="bullet"/>
      <w:lvlText w:val="•"/>
      <w:lvlJc w:val="left"/>
      <w:pPr>
        <w:tabs>
          <w:tab w:val="num" w:pos="4320"/>
        </w:tabs>
        <w:ind w:left="4320" w:hanging="360"/>
      </w:pPr>
      <w:rPr>
        <w:rFonts w:ascii="Arial" w:hAnsi="Arial" w:hint="default"/>
      </w:rPr>
    </w:lvl>
    <w:lvl w:ilvl="6" w:tplc="F6F00028" w:tentative="1">
      <w:start w:val="1"/>
      <w:numFmt w:val="bullet"/>
      <w:lvlText w:val="•"/>
      <w:lvlJc w:val="left"/>
      <w:pPr>
        <w:tabs>
          <w:tab w:val="num" w:pos="5040"/>
        </w:tabs>
        <w:ind w:left="5040" w:hanging="360"/>
      </w:pPr>
      <w:rPr>
        <w:rFonts w:ascii="Arial" w:hAnsi="Arial" w:hint="default"/>
      </w:rPr>
    </w:lvl>
    <w:lvl w:ilvl="7" w:tplc="4830D35A" w:tentative="1">
      <w:start w:val="1"/>
      <w:numFmt w:val="bullet"/>
      <w:lvlText w:val="•"/>
      <w:lvlJc w:val="left"/>
      <w:pPr>
        <w:tabs>
          <w:tab w:val="num" w:pos="5760"/>
        </w:tabs>
        <w:ind w:left="5760" w:hanging="360"/>
      </w:pPr>
      <w:rPr>
        <w:rFonts w:ascii="Arial" w:hAnsi="Arial" w:hint="default"/>
      </w:rPr>
    </w:lvl>
    <w:lvl w:ilvl="8" w:tplc="A07409BC" w:tentative="1">
      <w:start w:val="1"/>
      <w:numFmt w:val="bullet"/>
      <w:lvlText w:val="•"/>
      <w:lvlJc w:val="left"/>
      <w:pPr>
        <w:tabs>
          <w:tab w:val="num" w:pos="6480"/>
        </w:tabs>
        <w:ind w:left="6480" w:hanging="360"/>
      </w:pPr>
      <w:rPr>
        <w:rFonts w:ascii="Arial" w:hAnsi="Arial" w:hint="default"/>
      </w:rPr>
    </w:lvl>
  </w:abstractNum>
  <w:abstractNum w:abstractNumId="47">
    <w:nsid w:val="474A1F37"/>
    <w:multiLevelType w:val="hybridMultilevel"/>
    <w:tmpl w:val="5BBA7D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nsid w:val="4A670E7D"/>
    <w:multiLevelType w:val="hybridMultilevel"/>
    <w:tmpl w:val="191A7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4C6C0F96"/>
    <w:multiLevelType w:val="hybridMultilevel"/>
    <w:tmpl w:val="FEF0F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E2B1170"/>
    <w:multiLevelType w:val="hybridMultilevel"/>
    <w:tmpl w:val="6F104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09362F3"/>
    <w:multiLevelType w:val="hybridMultilevel"/>
    <w:tmpl w:val="00147C0C"/>
    <w:lvl w:ilvl="0" w:tplc="029C5E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nsid w:val="50A45A19"/>
    <w:multiLevelType w:val="hybridMultilevel"/>
    <w:tmpl w:val="8A0C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57B2710"/>
    <w:multiLevelType w:val="hybridMultilevel"/>
    <w:tmpl w:val="FB8CB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EE3350"/>
    <w:multiLevelType w:val="hybridMultilevel"/>
    <w:tmpl w:val="4E88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A165264"/>
    <w:multiLevelType w:val="hybridMultilevel"/>
    <w:tmpl w:val="B90ED6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AE679E3"/>
    <w:multiLevelType w:val="hybridMultilevel"/>
    <w:tmpl w:val="54C09FDE"/>
    <w:lvl w:ilvl="0" w:tplc="6F627B40">
      <w:start w:val="1"/>
      <w:numFmt w:val="decimal"/>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B5F0C92"/>
    <w:multiLevelType w:val="hybridMultilevel"/>
    <w:tmpl w:val="CD1AEC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BDF4AEE"/>
    <w:multiLevelType w:val="hybridMultilevel"/>
    <w:tmpl w:val="9062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01E2AE8"/>
    <w:multiLevelType w:val="hybridMultilevel"/>
    <w:tmpl w:val="7D3618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2FA4CAD"/>
    <w:multiLevelType w:val="hybridMultilevel"/>
    <w:tmpl w:val="BD3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3B30FF3"/>
    <w:multiLevelType w:val="hybridMultilevel"/>
    <w:tmpl w:val="217E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6CA2E5D"/>
    <w:multiLevelType w:val="hybridMultilevel"/>
    <w:tmpl w:val="CCA8C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71F6BD2"/>
    <w:multiLevelType w:val="hybridMultilevel"/>
    <w:tmpl w:val="3B14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856751B"/>
    <w:multiLevelType w:val="hybridMultilevel"/>
    <w:tmpl w:val="D05E3D5E"/>
    <w:lvl w:ilvl="0" w:tplc="3B98A1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8705422"/>
    <w:multiLevelType w:val="hybridMultilevel"/>
    <w:tmpl w:val="B2B8B1A8"/>
    <w:lvl w:ilvl="0" w:tplc="3B98A18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nsid w:val="6C956A1E"/>
    <w:multiLevelType w:val="hybridMultilevel"/>
    <w:tmpl w:val="86CEF11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7">
    <w:nsid w:val="6CCC24E1"/>
    <w:multiLevelType w:val="hybridMultilevel"/>
    <w:tmpl w:val="5462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D49597F"/>
    <w:multiLevelType w:val="hybridMultilevel"/>
    <w:tmpl w:val="6F2691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EB42E65"/>
    <w:multiLevelType w:val="hybridMultilevel"/>
    <w:tmpl w:val="C5281CA8"/>
    <w:lvl w:ilvl="0" w:tplc="7D5A89A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F8355D4"/>
    <w:multiLevelType w:val="hybridMultilevel"/>
    <w:tmpl w:val="840092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0E1497D"/>
    <w:multiLevelType w:val="hybridMultilevel"/>
    <w:tmpl w:val="27122120"/>
    <w:lvl w:ilvl="0" w:tplc="06F68A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1B507E4"/>
    <w:multiLevelType w:val="hybridMultilevel"/>
    <w:tmpl w:val="C90EC17A"/>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nsid w:val="73294C08"/>
    <w:multiLevelType w:val="hybridMultilevel"/>
    <w:tmpl w:val="3E6C1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4">
    <w:nsid w:val="75E350E9"/>
    <w:multiLevelType w:val="hybridMultilevel"/>
    <w:tmpl w:val="8362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786229A7"/>
    <w:multiLevelType w:val="hybridMultilevel"/>
    <w:tmpl w:val="3300D6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B0D6FDE"/>
    <w:multiLevelType w:val="hybridMultilevel"/>
    <w:tmpl w:val="C5281CA8"/>
    <w:lvl w:ilvl="0" w:tplc="7D5A89A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E68300D"/>
    <w:multiLevelType w:val="hybridMultilevel"/>
    <w:tmpl w:val="368867E6"/>
    <w:lvl w:ilvl="0" w:tplc="3B98A1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F3903D7"/>
    <w:multiLevelType w:val="hybridMultilevel"/>
    <w:tmpl w:val="F38616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33"/>
  </w:num>
  <w:num w:numId="4">
    <w:abstractNumId w:val="74"/>
  </w:num>
  <w:num w:numId="5">
    <w:abstractNumId w:val="22"/>
  </w:num>
  <w:num w:numId="6">
    <w:abstractNumId w:val="52"/>
  </w:num>
  <w:num w:numId="7">
    <w:abstractNumId w:val="78"/>
  </w:num>
  <w:num w:numId="8">
    <w:abstractNumId w:val="59"/>
  </w:num>
  <w:num w:numId="9">
    <w:abstractNumId w:val="63"/>
  </w:num>
  <w:num w:numId="10">
    <w:abstractNumId w:val="51"/>
  </w:num>
  <w:num w:numId="11">
    <w:abstractNumId w:val="27"/>
  </w:num>
  <w:num w:numId="12">
    <w:abstractNumId w:val="72"/>
  </w:num>
  <w:num w:numId="13">
    <w:abstractNumId w:val="68"/>
  </w:num>
  <w:num w:numId="14">
    <w:abstractNumId w:val="69"/>
  </w:num>
  <w:num w:numId="15">
    <w:abstractNumId w:val="76"/>
  </w:num>
  <w:num w:numId="16">
    <w:abstractNumId w:val="13"/>
  </w:num>
  <w:num w:numId="17">
    <w:abstractNumId w:val="19"/>
  </w:num>
  <w:num w:numId="18">
    <w:abstractNumId w:val="46"/>
  </w:num>
  <w:num w:numId="19">
    <w:abstractNumId w:val="30"/>
  </w:num>
  <w:num w:numId="20">
    <w:abstractNumId w:val="3"/>
  </w:num>
  <w:num w:numId="21">
    <w:abstractNumId w:val="18"/>
  </w:num>
  <w:num w:numId="22">
    <w:abstractNumId w:val="21"/>
  </w:num>
  <w:num w:numId="23">
    <w:abstractNumId w:val="20"/>
  </w:num>
  <w:num w:numId="24">
    <w:abstractNumId w:val="75"/>
  </w:num>
  <w:num w:numId="25">
    <w:abstractNumId w:val="44"/>
  </w:num>
  <w:num w:numId="26">
    <w:abstractNumId w:val="28"/>
  </w:num>
  <w:num w:numId="27">
    <w:abstractNumId w:val="40"/>
  </w:num>
  <w:num w:numId="28">
    <w:abstractNumId w:val="70"/>
  </w:num>
  <w:num w:numId="29">
    <w:abstractNumId w:val="0"/>
  </w:num>
  <w:num w:numId="30">
    <w:abstractNumId w:val="66"/>
  </w:num>
  <w:num w:numId="31">
    <w:abstractNumId w:val="6"/>
  </w:num>
  <w:num w:numId="32">
    <w:abstractNumId w:val="55"/>
  </w:num>
  <w:num w:numId="33">
    <w:abstractNumId w:val="62"/>
  </w:num>
  <w:num w:numId="34">
    <w:abstractNumId w:val="29"/>
  </w:num>
  <w:num w:numId="35">
    <w:abstractNumId w:val="15"/>
    <w:lvlOverride w:ilvl="0">
      <w:lvl w:ilvl="0">
        <w:start w:val="1"/>
        <w:numFmt w:val="decimal"/>
        <w:pStyle w:val="FigureTitle"/>
        <w:lvlText w:val="Figure %1."/>
        <w:lvlJc w:val="left"/>
        <w:pPr>
          <w:tabs>
            <w:tab w:val="num" w:pos="1077"/>
          </w:tabs>
          <w:ind w:left="1077" w:hanging="1077"/>
        </w:pPr>
        <w:rPr>
          <w:rFonts w:hint="default"/>
        </w:rPr>
      </w:lvl>
    </w:lvlOverride>
  </w:num>
  <w:num w:numId="36">
    <w:abstractNumId w:val="15"/>
  </w:num>
  <w:num w:numId="37">
    <w:abstractNumId w:val="49"/>
  </w:num>
  <w:num w:numId="38">
    <w:abstractNumId w:val="39"/>
  </w:num>
  <w:num w:numId="39">
    <w:abstractNumId w:val="67"/>
  </w:num>
  <w:num w:numId="40">
    <w:abstractNumId w:val="50"/>
  </w:num>
  <w:num w:numId="41">
    <w:abstractNumId w:val="5"/>
  </w:num>
  <w:num w:numId="42">
    <w:abstractNumId w:val="53"/>
  </w:num>
  <w:num w:numId="43">
    <w:abstractNumId w:val="60"/>
  </w:num>
  <w:num w:numId="44">
    <w:abstractNumId w:val="26"/>
  </w:num>
  <w:num w:numId="45">
    <w:abstractNumId w:val="12"/>
  </w:num>
  <w:num w:numId="46">
    <w:abstractNumId w:val="35"/>
  </w:num>
  <w:num w:numId="47">
    <w:abstractNumId w:val="34"/>
  </w:num>
  <w:num w:numId="48">
    <w:abstractNumId w:val="54"/>
  </w:num>
  <w:num w:numId="49">
    <w:abstractNumId w:val="41"/>
  </w:num>
  <w:num w:numId="50">
    <w:abstractNumId w:val="57"/>
  </w:num>
  <w:num w:numId="51">
    <w:abstractNumId w:val="1"/>
  </w:num>
  <w:num w:numId="52">
    <w:abstractNumId w:val="47"/>
  </w:num>
  <w:num w:numId="53">
    <w:abstractNumId w:val="38"/>
  </w:num>
  <w:num w:numId="54">
    <w:abstractNumId w:val="48"/>
  </w:num>
  <w:num w:numId="55">
    <w:abstractNumId w:val="73"/>
  </w:num>
  <w:num w:numId="56">
    <w:abstractNumId w:val="58"/>
  </w:num>
  <w:num w:numId="57">
    <w:abstractNumId w:val="61"/>
  </w:num>
  <w:num w:numId="58">
    <w:abstractNumId w:val="42"/>
  </w:num>
  <w:num w:numId="59">
    <w:abstractNumId w:val="16"/>
  </w:num>
  <w:num w:numId="60">
    <w:abstractNumId w:val="37"/>
  </w:num>
  <w:num w:numId="61">
    <w:abstractNumId w:val="17"/>
  </w:num>
  <w:num w:numId="62">
    <w:abstractNumId w:val="31"/>
  </w:num>
  <w:num w:numId="63">
    <w:abstractNumId w:val="23"/>
  </w:num>
  <w:num w:numId="64">
    <w:abstractNumId w:val="10"/>
  </w:num>
  <w:num w:numId="65">
    <w:abstractNumId w:val="56"/>
  </w:num>
  <w:num w:numId="66">
    <w:abstractNumId w:val="24"/>
  </w:num>
  <w:num w:numId="67">
    <w:abstractNumId w:val="9"/>
  </w:num>
  <w:num w:numId="68">
    <w:abstractNumId w:val="32"/>
  </w:num>
  <w:num w:numId="69">
    <w:abstractNumId w:val="25"/>
  </w:num>
  <w:num w:numId="70">
    <w:abstractNumId w:val="11"/>
  </w:num>
  <w:num w:numId="71">
    <w:abstractNumId w:val="14"/>
  </w:num>
  <w:num w:numId="72">
    <w:abstractNumId w:val="77"/>
  </w:num>
  <w:num w:numId="73">
    <w:abstractNumId w:val="45"/>
  </w:num>
  <w:num w:numId="74">
    <w:abstractNumId w:val="2"/>
  </w:num>
  <w:num w:numId="75">
    <w:abstractNumId w:val="36"/>
  </w:num>
  <w:num w:numId="76">
    <w:abstractNumId w:val="71"/>
  </w:num>
  <w:num w:numId="77">
    <w:abstractNumId w:val="7"/>
  </w:num>
  <w:num w:numId="78">
    <w:abstractNumId w:val="64"/>
  </w:num>
  <w:num w:numId="79">
    <w:abstractNumId w:val="43"/>
  </w:num>
  <w:num w:numId="80">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1CC1802EADDE47558A6CFBAAB3DF0CDD"/>
    <w:docVar w:name="LW_CROSSREFERENCE" w:val="{COM(2017) 460 final}"/>
    <w:docVar w:name="LW_DocType" w:val="NORMAL"/>
    <w:docVar w:name="LW_EMISSION" w:val="30.8.2017"/>
    <w:docVar w:name="LW_EMISSION_ISODATE" w:val="2017-08-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Interim Evaluation of the Union Civil Protection Mechanism for the period 2014-2016_x000b_"/>
    <w:docVar w:name="LW_PART_NBR" w:val="1"/>
    <w:docVar w:name="LW_PART_NBR_TOTAL" w:val="1"/>
    <w:docVar w:name="LW_REF.INST.NEW" w:val="SWD"/>
    <w:docVar w:name="LW_REF.INST.NEW_ADOPTED" w:val="final"/>
    <w:docVar w:name="LW_REF.INST.NEW_TEXT" w:val="(2017) 287"/>
    <w:docVar w:name="LW_REF.INTERNE" w:val="&lt;UNUSED&gt;"/>
    <w:docVar w:name="LW_SUPERTITRE" w:val="&lt;UNUSED&gt;"/>
    <w:docVar w:name="LW_TITRE.OBJ.CP" w:val="Interim Evaluation of the Union Civil Protection Mechanism (2014-2016)"/>
    <w:docVar w:name="LW_TYPE.DOC.CP" w:val="COMMISSION STAFF WORKING DOCUMENT"/>
    <w:docVar w:name="LW_TYPEACTEPRINCIPAL.CP" w:val="Report from the Commission to the European Parliament and the Council"/>
  </w:docVars>
  <w:rsids>
    <w:rsidRoot w:val="00500553"/>
    <w:rsid w:val="00500553"/>
    <w:rsid w:val="00D978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F3 Heading 1 - Section,(Section),h1,Numbered - 1,Section,Chapter Hdg,CH TITLE 1,Headline 1,cover1,intoduction,head1,Chapter Heading,IMPACT STUDY TITLE1,TITLE 1 NR,Lev 1,H1"/>
    <w:basedOn w:val="Normal"/>
    <w:next w:val="Normal"/>
    <w:link w:val="Heading1Char"/>
    <w:uiPriority w:val="9"/>
    <w:qFormat/>
    <w:pPr>
      <w:keepNext/>
      <w:keepLines/>
      <w:numPr>
        <w:numId w:val="47"/>
      </w:numPr>
      <w:spacing w:before="120" w:after="120" w:line="240" w:lineRule="auto"/>
      <w:outlineLvl w:val="0"/>
    </w:pPr>
    <w:rPr>
      <w:rFonts w:ascii="Verdana" w:eastAsiaTheme="majorEastAsia" w:hAnsi="Verdana" w:cstheme="majorBidi"/>
      <w:b/>
      <w:bCs/>
      <w:sz w:val="24"/>
      <w:szCs w:val="28"/>
    </w:rPr>
  </w:style>
  <w:style w:type="paragraph" w:styleId="Heading2">
    <w:name w:val="heading 2"/>
    <w:aliases w:val="Heading2,AnnexH2,ESHeading 2,BoxNumb,CaseStudy,Conclusion,Evidence,Recommendation,F4 Heading 2 - SubSection,(SubSection),h2,Para Nos,Para,Main Heading,Main Headi,Numbered - 2,(Main Heading),Paragraph,Sub Heading,ignorer2,Oscar Faber 2"/>
    <w:basedOn w:val="Normal"/>
    <w:next w:val="Normal"/>
    <w:link w:val="Heading2Char"/>
    <w:uiPriority w:val="4"/>
    <w:qFormat/>
    <w:pPr>
      <w:keepNext/>
      <w:keepLines/>
      <w:numPr>
        <w:ilvl w:val="1"/>
        <w:numId w:val="47"/>
      </w:numPr>
      <w:spacing w:before="120" w:after="120" w:line="240" w:lineRule="auto"/>
      <w:outlineLvl w:val="1"/>
    </w:pPr>
    <w:rPr>
      <w:rFonts w:ascii="Verdana" w:eastAsiaTheme="majorEastAsia" w:hAnsi="Verdana" w:cstheme="majorBidi"/>
      <w:b/>
      <w:bCs/>
      <w:szCs w:val="26"/>
    </w:rPr>
  </w:style>
  <w:style w:type="paragraph" w:styleId="Heading3">
    <w:name w:val="heading 3"/>
    <w:aliases w:val="Heading3,AnnexH3,ESHeading 3,Box,Stage,F5 Heading 3,h3,Numbered - 3,H3,H31,Headline 3,h31,h32,Sub Paragraph,Voorwoord,ASAPHeading 3,Level 1 - 1,Heading 3 - old,heading 3,Heading 2.3,1.2.3.,Titles,(Alt+3),(Alt+3)1,(Alt+3)2,(Alt+3)3,(Alt+3)4,3,0"/>
    <w:basedOn w:val="Normal"/>
    <w:next w:val="Normal"/>
    <w:link w:val="Heading3Char"/>
    <w:uiPriority w:val="4"/>
    <w:qFormat/>
    <w:pPr>
      <w:keepNext/>
      <w:keepLines/>
      <w:numPr>
        <w:ilvl w:val="2"/>
        <w:numId w:val="47"/>
      </w:numPr>
      <w:spacing w:before="120" w:after="120" w:line="240" w:lineRule="auto"/>
      <w:outlineLvl w:val="2"/>
    </w:pPr>
    <w:rPr>
      <w:rFonts w:ascii="Verdana" w:eastAsiaTheme="majorEastAsia" w:hAnsi="Verdana" w:cstheme="majorBidi"/>
      <w:b/>
      <w:bCs/>
      <w:sz w:val="20"/>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uiPriority w:val="4"/>
    <w:qFormat/>
    <w:pPr>
      <w:keepNext/>
      <w:keepLines/>
      <w:numPr>
        <w:ilvl w:val="3"/>
        <w:numId w:val="47"/>
      </w:numPr>
      <w:spacing w:before="120" w:after="120" w:line="240" w:lineRule="auto"/>
      <w:outlineLvl w:val="3"/>
    </w:pPr>
    <w:rPr>
      <w:rFonts w:ascii="Verdana" w:eastAsiaTheme="majorEastAsia" w:hAnsi="Verdana" w:cstheme="majorBidi"/>
      <w:b/>
      <w:bCs/>
      <w:iCs/>
      <w:color w:val="000000" w:themeColor="text1"/>
      <w:sz w:val="20"/>
    </w:rPr>
  </w:style>
  <w:style w:type="paragraph" w:styleId="Heading5">
    <w:name w:val="heading 5"/>
    <w:basedOn w:val="Normal"/>
    <w:next w:val="Normal"/>
    <w:link w:val="Heading5Char"/>
    <w:uiPriority w:val="9"/>
    <w:unhideWhenUsed/>
    <w:qFormat/>
    <w:pPr>
      <w:keepNext/>
      <w:jc w:val="both"/>
      <w:outlineLvl w:val="4"/>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Hyperlink1">
    <w:name w:val="Hyperlink1"/>
    <w:basedOn w:val="DefaultParagraphFont"/>
  </w:style>
  <w:style w:type="character" w:customStyle="1" w:styleId="tab">
    <w:name w:val="tab"/>
    <w:basedOn w:val="DefaultParagraphFont"/>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A13">
    <w:name w:val="A13"/>
    <w:uiPriority w:val="99"/>
    <w:rPr>
      <w:rFonts w:cs="Myriad Pro"/>
      <w:color w:val="000000"/>
      <w:sz w:val="11"/>
      <w:szCs w:val="11"/>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ootnote,Fußnote,Schriftart: 9 pt,Schriftart: 10 pt,Schriftart: 8 pt,o,Testo nota a piè di pagina Carattere,Footnote text,Testo nota a piè di pagina Carattere1 Carattere,Testo nota a piè di pagina Carattere Carattere Carattere,fn,Fuﬂnote,f"/>
    <w:basedOn w:val="Normal"/>
    <w:link w:val="FootnoteTextChar"/>
    <w:unhideWhenUsed/>
    <w:qFormat/>
    <w:pPr>
      <w:spacing w:after="0" w:line="240" w:lineRule="auto"/>
    </w:pPr>
    <w:rPr>
      <w:sz w:val="20"/>
      <w:szCs w:val="20"/>
    </w:rPr>
  </w:style>
  <w:style w:type="character" w:customStyle="1" w:styleId="FootnoteTextChar">
    <w:name w:val="Footnote Text Char"/>
    <w:aliases w:val="Footnote Char,Fußnote Char,Schriftart: 9 pt Char,Schriftart: 10 pt Char,Schriftart: 8 pt Char,o Char,Testo nota a piè di pagina Carattere Char,Footnote text Char,Testo nota a piè di pagina Carattere1 Carattere Char,fn Char,f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BVIfnrCarCarCarCarCharCharCharCharCar"/>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Default">
    <w:name w:val="Default"/>
    <w:link w:val="DefaultChar"/>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character" w:customStyle="1" w:styleId="BodyTextChar">
    <w:name w:val="Body Text Char"/>
    <w:aliases w:val="Document Char,Doc Char,Body Text2 Char,doc Char,Standard paragraph Char,(Norm) Char,Body Text 12 Char,bt Char,gl Char,uvlaka 2 Char,heading3 Char,Body Text - Level 2 Char,1body Char,BodText Char,body text Char,Body Txt Char,Text Char"/>
    <w:basedOn w:val="DefaultParagraphFont"/>
    <w:link w:val="BodyText"/>
    <w:uiPriority w:val="1"/>
    <w:qFormat/>
    <w:locked/>
    <w:rPr>
      <w:rFonts w:ascii="Verdana" w:hAnsi="Verdana"/>
      <w:color w:val="000000" w:themeColor="text1"/>
      <w:sz w:val="20"/>
    </w:rPr>
  </w:style>
  <w:style w:type="paragraph" w:styleId="BodyText">
    <w:name w:val="Body Text"/>
    <w:aliases w:val="Document,Doc,Body Text2,doc,Standard paragraph,(Norm),Body Text 12,bt,gl,uvlaka 2,heading3,Body Text - Level 2,1body,BodText,body text,Body Txt,Body Text-10,Body Text Char2,Text Char1,Text,Τίτλος Μελέτης,- TF,b,F4 Main Text,-,b., (Norm),- "/>
    <w:basedOn w:val="Normal"/>
    <w:link w:val="BodyTextChar"/>
    <w:uiPriority w:val="1"/>
    <w:unhideWhenUsed/>
    <w:qFormat/>
    <w:pPr>
      <w:spacing w:before="120" w:after="120" w:line="240" w:lineRule="auto"/>
    </w:pPr>
    <w:rPr>
      <w:rFonts w:ascii="Verdana" w:hAnsi="Verdana"/>
      <w:color w:val="000000" w:themeColor="text1"/>
      <w:sz w:val="20"/>
    </w:rPr>
  </w:style>
  <w:style w:type="character" w:customStyle="1" w:styleId="BodyTextChar1">
    <w:name w:val="Body Text Char1"/>
    <w:basedOn w:val="DefaultParagraphFont"/>
    <w:uiPriority w:val="99"/>
    <w:semiHidden/>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19"/>
    <w:pPr>
      <w:spacing w:after="160" w:line="240" w:lineRule="exact"/>
    </w:pPr>
    <w:rPr>
      <w:vertAlign w:val="superscript"/>
    </w:rPr>
  </w:style>
  <w:style w:type="paragraph" w:customStyle="1" w:styleId="Tim">
    <w:name w:val="Tim"/>
    <w:basedOn w:val="FootnoteText"/>
  </w:style>
  <w:style w:type="paragraph" w:customStyle="1" w:styleId="Times">
    <w:name w:val="Times"/>
    <w:basedOn w:val="Tim"/>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aliases w:val="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CM4">
    <w:name w:val="CM4"/>
    <w:basedOn w:val="Default"/>
    <w:next w:val="Default"/>
    <w:uiPriority w:val="99"/>
    <w:rPr>
      <w:rFonts w:ascii="EUAlbertina" w:eastAsia="Times New Roman" w:hAnsi="EUAlbertina" w:cs="Times New Roman"/>
      <w:color w:val="auto"/>
      <w:lang w:eastAsia="en-GB"/>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igureTitle">
    <w:name w:val="Figure Title"/>
    <w:basedOn w:val="Normal"/>
    <w:uiPriority w:val="29"/>
    <w:qFormat/>
    <w:pPr>
      <w:keepNext/>
      <w:keepLines/>
      <w:numPr>
        <w:numId w:val="35"/>
      </w:numPr>
      <w:spacing w:before="120" w:after="120" w:line="240" w:lineRule="auto"/>
      <w:outlineLvl w:val="4"/>
    </w:pPr>
    <w:rPr>
      <w:rFonts w:ascii="Verdana" w:eastAsiaTheme="majorEastAsia" w:hAnsi="Verdana" w:cstheme="majorBidi"/>
      <w:bCs/>
      <w:i/>
      <w:sz w:val="20"/>
    </w:rPr>
  </w:style>
  <w:style w:type="numbering" w:customStyle="1" w:styleId="NumbListFigures">
    <w:name w:val="NumbList Figures"/>
    <w:uiPriority w:val="99"/>
    <w:pPr>
      <w:numPr>
        <w:numId w:val="36"/>
      </w:numPr>
    </w:pPr>
  </w:style>
  <w:style w:type="character" w:customStyle="1" w:styleId="DeltaViewInsertion">
    <w:name w:val="DeltaView Insertion"/>
    <w:rPr>
      <w:b/>
      <w:i/>
      <w:spacing w:val="0"/>
    </w:rPr>
  </w:style>
  <w:style w:type="character" w:customStyle="1" w:styleId="DeltaViewDeletion">
    <w:name w:val="DeltaView Deletion"/>
    <w:rPr>
      <w:strike/>
      <w:spacing w:val="0"/>
    </w:rPr>
  </w:style>
  <w:style w:type="character" w:customStyle="1" w:styleId="DefaultChar">
    <w:name w:val="Default Char"/>
    <w:basedOn w:val="DefaultParagraphFont"/>
    <w:link w:val="Default"/>
    <w:rPr>
      <w:rFonts w:ascii="Verdana" w:hAnsi="Verdana" w:cs="Verdana"/>
      <w:color w:val="000000"/>
      <w:sz w:val="24"/>
      <w:szCs w:val="24"/>
    </w:rPr>
  </w:style>
  <w:style w:type="paragraph" w:styleId="Revision">
    <w:name w:val="Revision"/>
    <w:hidden/>
    <w:uiPriority w:val="99"/>
    <w:semiHidden/>
    <w:pPr>
      <w:spacing w:after="0" w:line="240" w:lineRule="auto"/>
    </w:pPr>
  </w:style>
  <w:style w:type="character" w:customStyle="1" w:styleId="Heading1Char">
    <w:name w:val="Heading 1 Char"/>
    <w:aliases w:val="Heading1 Char,AnnexHeading Char,AnnexHeading NoPage Char,ESHeading 1 Char,Heading 1NoSpace Char,F3 Heading 1 - Section Char,(Section) Char,h1 Char,Numbered - 1 Char,Section Char,Chapter Hdg Char,CH TITLE 1 Char,Headline 1 Char,cover1 Char"/>
    <w:basedOn w:val="DefaultParagraphFont"/>
    <w:link w:val="Heading1"/>
    <w:uiPriority w:val="4"/>
    <w:rPr>
      <w:rFonts w:ascii="Verdana" w:eastAsiaTheme="majorEastAsia" w:hAnsi="Verdana" w:cstheme="majorBidi"/>
      <w:b/>
      <w:bCs/>
      <w:sz w:val="24"/>
      <w:szCs w:val="28"/>
    </w:rPr>
  </w:style>
  <w:style w:type="character" w:customStyle="1" w:styleId="Heading2Char">
    <w:name w:val="Heading 2 Char"/>
    <w:aliases w:val="Heading2 Char,AnnexH2 Char,ESHeading 2 Char,BoxNumb Char,CaseStudy Char,Conclusion Char,Evidence Char,Recommendation Char,F4 Heading 2 - SubSection Char,(SubSection) Char,h2 Char,Para Nos Char,Para Char,Main Heading Char,Main Headi Char"/>
    <w:basedOn w:val="DefaultParagraphFont"/>
    <w:link w:val="Heading2"/>
    <w:uiPriority w:val="4"/>
    <w:rPr>
      <w:rFonts w:ascii="Verdana" w:eastAsiaTheme="majorEastAsia" w:hAnsi="Verdana" w:cstheme="majorBidi"/>
      <w:b/>
      <w:bCs/>
      <w:szCs w:val="26"/>
    </w:rPr>
  </w:style>
  <w:style w:type="character" w:customStyle="1" w:styleId="Heading3Char">
    <w:name w:val="Heading 3 Char"/>
    <w:aliases w:val="Heading3 Char,AnnexH3 Char,ESHeading 3 Char,Box Char,Stage Char,F5 Heading 3 Char,h3 Char,Numbered - 3 Char,H3 Char,H31 Char,Headline 3 Char,h31 Char,h32 Char,Sub Paragraph Char,Voorwoord Char,ASAPHeading 3 Char,Level 1 - 1 Char,3 Char"/>
    <w:basedOn w:val="DefaultParagraphFont"/>
    <w:link w:val="Heading3"/>
    <w:uiPriority w:val="4"/>
    <w:rPr>
      <w:rFonts w:ascii="Verdana" w:eastAsiaTheme="majorEastAsia" w:hAnsi="Verdana" w:cstheme="majorBidi"/>
      <w:b/>
      <w:bCs/>
      <w:sz w:val="20"/>
    </w:r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uiPriority w:val="4"/>
    <w:rPr>
      <w:rFonts w:ascii="Verdana" w:eastAsiaTheme="majorEastAsia" w:hAnsi="Verdana" w:cstheme="majorBidi"/>
      <w:b/>
      <w:bCs/>
      <w:iCs/>
      <w:color w:val="000000" w:themeColor="text1"/>
      <w:sz w:val="20"/>
    </w:rPr>
  </w:style>
  <w:style w:type="paragraph" w:customStyle="1" w:styleId="TableSource">
    <w:name w:val="TableSource"/>
    <w:basedOn w:val="Normal"/>
    <w:next w:val="Normal"/>
    <w:uiPriority w:val="33"/>
    <w:qFormat/>
    <w:pPr>
      <w:spacing w:before="120" w:after="120" w:line="240" w:lineRule="auto"/>
    </w:pPr>
    <w:rPr>
      <w:rFonts w:ascii="Verdana" w:hAnsi="Verdana"/>
      <w:i/>
      <w:color w:val="000000" w:themeColor="text1"/>
      <w:sz w:val="20"/>
    </w:rPr>
  </w:style>
  <w:style w:type="numbering" w:customStyle="1" w:styleId="NumbListHeading">
    <w:name w:val="NumbListHeading"/>
    <w:aliases w:val="NumbLstAnnex,NumbLstBoxes,NumbLstExecSumm,NumbLstMain,NumbLstStage,NumbLstTableSimpleNo"/>
    <w:uiPriority w:val="99"/>
    <w:pPr>
      <w:numPr>
        <w:numId w:val="46"/>
      </w:numPr>
    </w:pPr>
  </w:style>
  <w:style w:type="numbering" w:customStyle="1" w:styleId="Bullets">
    <w:name w:val="Bullets"/>
    <w:aliases w:val="NumbLstBTBullet,NumbLstBullet"/>
    <w:uiPriority w:val="99"/>
    <w:pPr>
      <w:numPr>
        <w:numId w:val="49"/>
      </w:numPr>
    </w:pPr>
  </w:style>
  <w:style w:type="paragraph" w:customStyle="1" w:styleId="Bullet1">
    <w:name w:val="Bullet 1"/>
    <w:aliases w:val="Bullet1,BTBullet1"/>
    <w:basedOn w:val="Normal"/>
    <w:uiPriority w:val="6"/>
    <w:qFormat/>
    <w:pPr>
      <w:numPr>
        <w:numId w:val="49"/>
      </w:numPr>
      <w:spacing w:before="120" w:after="120" w:line="240" w:lineRule="auto"/>
      <w:contextualSpacing/>
    </w:pPr>
    <w:rPr>
      <w:rFonts w:ascii="Verdana" w:hAnsi="Verdana"/>
      <w:color w:val="000000" w:themeColor="text1"/>
      <w:sz w:val="20"/>
    </w:rPr>
  </w:style>
  <w:style w:type="paragraph" w:customStyle="1" w:styleId="Bullet2">
    <w:name w:val="Bullet 2"/>
    <w:aliases w:val="Bullet2,BTBullet2"/>
    <w:basedOn w:val="Normal"/>
    <w:uiPriority w:val="6"/>
    <w:qFormat/>
    <w:pPr>
      <w:numPr>
        <w:ilvl w:val="1"/>
        <w:numId w:val="49"/>
      </w:numPr>
      <w:spacing w:before="120" w:after="120" w:line="240" w:lineRule="auto"/>
      <w:contextualSpacing/>
    </w:pPr>
    <w:rPr>
      <w:rFonts w:ascii="Verdana" w:hAnsi="Verdana"/>
      <w:color w:val="000000" w:themeColor="text1"/>
      <w:sz w:val="20"/>
    </w:rPr>
  </w:style>
  <w:style w:type="paragraph" w:customStyle="1" w:styleId="Bullet1Space">
    <w:name w:val="Bullet 1 Space"/>
    <w:aliases w:val="Bullet1Last,BTBullet1Last"/>
    <w:basedOn w:val="Bullet1"/>
    <w:link w:val="BTBullet1LastChar"/>
    <w:uiPriority w:val="11"/>
    <w:qFormat/>
    <w:pPr>
      <w:contextualSpacing w:val="0"/>
    </w:pPr>
  </w:style>
  <w:style w:type="paragraph" w:customStyle="1" w:styleId="Bullet3">
    <w:name w:val="Bullet 3"/>
    <w:aliases w:val="Bullet3,BTBullet3"/>
    <w:basedOn w:val="Bullet2"/>
    <w:uiPriority w:val="6"/>
    <w:qFormat/>
    <w:pPr>
      <w:numPr>
        <w:ilvl w:val="2"/>
      </w:numPr>
    </w:pPr>
  </w:style>
  <w:style w:type="character" w:customStyle="1" w:styleId="BTBullet1LastChar">
    <w:name w:val="BTBullet1Last Char"/>
    <w:link w:val="Bullet1Space"/>
    <w:uiPriority w:val="11"/>
    <w:locked/>
    <w:rPr>
      <w:rFonts w:ascii="Verdana" w:hAnsi="Verdana"/>
      <w:color w:val="000000" w:themeColor="text1"/>
      <w:sz w:val="20"/>
    </w:rPr>
  </w:style>
  <w:style w:type="paragraph" w:customStyle="1" w:styleId="TableTitle">
    <w:name w:val="TableTitle"/>
    <w:aliases w:val="Table,AnnexTable,AnnexFigure,Figure,ESTable,ESTableLeft,TableSimpleNo,TableLeft,ESFigure,ESFigureLeft"/>
    <w:basedOn w:val="Heading3"/>
    <w:link w:val="TableChar"/>
    <w:uiPriority w:val="11"/>
    <w:qFormat/>
    <w:pPr>
      <w:numPr>
        <w:ilvl w:val="0"/>
        <w:numId w:val="51"/>
      </w:numPr>
    </w:pPr>
    <w:rPr>
      <w:b w:val="0"/>
      <w:i/>
    </w:rPr>
  </w:style>
  <w:style w:type="paragraph" w:customStyle="1" w:styleId="TableHeading">
    <w:name w:val="TableHeading"/>
    <w:aliases w:val="TableHeadingWhite"/>
    <w:basedOn w:val="Normal"/>
    <w:uiPriority w:val="6"/>
    <w:qFormat/>
    <w:pPr>
      <w:spacing w:before="120" w:after="0" w:line="240" w:lineRule="auto"/>
      <w:ind w:left="113"/>
    </w:pPr>
    <w:rPr>
      <w:rFonts w:ascii="Verdana" w:hAnsi="Verdana"/>
      <w:b/>
      <w:color w:val="FFFFFF" w:themeColor="background1"/>
      <w:sz w:val="20"/>
    </w:rPr>
  </w:style>
  <w:style w:type="paragraph" w:customStyle="1" w:styleId="TableText">
    <w:name w:val="TableText"/>
    <w:aliases w:val="TableTextNoSpace"/>
    <w:basedOn w:val="Normal"/>
    <w:uiPriority w:val="31"/>
    <w:qFormat/>
    <w:pPr>
      <w:spacing w:before="120" w:after="0" w:line="240" w:lineRule="auto"/>
      <w:ind w:left="113"/>
    </w:pPr>
    <w:rPr>
      <w:rFonts w:ascii="Verdana" w:hAnsi="Verdana"/>
      <w:color w:val="000000" w:themeColor="text1"/>
      <w:sz w:val="20"/>
    </w:rPr>
  </w:style>
  <w:style w:type="numbering" w:customStyle="1" w:styleId="NumblistTables">
    <w:name w:val="Numblist Tables"/>
    <w:uiPriority w:val="99"/>
    <w:pPr>
      <w:numPr>
        <w:numId w:val="51"/>
      </w:numPr>
    </w:pPr>
  </w:style>
  <w:style w:type="character" w:customStyle="1" w:styleId="TableChar">
    <w:name w:val="Table Char"/>
    <w:basedOn w:val="DefaultParagraphFont"/>
    <w:link w:val="TableTitle"/>
    <w:uiPriority w:val="11"/>
    <w:rPr>
      <w:rFonts w:ascii="Verdana" w:eastAsiaTheme="majorEastAsia" w:hAnsi="Verdana" w:cstheme="majorBidi"/>
      <w:bCs/>
      <w:i/>
      <w:sz w:val="20"/>
    </w:rPr>
  </w:style>
  <w:style w:type="numbering" w:customStyle="1" w:styleId="NumbListNumb">
    <w:name w:val="NumbList Numb"/>
    <w:aliases w:val="NumbLstNumb,BTNumbLstNumb"/>
    <w:uiPriority w:val="99"/>
    <w:pPr>
      <w:numPr>
        <w:numId w:val="60"/>
      </w:numPr>
    </w:pPr>
  </w:style>
  <w:style w:type="paragraph" w:customStyle="1" w:styleId="NumbList1">
    <w:name w:val="NumbList 1"/>
    <w:aliases w:val="Numblist1,Numblist,BTNumbList"/>
    <w:basedOn w:val="Normal"/>
    <w:link w:val="BTNumbListChar"/>
    <w:uiPriority w:val="14"/>
    <w:qFormat/>
    <w:pPr>
      <w:numPr>
        <w:numId w:val="61"/>
      </w:numPr>
      <w:spacing w:before="120" w:after="120" w:line="240" w:lineRule="auto"/>
      <w:contextualSpacing/>
    </w:pPr>
    <w:rPr>
      <w:rFonts w:ascii="Verdana" w:hAnsi="Verdana"/>
      <w:color w:val="000000" w:themeColor="text1"/>
      <w:sz w:val="20"/>
    </w:rPr>
  </w:style>
  <w:style w:type="paragraph" w:customStyle="1" w:styleId="NumbList2">
    <w:name w:val="NumbList 2"/>
    <w:aliases w:val="NumbList2,BTNumbList2"/>
    <w:basedOn w:val="Normal"/>
    <w:uiPriority w:val="14"/>
    <w:qFormat/>
    <w:pPr>
      <w:numPr>
        <w:ilvl w:val="1"/>
        <w:numId w:val="61"/>
      </w:numPr>
      <w:spacing w:before="120" w:after="120" w:line="240" w:lineRule="auto"/>
      <w:contextualSpacing/>
    </w:pPr>
    <w:rPr>
      <w:rFonts w:ascii="Verdana" w:hAnsi="Verdana"/>
      <w:color w:val="000000" w:themeColor="text1"/>
      <w:sz w:val="20"/>
    </w:rPr>
  </w:style>
  <w:style w:type="paragraph" w:customStyle="1" w:styleId="NumbList3">
    <w:name w:val="NumbList 3"/>
    <w:aliases w:val="NumbList3,BTNumbList3"/>
    <w:basedOn w:val="Normal"/>
    <w:uiPriority w:val="14"/>
    <w:qFormat/>
    <w:pPr>
      <w:numPr>
        <w:ilvl w:val="2"/>
        <w:numId w:val="61"/>
      </w:numPr>
      <w:spacing w:before="120" w:after="120" w:line="240" w:lineRule="auto"/>
    </w:pPr>
    <w:rPr>
      <w:rFonts w:ascii="Verdana" w:hAnsi="Verdana"/>
      <w:color w:val="000000" w:themeColor="text1"/>
      <w:sz w:val="20"/>
    </w:rPr>
  </w:style>
  <w:style w:type="character" w:customStyle="1" w:styleId="BTNumbListChar">
    <w:name w:val="BTNumbList Char"/>
    <w:basedOn w:val="DefaultParagraphFont"/>
    <w:link w:val="NumbList1"/>
    <w:uiPriority w:val="14"/>
    <w:rPr>
      <w:rFonts w:ascii="Verdana" w:hAnsi="Verdana"/>
      <w:color w:val="000000" w:themeColor="text1"/>
      <w:sz w:val="20"/>
    </w:rPr>
  </w:style>
  <w:style w:type="paragraph" w:styleId="TOCHeading">
    <w:name w:val="TOC Heading"/>
    <w:basedOn w:val="Heading1"/>
    <w:next w:val="Normal"/>
    <w:uiPriority w:val="39"/>
    <w:unhideWhenUsed/>
    <w:qFormat/>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pPr>
      <w:tabs>
        <w:tab w:val="left" w:pos="440"/>
        <w:tab w:val="right" w:leader="dot" w:pos="9062"/>
      </w:tabs>
      <w:spacing w:after="100"/>
    </w:pPr>
    <w:rPr>
      <w:rFonts w:ascii="Times New Roman" w:hAnsi="Times New Roman" w:cs="Times New Roman"/>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sz w:val="24"/>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sz w:val="24"/>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z w:val="24"/>
      <w:szCs w:val="28"/>
    </w:rPr>
  </w:style>
  <w:style w:type="character" w:customStyle="1" w:styleId="Heading5Char">
    <w:name w:val="Heading 5 Char"/>
    <w:basedOn w:val="DefaultParagraphFont"/>
    <w:link w:val="Heading5"/>
    <w:uiPriority w:val="9"/>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F3 Heading 1 - Section,(Section),h1,Numbered - 1,Section,Chapter Hdg,CH TITLE 1,Headline 1,cover1,intoduction,head1,Chapter Heading,IMPACT STUDY TITLE1,TITLE 1 NR,Lev 1,H1"/>
    <w:basedOn w:val="Normal"/>
    <w:next w:val="Normal"/>
    <w:link w:val="Heading1Char"/>
    <w:uiPriority w:val="9"/>
    <w:qFormat/>
    <w:pPr>
      <w:keepNext/>
      <w:keepLines/>
      <w:numPr>
        <w:numId w:val="47"/>
      </w:numPr>
      <w:spacing w:before="120" w:after="120" w:line="240" w:lineRule="auto"/>
      <w:outlineLvl w:val="0"/>
    </w:pPr>
    <w:rPr>
      <w:rFonts w:ascii="Verdana" w:eastAsiaTheme="majorEastAsia" w:hAnsi="Verdana" w:cstheme="majorBidi"/>
      <w:b/>
      <w:bCs/>
      <w:sz w:val="24"/>
      <w:szCs w:val="28"/>
    </w:rPr>
  </w:style>
  <w:style w:type="paragraph" w:styleId="Heading2">
    <w:name w:val="heading 2"/>
    <w:aliases w:val="Heading2,AnnexH2,ESHeading 2,BoxNumb,CaseStudy,Conclusion,Evidence,Recommendation,F4 Heading 2 - SubSection,(SubSection),h2,Para Nos,Para,Main Heading,Main Headi,Numbered - 2,(Main Heading),Paragraph,Sub Heading,ignorer2,Oscar Faber 2"/>
    <w:basedOn w:val="Normal"/>
    <w:next w:val="Normal"/>
    <w:link w:val="Heading2Char"/>
    <w:uiPriority w:val="4"/>
    <w:qFormat/>
    <w:pPr>
      <w:keepNext/>
      <w:keepLines/>
      <w:numPr>
        <w:ilvl w:val="1"/>
        <w:numId w:val="47"/>
      </w:numPr>
      <w:spacing w:before="120" w:after="120" w:line="240" w:lineRule="auto"/>
      <w:outlineLvl w:val="1"/>
    </w:pPr>
    <w:rPr>
      <w:rFonts w:ascii="Verdana" w:eastAsiaTheme="majorEastAsia" w:hAnsi="Verdana" w:cstheme="majorBidi"/>
      <w:b/>
      <w:bCs/>
      <w:szCs w:val="26"/>
    </w:rPr>
  </w:style>
  <w:style w:type="paragraph" w:styleId="Heading3">
    <w:name w:val="heading 3"/>
    <w:aliases w:val="Heading3,AnnexH3,ESHeading 3,Box,Stage,F5 Heading 3,h3,Numbered - 3,H3,H31,Headline 3,h31,h32,Sub Paragraph,Voorwoord,ASAPHeading 3,Level 1 - 1,Heading 3 - old,heading 3,Heading 2.3,1.2.3.,Titles,(Alt+3),(Alt+3)1,(Alt+3)2,(Alt+3)3,(Alt+3)4,3,0"/>
    <w:basedOn w:val="Normal"/>
    <w:next w:val="Normal"/>
    <w:link w:val="Heading3Char"/>
    <w:uiPriority w:val="4"/>
    <w:qFormat/>
    <w:pPr>
      <w:keepNext/>
      <w:keepLines/>
      <w:numPr>
        <w:ilvl w:val="2"/>
        <w:numId w:val="47"/>
      </w:numPr>
      <w:spacing w:before="120" w:after="120" w:line="240" w:lineRule="auto"/>
      <w:outlineLvl w:val="2"/>
    </w:pPr>
    <w:rPr>
      <w:rFonts w:ascii="Verdana" w:eastAsiaTheme="majorEastAsia" w:hAnsi="Verdana" w:cstheme="majorBidi"/>
      <w:b/>
      <w:bCs/>
      <w:sz w:val="20"/>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uiPriority w:val="4"/>
    <w:qFormat/>
    <w:pPr>
      <w:keepNext/>
      <w:keepLines/>
      <w:numPr>
        <w:ilvl w:val="3"/>
        <w:numId w:val="47"/>
      </w:numPr>
      <w:spacing w:before="120" w:after="120" w:line="240" w:lineRule="auto"/>
      <w:outlineLvl w:val="3"/>
    </w:pPr>
    <w:rPr>
      <w:rFonts w:ascii="Verdana" w:eastAsiaTheme="majorEastAsia" w:hAnsi="Verdana" w:cstheme="majorBidi"/>
      <w:b/>
      <w:bCs/>
      <w:iCs/>
      <w:color w:val="000000" w:themeColor="text1"/>
      <w:sz w:val="20"/>
    </w:rPr>
  </w:style>
  <w:style w:type="paragraph" w:styleId="Heading5">
    <w:name w:val="heading 5"/>
    <w:basedOn w:val="Normal"/>
    <w:next w:val="Normal"/>
    <w:link w:val="Heading5Char"/>
    <w:uiPriority w:val="9"/>
    <w:unhideWhenUsed/>
    <w:qFormat/>
    <w:pPr>
      <w:keepNext/>
      <w:jc w:val="both"/>
      <w:outlineLvl w:val="4"/>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Hyperlink1">
    <w:name w:val="Hyperlink1"/>
    <w:basedOn w:val="DefaultParagraphFont"/>
  </w:style>
  <w:style w:type="character" w:customStyle="1" w:styleId="tab">
    <w:name w:val="tab"/>
    <w:basedOn w:val="DefaultParagraphFont"/>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A13">
    <w:name w:val="A13"/>
    <w:uiPriority w:val="99"/>
    <w:rPr>
      <w:rFonts w:cs="Myriad Pro"/>
      <w:color w:val="000000"/>
      <w:sz w:val="11"/>
      <w:szCs w:val="11"/>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ootnote,Fußnote,Schriftart: 9 pt,Schriftart: 10 pt,Schriftart: 8 pt,o,Testo nota a piè di pagina Carattere,Footnote text,Testo nota a piè di pagina Carattere1 Carattere,Testo nota a piè di pagina Carattere Carattere Carattere,fn,Fuﬂnote,f"/>
    <w:basedOn w:val="Normal"/>
    <w:link w:val="FootnoteTextChar"/>
    <w:unhideWhenUsed/>
    <w:qFormat/>
    <w:pPr>
      <w:spacing w:after="0" w:line="240" w:lineRule="auto"/>
    </w:pPr>
    <w:rPr>
      <w:sz w:val="20"/>
      <w:szCs w:val="20"/>
    </w:rPr>
  </w:style>
  <w:style w:type="character" w:customStyle="1" w:styleId="FootnoteTextChar">
    <w:name w:val="Footnote Text Char"/>
    <w:aliases w:val="Footnote Char,Fußnote Char,Schriftart: 9 pt Char,Schriftart: 10 pt Char,Schriftart: 8 pt Char,o Char,Testo nota a piè di pagina Carattere Char,Footnote text Char,Testo nota a piè di pagina Carattere1 Carattere Char,fn Char,f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BVIfnrCarCarCarCarCharCharCharCharCar"/>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Default">
    <w:name w:val="Default"/>
    <w:link w:val="DefaultChar"/>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character" w:customStyle="1" w:styleId="BodyTextChar">
    <w:name w:val="Body Text Char"/>
    <w:aliases w:val="Document Char,Doc Char,Body Text2 Char,doc Char,Standard paragraph Char,(Norm) Char,Body Text 12 Char,bt Char,gl Char,uvlaka 2 Char,heading3 Char,Body Text - Level 2 Char,1body Char,BodText Char,body text Char,Body Txt Char,Text Char"/>
    <w:basedOn w:val="DefaultParagraphFont"/>
    <w:link w:val="BodyText"/>
    <w:uiPriority w:val="1"/>
    <w:qFormat/>
    <w:locked/>
    <w:rPr>
      <w:rFonts w:ascii="Verdana" w:hAnsi="Verdana"/>
      <w:color w:val="000000" w:themeColor="text1"/>
      <w:sz w:val="20"/>
    </w:rPr>
  </w:style>
  <w:style w:type="paragraph" w:styleId="BodyText">
    <w:name w:val="Body Text"/>
    <w:aliases w:val="Document,Doc,Body Text2,doc,Standard paragraph,(Norm),Body Text 12,bt,gl,uvlaka 2,heading3,Body Text - Level 2,1body,BodText,body text,Body Txt,Body Text-10,Body Text Char2,Text Char1,Text,Τίτλος Μελέτης,- TF,b,F4 Main Text,-,b., (Norm),- "/>
    <w:basedOn w:val="Normal"/>
    <w:link w:val="BodyTextChar"/>
    <w:uiPriority w:val="1"/>
    <w:unhideWhenUsed/>
    <w:qFormat/>
    <w:pPr>
      <w:spacing w:before="120" w:after="120" w:line="240" w:lineRule="auto"/>
    </w:pPr>
    <w:rPr>
      <w:rFonts w:ascii="Verdana" w:hAnsi="Verdana"/>
      <w:color w:val="000000" w:themeColor="text1"/>
      <w:sz w:val="20"/>
    </w:rPr>
  </w:style>
  <w:style w:type="character" w:customStyle="1" w:styleId="BodyTextChar1">
    <w:name w:val="Body Text Char1"/>
    <w:basedOn w:val="DefaultParagraphFont"/>
    <w:uiPriority w:val="99"/>
    <w:semiHidden/>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19"/>
    <w:pPr>
      <w:spacing w:after="160" w:line="240" w:lineRule="exact"/>
    </w:pPr>
    <w:rPr>
      <w:vertAlign w:val="superscript"/>
    </w:rPr>
  </w:style>
  <w:style w:type="paragraph" w:customStyle="1" w:styleId="Tim">
    <w:name w:val="Tim"/>
    <w:basedOn w:val="FootnoteText"/>
  </w:style>
  <w:style w:type="paragraph" w:customStyle="1" w:styleId="Times">
    <w:name w:val="Times"/>
    <w:basedOn w:val="Tim"/>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aliases w:val="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CM4">
    <w:name w:val="CM4"/>
    <w:basedOn w:val="Default"/>
    <w:next w:val="Default"/>
    <w:uiPriority w:val="99"/>
    <w:rPr>
      <w:rFonts w:ascii="EUAlbertina" w:eastAsia="Times New Roman" w:hAnsi="EUAlbertina" w:cs="Times New Roman"/>
      <w:color w:val="auto"/>
      <w:lang w:eastAsia="en-GB"/>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igureTitle">
    <w:name w:val="Figure Title"/>
    <w:basedOn w:val="Normal"/>
    <w:uiPriority w:val="29"/>
    <w:qFormat/>
    <w:pPr>
      <w:keepNext/>
      <w:keepLines/>
      <w:numPr>
        <w:numId w:val="35"/>
      </w:numPr>
      <w:spacing w:before="120" w:after="120" w:line="240" w:lineRule="auto"/>
      <w:outlineLvl w:val="4"/>
    </w:pPr>
    <w:rPr>
      <w:rFonts w:ascii="Verdana" w:eastAsiaTheme="majorEastAsia" w:hAnsi="Verdana" w:cstheme="majorBidi"/>
      <w:bCs/>
      <w:i/>
      <w:sz w:val="20"/>
    </w:rPr>
  </w:style>
  <w:style w:type="numbering" w:customStyle="1" w:styleId="NumbListFigures">
    <w:name w:val="NumbList Figures"/>
    <w:uiPriority w:val="99"/>
    <w:pPr>
      <w:numPr>
        <w:numId w:val="36"/>
      </w:numPr>
    </w:pPr>
  </w:style>
  <w:style w:type="character" w:customStyle="1" w:styleId="DeltaViewInsertion">
    <w:name w:val="DeltaView Insertion"/>
    <w:rPr>
      <w:b/>
      <w:i/>
      <w:spacing w:val="0"/>
    </w:rPr>
  </w:style>
  <w:style w:type="character" w:customStyle="1" w:styleId="DeltaViewDeletion">
    <w:name w:val="DeltaView Deletion"/>
    <w:rPr>
      <w:strike/>
      <w:spacing w:val="0"/>
    </w:rPr>
  </w:style>
  <w:style w:type="character" w:customStyle="1" w:styleId="DefaultChar">
    <w:name w:val="Default Char"/>
    <w:basedOn w:val="DefaultParagraphFont"/>
    <w:link w:val="Default"/>
    <w:rPr>
      <w:rFonts w:ascii="Verdana" w:hAnsi="Verdana" w:cs="Verdana"/>
      <w:color w:val="000000"/>
      <w:sz w:val="24"/>
      <w:szCs w:val="24"/>
    </w:rPr>
  </w:style>
  <w:style w:type="paragraph" w:styleId="Revision">
    <w:name w:val="Revision"/>
    <w:hidden/>
    <w:uiPriority w:val="99"/>
    <w:semiHidden/>
    <w:pPr>
      <w:spacing w:after="0" w:line="240" w:lineRule="auto"/>
    </w:pPr>
  </w:style>
  <w:style w:type="character" w:customStyle="1" w:styleId="Heading1Char">
    <w:name w:val="Heading 1 Char"/>
    <w:aliases w:val="Heading1 Char,AnnexHeading Char,AnnexHeading NoPage Char,ESHeading 1 Char,Heading 1NoSpace Char,F3 Heading 1 - Section Char,(Section) Char,h1 Char,Numbered - 1 Char,Section Char,Chapter Hdg Char,CH TITLE 1 Char,Headline 1 Char,cover1 Char"/>
    <w:basedOn w:val="DefaultParagraphFont"/>
    <w:link w:val="Heading1"/>
    <w:uiPriority w:val="4"/>
    <w:rPr>
      <w:rFonts w:ascii="Verdana" w:eastAsiaTheme="majorEastAsia" w:hAnsi="Verdana" w:cstheme="majorBidi"/>
      <w:b/>
      <w:bCs/>
      <w:sz w:val="24"/>
      <w:szCs w:val="28"/>
    </w:rPr>
  </w:style>
  <w:style w:type="character" w:customStyle="1" w:styleId="Heading2Char">
    <w:name w:val="Heading 2 Char"/>
    <w:aliases w:val="Heading2 Char,AnnexH2 Char,ESHeading 2 Char,BoxNumb Char,CaseStudy Char,Conclusion Char,Evidence Char,Recommendation Char,F4 Heading 2 - SubSection Char,(SubSection) Char,h2 Char,Para Nos Char,Para Char,Main Heading Char,Main Headi Char"/>
    <w:basedOn w:val="DefaultParagraphFont"/>
    <w:link w:val="Heading2"/>
    <w:uiPriority w:val="4"/>
    <w:rPr>
      <w:rFonts w:ascii="Verdana" w:eastAsiaTheme="majorEastAsia" w:hAnsi="Verdana" w:cstheme="majorBidi"/>
      <w:b/>
      <w:bCs/>
      <w:szCs w:val="26"/>
    </w:rPr>
  </w:style>
  <w:style w:type="character" w:customStyle="1" w:styleId="Heading3Char">
    <w:name w:val="Heading 3 Char"/>
    <w:aliases w:val="Heading3 Char,AnnexH3 Char,ESHeading 3 Char,Box Char,Stage Char,F5 Heading 3 Char,h3 Char,Numbered - 3 Char,H3 Char,H31 Char,Headline 3 Char,h31 Char,h32 Char,Sub Paragraph Char,Voorwoord Char,ASAPHeading 3 Char,Level 1 - 1 Char,3 Char"/>
    <w:basedOn w:val="DefaultParagraphFont"/>
    <w:link w:val="Heading3"/>
    <w:uiPriority w:val="4"/>
    <w:rPr>
      <w:rFonts w:ascii="Verdana" w:eastAsiaTheme="majorEastAsia" w:hAnsi="Verdana" w:cstheme="majorBidi"/>
      <w:b/>
      <w:bCs/>
      <w:sz w:val="20"/>
    </w:r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uiPriority w:val="4"/>
    <w:rPr>
      <w:rFonts w:ascii="Verdana" w:eastAsiaTheme="majorEastAsia" w:hAnsi="Verdana" w:cstheme="majorBidi"/>
      <w:b/>
      <w:bCs/>
      <w:iCs/>
      <w:color w:val="000000" w:themeColor="text1"/>
      <w:sz w:val="20"/>
    </w:rPr>
  </w:style>
  <w:style w:type="paragraph" w:customStyle="1" w:styleId="TableSource">
    <w:name w:val="TableSource"/>
    <w:basedOn w:val="Normal"/>
    <w:next w:val="Normal"/>
    <w:uiPriority w:val="33"/>
    <w:qFormat/>
    <w:pPr>
      <w:spacing w:before="120" w:after="120" w:line="240" w:lineRule="auto"/>
    </w:pPr>
    <w:rPr>
      <w:rFonts w:ascii="Verdana" w:hAnsi="Verdana"/>
      <w:i/>
      <w:color w:val="000000" w:themeColor="text1"/>
      <w:sz w:val="20"/>
    </w:rPr>
  </w:style>
  <w:style w:type="numbering" w:customStyle="1" w:styleId="NumbListHeading">
    <w:name w:val="NumbListHeading"/>
    <w:aliases w:val="NumbLstAnnex,NumbLstBoxes,NumbLstExecSumm,NumbLstMain,NumbLstStage,NumbLstTableSimpleNo"/>
    <w:uiPriority w:val="99"/>
    <w:pPr>
      <w:numPr>
        <w:numId w:val="46"/>
      </w:numPr>
    </w:pPr>
  </w:style>
  <w:style w:type="numbering" w:customStyle="1" w:styleId="Bullets">
    <w:name w:val="Bullets"/>
    <w:aliases w:val="NumbLstBTBullet,NumbLstBullet"/>
    <w:uiPriority w:val="99"/>
    <w:pPr>
      <w:numPr>
        <w:numId w:val="49"/>
      </w:numPr>
    </w:pPr>
  </w:style>
  <w:style w:type="paragraph" w:customStyle="1" w:styleId="Bullet1">
    <w:name w:val="Bullet 1"/>
    <w:aliases w:val="Bullet1,BTBullet1"/>
    <w:basedOn w:val="Normal"/>
    <w:uiPriority w:val="6"/>
    <w:qFormat/>
    <w:pPr>
      <w:numPr>
        <w:numId w:val="49"/>
      </w:numPr>
      <w:spacing w:before="120" w:after="120" w:line="240" w:lineRule="auto"/>
      <w:contextualSpacing/>
    </w:pPr>
    <w:rPr>
      <w:rFonts w:ascii="Verdana" w:hAnsi="Verdana"/>
      <w:color w:val="000000" w:themeColor="text1"/>
      <w:sz w:val="20"/>
    </w:rPr>
  </w:style>
  <w:style w:type="paragraph" w:customStyle="1" w:styleId="Bullet2">
    <w:name w:val="Bullet 2"/>
    <w:aliases w:val="Bullet2,BTBullet2"/>
    <w:basedOn w:val="Normal"/>
    <w:uiPriority w:val="6"/>
    <w:qFormat/>
    <w:pPr>
      <w:numPr>
        <w:ilvl w:val="1"/>
        <w:numId w:val="49"/>
      </w:numPr>
      <w:spacing w:before="120" w:after="120" w:line="240" w:lineRule="auto"/>
      <w:contextualSpacing/>
    </w:pPr>
    <w:rPr>
      <w:rFonts w:ascii="Verdana" w:hAnsi="Verdana"/>
      <w:color w:val="000000" w:themeColor="text1"/>
      <w:sz w:val="20"/>
    </w:rPr>
  </w:style>
  <w:style w:type="paragraph" w:customStyle="1" w:styleId="Bullet1Space">
    <w:name w:val="Bullet 1 Space"/>
    <w:aliases w:val="Bullet1Last,BTBullet1Last"/>
    <w:basedOn w:val="Bullet1"/>
    <w:link w:val="BTBullet1LastChar"/>
    <w:uiPriority w:val="11"/>
    <w:qFormat/>
    <w:pPr>
      <w:contextualSpacing w:val="0"/>
    </w:pPr>
  </w:style>
  <w:style w:type="paragraph" w:customStyle="1" w:styleId="Bullet3">
    <w:name w:val="Bullet 3"/>
    <w:aliases w:val="Bullet3,BTBullet3"/>
    <w:basedOn w:val="Bullet2"/>
    <w:uiPriority w:val="6"/>
    <w:qFormat/>
    <w:pPr>
      <w:numPr>
        <w:ilvl w:val="2"/>
      </w:numPr>
    </w:pPr>
  </w:style>
  <w:style w:type="character" w:customStyle="1" w:styleId="BTBullet1LastChar">
    <w:name w:val="BTBullet1Last Char"/>
    <w:link w:val="Bullet1Space"/>
    <w:uiPriority w:val="11"/>
    <w:locked/>
    <w:rPr>
      <w:rFonts w:ascii="Verdana" w:hAnsi="Verdana"/>
      <w:color w:val="000000" w:themeColor="text1"/>
      <w:sz w:val="20"/>
    </w:rPr>
  </w:style>
  <w:style w:type="paragraph" w:customStyle="1" w:styleId="TableTitle">
    <w:name w:val="TableTitle"/>
    <w:aliases w:val="Table,AnnexTable,AnnexFigure,Figure,ESTable,ESTableLeft,TableSimpleNo,TableLeft,ESFigure,ESFigureLeft"/>
    <w:basedOn w:val="Heading3"/>
    <w:link w:val="TableChar"/>
    <w:uiPriority w:val="11"/>
    <w:qFormat/>
    <w:pPr>
      <w:numPr>
        <w:ilvl w:val="0"/>
        <w:numId w:val="51"/>
      </w:numPr>
    </w:pPr>
    <w:rPr>
      <w:b w:val="0"/>
      <w:i/>
    </w:rPr>
  </w:style>
  <w:style w:type="paragraph" w:customStyle="1" w:styleId="TableHeading">
    <w:name w:val="TableHeading"/>
    <w:aliases w:val="TableHeadingWhite"/>
    <w:basedOn w:val="Normal"/>
    <w:uiPriority w:val="6"/>
    <w:qFormat/>
    <w:pPr>
      <w:spacing w:before="120" w:after="0" w:line="240" w:lineRule="auto"/>
      <w:ind w:left="113"/>
    </w:pPr>
    <w:rPr>
      <w:rFonts w:ascii="Verdana" w:hAnsi="Verdana"/>
      <w:b/>
      <w:color w:val="FFFFFF" w:themeColor="background1"/>
      <w:sz w:val="20"/>
    </w:rPr>
  </w:style>
  <w:style w:type="paragraph" w:customStyle="1" w:styleId="TableText">
    <w:name w:val="TableText"/>
    <w:aliases w:val="TableTextNoSpace"/>
    <w:basedOn w:val="Normal"/>
    <w:uiPriority w:val="31"/>
    <w:qFormat/>
    <w:pPr>
      <w:spacing w:before="120" w:after="0" w:line="240" w:lineRule="auto"/>
      <w:ind w:left="113"/>
    </w:pPr>
    <w:rPr>
      <w:rFonts w:ascii="Verdana" w:hAnsi="Verdana"/>
      <w:color w:val="000000" w:themeColor="text1"/>
      <w:sz w:val="20"/>
    </w:rPr>
  </w:style>
  <w:style w:type="numbering" w:customStyle="1" w:styleId="NumblistTables">
    <w:name w:val="Numblist Tables"/>
    <w:uiPriority w:val="99"/>
    <w:pPr>
      <w:numPr>
        <w:numId w:val="51"/>
      </w:numPr>
    </w:pPr>
  </w:style>
  <w:style w:type="character" w:customStyle="1" w:styleId="TableChar">
    <w:name w:val="Table Char"/>
    <w:basedOn w:val="DefaultParagraphFont"/>
    <w:link w:val="TableTitle"/>
    <w:uiPriority w:val="11"/>
    <w:rPr>
      <w:rFonts w:ascii="Verdana" w:eastAsiaTheme="majorEastAsia" w:hAnsi="Verdana" w:cstheme="majorBidi"/>
      <w:bCs/>
      <w:i/>
      <w:sz w:val="20"/>
    </w:rPr>
  </w:style>
  <w:style w:type="numbering" w:customStyle="1" w:styleId="NumbListNumb">
    <w:name w:val="NumbList Numb"/>
    <w:aliases w:val="NumbLstNumb,BTNumbLstNumb"/>
    <w:uiPriority w:val="99"/>
    <w:pPr>
      <w:numPr>
        <w:numId w:val="60"/>
      </w:numPr>
    </w:pPr>
  </w:style>
  <w:style w:type="paragraph" w:customStyle="1" w:styleId="NumbList1">
    <w:name w:val="NumbList 1"/>
    <w:aliases w:val="Numblist1,Numblist,BTNumbList"/>
    <w:basedOn w:val="Normal"/>
    <w:link w:val="BTNumbListChar"/>
    <w:uiPriority w:val="14"/>
    <w:qFormat/>
    <w:pPr>
      <w:numPr>
        <w:numId w:val="61"/>
      </w:numPr>
      <w:spacing w:before="120" w:after="120" w:line="240" w:lineRule="auto"/>
      <w:contextualSpacing/>
    </w:pPr>
    <w:rPr>
      <w:rFonts w:ascii="Verdana" w:hAnsi="Verdana"/>
      <w:color w:val="000000" w:themeColor="text1"/>
      <w:sz w:val="20"/>
    </w:rPr>
  </w:style>
  <w:style w:type="paragraph" w:customStyle="1" w:styleId="NumbList2">
    <w:name w:val="NumbList 2"/>
    <w:aliases w:val="NumbList2,BTNumbList2"/>
    <w:basedOn w:val="Normal"/>
    <w:uiPriority w:val="14"/>
    <w:qFormat/>
    <w:pPr>
      <w:numPr>
        <w:ilvl w:val="1"/>
        <w:numId w:val="61"/>
      </w:numPr>
      <w:spacing w:before="120" w:after="120" w:line="240" w:lineRule="auto"/>
      <w:contextualSpacing/>
    </w:pPr>
    <w:rPr>
      <w:rFonts w:ascii="Verdana" w:hAnsi="Verdana"/>
      <w:color w:val="000000" w:themeColor="text1"/>
      <w:sz w:val="20"/>
    </w:rPr>
  </w:style>
  <w:style w:type="paragraph" w:customStyle="1" w:styleId="NumbList3">
    <w:name w:val="NumbList 3"/>
    <w:aliases w:val="NumbList3,BTNumbList3"/>
    <w:basedOn w:val="Normal"/>
    <w:uiPriority w:val="14"/>
    <w:qFormat/>
    <w:pPr>
      <w:numPr>
        <w:ilvl w:val="2"/>
        <w:numId w:val="61"/>
      </w:numPr>
      <w:spacing w:before="120" w:after="120" w:line="240" w:lineRule="auto"/>
    </w:pPr>
    <w:rPr>
      <w:rFonts w:ascii="Verdana" w:hAnsi="Verdana"/>
      <w:color w:val="000000" w:themeColor="text1"/>
      <w:sz w:val="20"/>
    </w:rPr>
  </w:style>
  <w:style w:type="character" w:customStyle="1" w:styleId="BTNumbListChar">
    <w:name w:val="BTNumbList Char"/>
    <w:basedOn w:val="DefaultParagraphFont"/>
    <w:link w:val="NumbList1"/>
    <w:uiPriority w:val="14"/>
    <w:rPr>
      <w:rFonts w:ascii="Verdana" w:hAnsi="Verdana"/>
      <w:color w:val="000000" w:themeColor="text1"/>
      <w:sz w:val="20"/>
    </w:rPr>
  </w:style>
  <w:style w:type="paragraph" w:styleId="TOCHeading">
    <w:name w:val="TOC Heading"/>
    <w:basedOn w:val="Heading1"/>
    <w:next w:val="Normal"/>
    <w:uiPriority w:val="39"/>
    <w:unhideWhenUsed/>
    <w:qFormat/>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pPr>
      <w:tabs>
        <w:tab w:val="left" w:pos="440"/>
        <w:tab w:val="right" w:leader="dot" w:pos="9062"/>
      </w:tabs>
      <w:spacing w:after="100"/>
    </w:pPr>
    <w:rPr>
      <w:rFonts w:ascii="Times New Roman" w:hAnsi="Times New Roman" w:cs="Times New Roman"/>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sz w:val="24"/>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sz w:val="24"/>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z w:val="24"/>
      <w:szCs w:val="28"/>
    </w:rPr>
  </w:style>
  <w:style w:type="character" w:customStyle="1" w:styleId="Heading5Char">
    <w:name w:val="Heading 5 Char"/>
    <w:basedOn w:val="DefaultParagraphFont"/>
    <w:link w:val="Heading5"/>
    <w:uiPriority w:val="9"/>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747">
      <w:bodyDiv w:val="1"/>
      <w:marLeft w:val="0"/>
      <w:marRight w:val="0"/>
      <w:marTop w:val="0"/>
      <w:marBottom w:val="0"/>
      <w:divBdr>
        <w:top w:val="none" w:sz="0" w:space="0" w:color="auto"/>
        <w:left w:val="none" w:sz="0" w:space="0" w:color="auto"/>
        <w:bottom w:val="none" w:sz="0" w:space="0" w:color="auto"/>
        <w:right w:val="none" w:sz="0" w:space="0" w:color="auto"/>
      </w:divBdr>
    </w:div>
    <w:div w:id="30425065">
      <w:bodyDiv w:val="1"/>
      <w:marLeft w:val="0"/>
      <w:marRight w:val="0"/>
      <w:marTop w:val="0"/>
      <w:marBottom w:val="0"/>
      <w:divBdr>
        <w:top w:val="none" w:sz="0" w:space="0" w:color="auto"/>
        <w:left w:val="none" w:sz="0" w:space="0" w:color="auto"/>
        <w:bottom w:val="none" w:sz="0" w:space="0" w:color="auto"/>
        <w:right w:val="none" w:sz="0" w:space="0" w:color="auto"/>
      </w:divBdr>
    </w:div>
    <w:div w:id="105002006">
      <w:bodyDiv w:val="1"/>
      <w:marLeft w:val="0"/>
      <w:marRight w:val="0"/>
      <w:marTop w:val="0"/>
      <w:marBottom w:val="0"/>
      <w:divBdr>
        <w:top w:val="none" w:sz="0" w:space="0" w:color="auto"/>
        <w:left w:val="none" w:sz="0" w:space="0" w:color="auto"/>
        <w:bottom w:val="none" w:sz="0" w:space="0" w:color="auto"/>
        <w:right w:val="none" w:sz="0" w:space="0" w:color="auto"/>
      </w:divBdr>
    </w:div>
    <w:div w:id="143738843">
      <w:bodyDiv w:val="1"/>
      <w:marLeft w:val="0"/>
      <w:marRight w:val="0"/>
      <w:marTop w:val="0"/>
      <w:marBottom w:val="0"/>
      <w:divBdr>
        <w:top w:val="none" w:sz="0" w:space="0" w:color="auto"/>
        <w:left w:val="none" w:sz="0" w:space="0" w:color="auto"/>
        <w:bottom w:val="none" w:sz="0" w:space="0" w:color="auto"/>
        <w:right w:val="none" w:sz="0" w:space="0" w:color="auto"/>
      </w:divBdr>
      <w:divsChild>
        <w:div w:id="976032830">
          <w:marLeft w:val="274"/>
          <w:marRight w:val="0"/>
          <w:marTop w:val="0"/>
          <w:marBottom w:val="0"/>
          <w:divBdr>
            <w:top w:val="none" w:sz="0" w:space="0" w:color="auto"/>
            <w:left w:val="none" w:sz="0" w:space="0" w:color="auto"/>
            <w:bottom w:val="none" w:sz="0" w:space="0" w:color="auto"/>
            <w:right w:val="none" w:sz="0" w:space="0" w:color="auto"/>
          </w:divBdr>
        </w:div>
        <w:div w:id="400519453">
          <w:marLeft w:val="274"/>
          <w:marRight w:val="0"/>
          <w:marTop w:val="0"/>
          <w:marBottom w:val="0"/>
          <w:divBdr>
            <w:top w:val="none" w:sz="0" w:space="0" w:color="auto"/>
            <w:left w:val="none" w:sz="0" w:space="0" w:color="auto"/>
            <w:bottom w:val="none" w:sz="0" w:space="0" w:color="auto"/>
            <w:right w:val="none" w:sz="0" w:space="0" w:color="auto"/>
          </w:divBdr>
        </w:div>
      </w:divsChild>
    </w:div>
    <w:div w:id="173956444">
      <w:bodyDiv w:val="1"/>
      <w:marLeft w:val="0"/>
      <w:marRight w:val="0"/>
      <w:marTop w:val="0"/>
      <w:marBottom w:val="0"/>
      <w:divBdr>
        <w:top w:val="none" w:sz="0" w:space="0" w:color="auto"/>
        <w:left w:val="none" w:sz="0" w:space="0" w:color="auto"/>
        <w:bottom w:val="none" w:sz="0" w:space="0" w:color="auto"/>
        <w:right w:val="none" w:sz="0" w:space="0" w:color="auto"/>
      </w:divBdr>
    </w:div>
    <w:div w:id="325793300">
      <w:bodyDiv w:val="1"/>
      <w:marLeft w:val="0"/>
      <w:marRight w:val="0"/>
      <w:marTop w:val="0"/>
      <w:marBottom w:val="0"/>
      <w:divBdr>
        <w:top w:val="none" w:sz="0" w:space="0" w:color="auto"/>
        <w:left w:val="none" w:sz="0" w:space="0" w:color="auto"/>
        <w:bottom w:val="none" w:sz="0" w:space="0" w:color="auto"/>
        <w:right w:val="none" w:sz="0" w:space="0" w:color="auto"/>
      </w:divBdr>
    </w:div>
    <w:div w:id="336810454">
      <w:bodyDiv w:val="1"/>
      <w:marLeft w:val="0"/>
      <w:marRight w:val="0"/>
      <w:marTop w:val="0"/>
      <w:marBottom w:val="0"/>
      <w:divBdr>
        <w:top w:val="none" w:sz="0" w:space="0" w:color="auto"/>
        <w:left w:val="none" w:sz="0" w:space="0" w:color="auto"/>
        <w:bottom w:val="none" w:sz="0" w:space="0" w:color="auto"/>
        <w:right w:val="none" w:sz="0" w:space="0" w:color="auto"/>
      </w:divBdr>
    </w:div>
    <w:div w:id="350230839">
      <w:bodyDiv w:val="1"/>
      <w:marLeft w:val="0"/>
      <w:marRight w:val="0"/>
      <w:marTop w:val="0"/>
      <w:marBottom w:val="0"/>
      <w:divBdr>
        <w:top w:val="none" w:sz="0" w:space="0" w:color="auto"/>
        <w:left w:val="none" w:sz="0" w:space="0" w:color="auto"/>
        <w:bottom w:val="none" w:sz="0" w:space="0" w:color="auto"/>
        <w:right w:val="none" w:sz="0" w:space="0" w:color="auto"/>
      </w:divBdr>
    </w:div>
    <w:div w:id="415328174">
      <w:bodyDiv w:val="1"/>
      <w:marLeft w:val="0"/>
      <w:marRight w:val="0"/>
      <w:marTop w:val="0"/>
      <w:marBottom w:val="0"/>
      <w:divBdr>
        <w:top w:val="none" w:sz="0" w:space="0" w:color="auto"/>
        <w:left w:val="none" w:sz="0" w:space="0" w:color="auto"/>
        <w:bottom w:val="none" w:sz="0" w:space="0" w:color="auto"/>
        <w:right w:val="none" w:sz="0" w:space="0" w:color="auto"/>
      </w:divBdr>
    </w:div>
    <w:div w:id="517014089">
      <w:bodyDiv w:val="1"/>
      <w:marLeft w:val="0"/>
      <w:marRight w:val="0"/>
      <w:marTop w:val="0"/>
      <w:marBottom w:val="0"/>
      <w:divBdr>
        <w:top w:val="none" w:sz="0" w:space="0" w:color="auto"/>
        <w:left w:val="none" w:sz="0" w:space="0" w:color="auto"/>
        <w:bottom w:val="none" w:sz="0" w:space="0" w:color="auto"/>
        <w:right w:val="none" w:sz="0" w:space="0" w:color="auto"/>
      </w:divBdr>
    </w:div>
    <w:div w:id="531190906">
      <w:bodyDiv w:val="1"/>
      <w:marLeft w:val="0"/>
      <w:marRight w:val="0"/>
      <w:marTop w:val="0"/>
      <w:marBottom w:val="0"/>
      <w:divBdr>
        <w:top w:val="none" w:sz="0" w:space="0" w:color="auto"/>
        <w:left w:val="none" w:sz="0" w:space="0" w:color="auto"/>
        <w:bottom w:val="none" w:sz="0" w:space="0" w:color="auto"/>
        <w:right w:val="none" w:sz="0" w:space="0" w:color="auto"/>
      </w:divBdr>
    </w:div>
    <w:div w:id="656423963">
      <w:bodyDiv w:val="1"/>
      <w:marLeft w:val="0"/>
      <w:marRight w:val="0"/>
      <w:marTop w:val="0"/>
      <w:marBottom w:val="0"/>
      <w:divBdr>
        <w:top w:val="none" w:sz="0" w:space="0" w:color="auto"/>
        <w:left w:val="none" w:sz="0" w:space="0" w:color="auto"/>
        <w:bottom w:val="none" w:sz="0" w:space="0" w:color="auto"/>
        <w:right w:val="none" w:sz="0" w:space="0" w:color="auto"/>
      </w:divBdr>
    </w:div>
    <w:div w:id="772288295">
      <w:bodyDiv w:val="1"/>
      <w:marLeft w:val="0"/>
      <w:marRight w:val="0"/>
      <w:marTop w:val="0"/>
      <w:marBottom w:val="0"/>
      <w:divBdr>
        <w:top w:val="none" w:sz="0" w:space="0" w:color="auto"/>
        <w:left w:val="none" w:sz="0" w:space="0" w:color="auto"/>
        <w:bottom w:val="none" w:sz="0" w:space="0" w:color="auto"/>
        <w:right w:val="none" w:sz="0" w:space="0" w:color="auto"/>
      </w:divBdr>
      <w:divsChild>
        <w:div w:id="2086217732">
          <w:marLeft w:val="0"/>
          <w:marRight w:val="0"/>
          <w:marTop w:val="0"/>
          <w:marBottom w:val="0"/>
          <w:divBdr>
            <w:top w:val="none" w:sz="0" w:space="0" w:color="auto"/>
            <w:left w:val="none" w:sz="0" w:space="0" w:color="auto"/>
            <w:bottom w:val="none" w:sz="0" w:space="0" w:color="auto"/>
            <w:right w:val="none" w:sz="0" w:space="0" w:color="auto"/>
          </w:divBdr>
          <w:divsChild>
            <w:div w:id="1130052952">
              <w:marLeft w:val="0"/>
              <w:marRight w:val="0"/>
              <w:marTop w:val="0"/>
              <w:marBottom w:val="0"/>
              <w:divBdr>
                <w:top w:val="none" w:sz="0" w:space="0" w:color="auto"/>
                <w:left w:val="none" w:sz="0" w:space="0" w:color="auto"/>
                <w:bottom w:val="none" w:sz="0" w:space="0" w:color="auto"/>
                <w:right w:val="none" w:sz="0" w:space="0" w:color="auto"/>
              </w:divBdr>
              <w:divsChild>
                <w:div w:id="1762606109">
                  <w:marLeft w:val="0"/>
                  <w:marRight w:val="0"/>
                  <w:marTop w:val="0"/>
                  <w:marBottom w:val="0"/>
                  <w:divBdr>
                    <w:top w:val="none" w:sz="0" w:space="0" w:color="auto"/>
                    <w:left w:val="none" w:sz="0" w:space="0" w:color="auto"/>
                    <w:bottom w:val="none" w:sz="0" w:space="0" w:color="auto"/>
                    <w:right w:val="none" w:sz="0" w:space="0" w:color="auto"/>
                  </w:divBdr>
                  <w:divsChild>
                    <w:div w:id="253708129">
                      <w:marLeft w:val="1"/>
                      <w:marRight w:val="1"/>
                      <w:marTop w:val="0"/>
                      <w:marBottom w:val="0"/>
                      <w:divBdr>
                        <w:top w:val="none" w:sz="0" w:space="0" w:color="auto"/>
                        <w:left w:val="none" w:sz="0" w:space="0" w:color="auto"/>
                        <w:bottom w:val="none" w:sz="0" w:space="0" w:color="auto"/>
                        <w:right w:val="none" w:sz="0" w:space="0" w:color="auto"/>
                      </w:divBdr>
                      <w:divsChild>
                        <w:div w:id="2113813071">
                          <w:marLeft w:val="0"/>
                          <w:marRight w:val="0"/>
                          <w:marTop w:val="0"/>
                          <w:marBottom w:val="0"/>
                          <w:divBdr>
                            <w:top w:val="none" w:sz="0" w:space="0" w:color="auto"/>
                            <w:left w:val="none" w:sz="0" w:space="0" w:color="auto"/>
                            <w:bottom w:val="none" w:sz="0" w:space="0" w:color="auto"/>
                            <w:right w:val="none" w:sz="0" w:space="0" w:color="auto"/>
                          </w:divBdr>
                          <w:divsChild>
                            <w:div w:id="1438911532">
                              <w:marLeft w:val="0"/>
                              <w:marRight w:val="0"/>
                              <w:marTop w:val="0"/>
                              <w:marBottom w:val="360"/>
                              <w:divBdr>
                                <w:top w:val="none" w:sz="0" w:space="0" w:color="auto"/>
                                <w:left w:val="none" w:sz="0" w:space="0" w:color="auto"/>
                                <w:bottom w:val="none" w:sz="0" w:space="0" w:color="auto"/>
                                <w:right w:val="none" w:sz="0" w:space="0" w:color="auto"/>
                              </w:divBdr>
                              <w:divsChild>
                                <w:div w:id="1558131671">
                                  <w:marLeft w:val="0"/>
                                  <w:marRight w:val="0"/>
                                  <w:marTop w:val="0"/>
                                  <w:marBottom w:val="0"/>
                                  <w:divBdr>
                                    <w:top w:val="none" w:sz="0" w:space="0" w:color="auto"/>
                                    <w:left w:val="none" w:sz="0" w:space="0" w:color="auto"/>
                                    <w:bottom w:val="none" w:sz="0" w:space="0" w:color="auto"/>
                                    <w:right w:val="none" w:sz="0" w:space="0" w:color="auto"/>
                                  </w:divBdr>
                                  <w:divsChild>
                                    <w:div w:id="1705330071">
                                      <w:marLeft w:val="0"/>
                                      <w:marRight w:val="0"/>
                                      <w:marTop w:val="0"/>
                                      <w:marBottom w:val="0"/>
                                      <w:divBdr>
                                        <w:top w:val="none" w:sz="0" w:space="0" w:color="auto"/>
                                        <w:left w:val="none" w:sz="0" w:space="0" w:color="auto"/>
                                        <w:bottom w:val="none" w:sz="0" w:space="0" w:color="auto"/>
                                        <w:right w:val="none" w:sz="0" w:space="0" w:color="auto"/>
                                      </w:divBdr>
                                      <w:divsChild>
                                        <w:div w:id="1612468049">
                                          <w:marLeft w:val="0"/>
                                          <w:marRight w:val="0"/>
                                          <w:marTop w:val="0"/>
                                          <w:marBottom w:val="0"/>
                                          <w:divBdr>
                                            <w:top w:val="none" w:sz="0" w:space="0" w:color="auto"/>
                                            <w:left w:val="none" w:sz="0" w:space="0" w:color="auto"/>
                                            <w:bottom w:val="none" w:sz="0" w:space="0" w:color="auto"/>
                                            <w:right w:val="none" w:sz="0" w:space="0" w:color="auto"/>
                                          </w:divBdr>
                                          <w:divsChild>
                                            <w:div w:id="1053386461">
                                              <w:marLeft w:val="0"/>
                                              <w:marRight w:val="0"/>
                                              <w:marTop w:val="0"/>
                                              <w:marBottom w:val="0"/>
                                              <w:divBdr>
                                                <w:top w:val="none" w:sz="0" w:space="0" w:color="auto"/>
                                                <w:left w:val="none" w:sz="0" w:space="0" w:color="auto"/>
                                                <w:bottom w:val="none" w:sz="0" w:space="0" w:color="auto"/>
                                                <w:right w:val="none" w:sz="0" w:space="0" w:color="auto"/>
                                              </w:divBdr>
                                              <w:divsChild>
                                                <w:div w:id="235820897">
                                                  <w:marLeft w:val="0"/>
                                                  <w:marRight w:val="0"/>
                                                  <w:marTop w:val="0"/>
                                                  <w:marBottom w:val="0"/>
                                                  <w:divBdr>
                                                    <w:top w:val="none" w:sz="0" w:space="0" w:color="auto"/>
                                                    <w:left w:val="none" w:sz="0" w:space="0" w:color="auto"/>
                                                    <w:bottom w:val="none" w:sz="0" w:space="0" w:color="auto"/>
                                                    <w:right w:val="none" w:sz="0" w:space="0" w:color="auto"/>
                                                  </w:divBdr>
                                                  <w:divsChild>
                                                    <w:div w:id="1226973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865170556">
      <w:bodyDiv w:val="1"/>
      <w:marLeft w:val="0"/>
      <w:marRight w:val="0"/>
      <w:marTop w:val="0"/>
      <w:marBottom w:val="0"/>
      <w:divBdr>
        <w:top w:val="none" w:sz="0" w:space="0" w:color="auto"/>
        <w:left w:val="none" w:sz="0" w:space="0" w:color="auto"/>
        <w:bottom w:val="none" w:sz="0" w:space="0" w:color="auto"/>
        <w:right w:val="none" w:sz="0" w:space="0" w:color="auto"/>
      </w:divBdr>
    </w:div>
    <w:div w:id="892883464">
      <w:bodyDiv w:val="1"/>
      <w:marLeft w:val="0"/>
      <w:marRight w:val="0"/>
      <w:marTop w:val="0"/>
      <w:marBottom w:val="0"/>
      <w:divBdr>
        <w:top w:val="none" w:sz="0" w:space="0" w:color="auto"/>
        <w:left w:val="none" w:sz="0" w:space="0" w:color="auto"/>
        <w:bottom w:val="none" w:sz="0" w:space="0" w:color="auto"/>
        <w:right w:val="none" w:sz="0" w:space="0" w:color="auto"/>
      </w:divBdr>
    </w:div>
    <w:div w:id="947585696">
      <w:bodyDiv w:val="1"/>
      <w:marLeft w:val="0"/>
      <w:marRight w:val="0"/>
      <w:marTop w:val="0"/>
      <w:marBottom w:val="0"/>
      <w:divBdr>
        <w:top w:val="none" w:sz="0" w:space="0" w:color="auto"/>
        <w:left w:val="none" w:sz="0" w:space="0" w:color="auto"/>
        <w:bottom w:val="none" w:sz="0" w:space="0" w:color="auto"/>
        <w:right w:val="none" w:sz="0" w:space="0" w:color="auto"/>
      </w:divBdr>
    </w:div>
    <w:div w:id="971793217">
      <w:bodyDiv w:val="1"/>
      <w:marLeft w:val="0"/>
      <w:marRight w:val="0"/>
      <w:marTop w:val="0"/>
      <w:marBottom w:val="0"/>
      <w:divBdr>
        <w:top w:val="none" w:sz="0" w:space="0" w:color="auto"/>
        <w:left w:val="none" w:sz="0" w:space="0" w:color="auto"/>
        <w:bottom w:val="none" w:sz="0" w:space="0" w:color="auto"/>
        <w:right w:val="none" w:sz="0" w:space="0" w:color="auto"/>
      </w:divBdr>
    </w:div>
    <w:div w:id="982927656">
      <w:bodyDiv w:val="1"/>
      <w:marLeft w:val="0"/>
      <w:marRight w:val="0"/>
      <w:marTop w:val="0"/>
      <w:marBottom w:val="0"/>
      <w:divBdr>
        <w:top w:val="none" w:sz="0" w:space="0" w:color="auto"/>
        <w:left w:val="none" w:sz="0" w:space="0" w:color="auto"/>
        <w:bottom w:val="none" w:sz="0" w:space="0" w:color="auto"/>
        <w:right w:val="none" w:sz="0" w:space="0" w:color="auto"/>
      </w:divBdr>
    </w:div>
    <w:div w:id="986008247">
      <w:bodyDiv w:val="1"/>
      <w:marLeft w:val="0"/>
      <w:marRight w:val="0"/>
      <w:marTop w:val="0"/>
      <w:marBottom w:val="0"/>
      <w:divBdr>
        <w:top w:val="none" w:sz="0" w:space="0" w:color="auto"/>
        <w:left w:val="none" w:sz="0" w:space="0" w:color="auto"/>
        <w:bottom w:val="none" w:sz="0" w:space="0" w:color="auto"/>
        <w:right w:val="none" w:sz="0" w:space="0" w:color="auto"/>
      </w:divBdr>
    </w:div>
    <w:div w:id="999575738">
      <w:bodyDiv w:val="1"/>
      <w:marLeft w:val="0"/>
      <w:marRight w:val="0"/>
      <w:marTop w:val="0"/>
      <w:marBottom w:val="0"/>
      <w:divBdr>
        <w:top w:val="none" w:sz="0" w:space="0" w:color="auto"/>
        <w:left w:val="none" w:sz="0" w:space="0" w:color="auto"/>
        <w:bottom w:val="none" w:sz="0" w:space="0" w:color="auto"/>
        <w:right w:val="none" w:sz="0" w:space="0" w:color="auto"/>
      </w:divBdr>
    </w:div>
    <w:div w:id="1008144438">
      <w:bodyDiv w:val="1"/>
      <w:marLeft w:val="0"/>
      <w:marRight w:val="0"/>
      <w:marTop w:val="0"/>
      <w:marBottom w:val="0"/>
      <w:divBdr>
        <w:top w:val="none" w:sz="0" w:space="0" w:color="auto"/>
        <w:left w:val="none" w:sz="0" w:space="0" w:color="auto"/>
        <w:bottom w:val="none" w:sz="0" w:space="0" w:color="auto"/>
        <w:right w:val="none" w:sz="0" w:space="0" w:color="auto"/>
      </w:divBdr>
    </w:div>
    <w:div w:id="1049839781">
      <w:bodyDiv w:val="1"/>
      <w:marLeft w:val="0"/>
      <w:marRight w:val="0"/>
      <w:marTop w:val="0"/>
      <w:marBottom w:val="0"/>
      <w:divBdr>
        <w:top w:val="none" w:sz="0" w:space="0" w:color="auto"/>
        <w:left w:val="none" w:sz="0" w:space="0" w:color="auto"/>
        <w:bottom w:val="none" w:sz="0" w:space="0" w:color="auto"/>
        <w:right w:val="none" w:sz="0" w:space="0" w:color="auto"/>
      </w:divBdr>
    </w:div>
    <w:div w:id="1154758623">
      <w:bodyDiv w:val="1"/>
      <w:marLeft w:val="0"/>
      <w:marRight w:val="0"/>
      <w:marTop w:val="0"/>
      <w:marBottom w:val="0"/>
      <w:divBdr>
        <w:top w:val="none" w:sz="0" w:space="0" w:color="auto"/>
        <w:left w:val="none" w:sz="0" w:space="0" w:color="auto"/>
        <w:bottom w:val="none" w:sz="0" w:space="0" w:color="auto"/>
        <w:right w:val="none" w:sz="0" w:space="0" w:color="auto"/>
      </w:divBdr>
    </w:div>
    <w:div w:id="1156337710">
      <w:bodyDiv w:val="1"/>
      <w:marLeft w:val="0"/>
      <w:marRight w:val="0"/>
      <w:marTop w:val="0"/>
      <w:marBottom w:val="0"/>
      <w:divBdr>
        <w:top w:val="none" w:sz="0" w:space="0" w:color="auto"/>
        <w:left w:val="none" w:sz="0" w:space="0" w:color="auto"/>
        <w:bottom w:val="none" w:sz="0" w:space="0" w:color="auto"/>
        <w:right w:val="none" w:sz="0" w:space="0" w:color="auto"/>
      </w:divBdr>
      <w:divsChild>
        <w:div w:id="1289625725">
          <w:marLeft w:val="274"/>
          <w:marRight w:val="0"/>
          <w:marTop w:val="0"/>
          <w:marBottom w:val="0"/>
          <w:divBdr>
            <w:top w:val="none" w:sz="0" w:space="0" w:color="auto"/>
            <w:left w:val="none" w:sz="0" w:space="0" w:color="auto"/>
            <w:bottom w:val="none" w:sz="0" w:space="0" w:color="auto"/>
            <w:right w:val="none" w:sz="0" w:space="0" w:color="auto"/>
          </w:divBdr>
        </w:div>
        <w:div w:id="125122676">
          <w:marLeft w:val="274"/>
          <w:marRight w:val="0"/>
          <w:marTop w:val="0"/>
          <w:marBottom w:val="0"/>
          <w:divBdr>
            <w:top w:val="none" w:sz="0" w:space="0" w:color="auto"/>
            <w:left w:val="none" w:sz="0" w:space="0" w:color="auto"/>
            <w:bottom w:val="none" w:sz="0" w:space="0" w:color="auto"/>
            <w:right w:val="none" w:sz="0" w:space="0" w:color="auto"/>
          </w:divBdr>
        </w:div>
      </w:divsChild>
    </w:div>
    <w:div w:id="1245073469">
      <w:bodyDiv w:val="1"/>
      <w:marLeft w:val="0"/>
      <w:marRight w:val="0"/>
      <w:marTop w:val="0"/>
      <w:marBottom w:val="0"/>
      <w:divBdr>
        <w:top w:val="none" w:sz="0" w:space="0" w:color="auto"/>
        <w:left w:val="none" w:sz="0" w:space="0" w:color="auto"/>
        <w:bottom w:val="none" w:sz="0" w:space="0" w:color="auto"/>
        <w:right w:val="none" w:sz="0" w:space="0" w:color="auto"/>
      </w:divBdr>
    </w:div>
    <w:div w:id="1323705170">
      <w:bodyDiv w:val="1"/>
      <w:marLeft w:val="0"/>
      <w:marRight w:val="0"/>
      <w:marTop w:val="0"/>
      <w:marBottom w:val="0"/>
      <w:divBdr>
        <w:top w:val="none" w:sz="0" w:space="0" w:color="auto"/>
        <w:left w:val="none" w:sz="0" w:space="0" w:color="auto"/>
        <w:bottom w:val="none" w:sz="0" w:space="0" w:color="auto"/>
        <w:right w:val="none" w:sz="0" w:space="0" w:color="auto"/>
      </w:divBdr>
    </w:div>
    <w:div w:id="1392463169">
      <w:bodyDiv w:val="1"/>
      <w:marLeft w:val="0"/>
      <w:marRight w:val="0"/>
      <w:marTop w:val="0"/>
      <w:marBottom w:val="0"/>
      <w:divBdr>
        <w:top w:val="none" w:sz="0" w:space="0" w:color="auto"/>
        <w:left w:val="none" w:sz="0" w:space="0" w:color="auto"/>
        <w:bottom w:val="none" w:sz="0" w:space="0" w:color="auto"/>
        <w:right w:val="none" w:sz="0" w:space="0" w:color="auto"/>
      </w:divBdr>
    </w:div>
    <w:div w:id="1415668000">
      <w:bodyDiv w:val="1"/>
      <w:marLeft w:val="0"/>
      <w:marRight w:val="0"/>
      <w:marTop w:val="0"/>
      <w:marBottom w:val="0"/>
      <w:divBdr>
        <w:top w:val="none" w:sz="0" w:space="0" w:color="auto"/>
        <w:left w:val="none" w:sz="0" w:space="0" w:color="auto"/>
        <w:bottom w:val="none" w:sz="0" w:space="0" w:color="auto"/>
        <w:right w:val="none" w:sz="0" w:space="0" w:color="auto"/>
      </w:divBdr>
    </w:div>
    <w:div w:id="1445884588">
      <w:bodyDiv w:val="1"/>
      <w:marLeft w:val="0"/>
      <w:marRight w:val="0"/>
      <w:marTop w:val="0"/>
      <w:marBottom w:val="0"/>
      <w:divBdr>
        <w:top w:val="none" w:sz="0" w:space="0" w:color="auto"/>
        <w:left w:val="none" w:sz="0" w:space="0" w:color="auto"/>
        <w:bottom w:val="none" w:sz="0" w:space="0" w:color="auto"/>
        <w:right w:val="none" w:sz="0" w:space="0" w:color="auto"/>
      </w:divBdr>
    </w:div>
    <w:div w:id="1484354896">
      <w:bodyDiv w:val="1"/>
      <w:marLeft w:val="0"/>
      <w:marRight w:val="0"/>
      <w:marTop w:val="0"/>
      <w:marBottom w:val="0"/>
      <w:divBdr>
        <w:top w:val="none" w:sz="0" w:space="0" w:color="auto"/>
        <w:left w:val="none" w:sz="0" w:space="0" w:color="auto"/>
        <w:bottom w:val="none" w:sz="0" w:space="0" w:color="auto"/>
        <w:right w:val="none" w:sz="0" w:space="0" w:color="auto"/>
      </w:divBdr>
      <w:divsChild>
        <w:div w:id="71197892">
          <w:marLeft w:val="0"/>
          <w:marRight w:val="0"/>
          <w:marTop w:val="0"/>
          <w:marBottom w:val="0"/>
          <w:divBdr>
            <w:top w:val="none" w:sz="0" w:space="0" w:color="auto"/>
            <w:left w:val="none" w:sz="0" w:space="0" w:color="auto"/>
            <w:bottom w:val="none" w:sz="0" w:space="0" w:color="auto"/>
            <w:right w:val="none" w:sz="0" w:space="0" w:color="auto"/>
          </w:divBdr>
          <w:divsChild>
            <w:div w:id="408619466">
              <w:marLeft w:val="0"/>
              <w:marRight w:val="0"/>
              <w:marTop w:val="0"/>
              <w:marBottom w:val="0"/>
              <w:divBdr>
                <w:top w:val="none" w:sz="0" w:space="0" w:color="auto"/>
                <w:left w:val="none" w:sz="0" w:space="0" w:color="auto"/>
                <w:bottom w:val="none" w:sz="0" w:space="0" w:color="auto"/>
                <w:right w:val="none" w:sz="0" w:space="0" w:color="auto"/>
              </w:divBdr>
              <w:divsChild>
                <w:div w:id="1634290937">
                  <w:marLeft w:val="0"/>
                  <w:marRight w:val="0"/>
                  <w:marTop w:val="0"/>
                  <w:marBottom w:val="0"/>
                  <w:divBdr>
                    <w:top w:val="none" w:sz="0" w:space="0" w:color="auto"/>
                    <w:left w:val="none" w:sz="0" w:space="0" w:color="auto"/>
                    <w:bottom w:val="none" w:sz="0" w:space="0" w:color="auto"/>
                    <w:right w:val="none" w:sz="0" w:space="0" w:color="auto"/>
                  </w:divBdr>
                  <w:divsChild>
                    <w:div w:id="1483810888">
                      <w:marLeft w:val="1"/>
                      <w:marRight w:val="1"/>
                      <w:marTop w:val="0"/>
                      <w:marBottom w:val="0"/>
                      <w:divBdr>
                        <w:top w:val="none" w:sz="0" w:space="0" w:color="auto"/>
                        <w:left w:val="none" w:sz="0" w:space="0" w:color="auto"/>
                        <w:bottom w:val="none" w:sz="0" w:space="0" w:color="auto"/>
                        <w:right w:val="none" w:sz="0" w:space="0" w:color="auto"/>
                      </w:divBdr>
                      <w:divsChild>
                        <w:div w:id="1606812101">
                          <w:marLeft w:val="0"/>
                          <w:marRight w:val="0"/>
                          <w:marTop w:val="0"/>
                          <w:marBottom w:val="0"/>
                          <w:divBdr>
                            <w:top w:val="none" w:sz="0" w:space="0" w:color="auto"/>
                            <w:left w:val="none" w:sz="0" w:space="0" w:color="auto"/>
                            <w:bottom w:val="none" w:sz="0" w:space="0" w:color="auto"/>
                            <w:right w:val="none" w:sz="0" w:space="0" w:color="auto"/>
                          </w:divBdr>
                          <w:divsChild>
                            <w:div w:id="289942063">
                              <w:marLeft w:val="0"/>
                              <w:marRight w:val="0"/>
                              <w:marTop w:val="0"/>
                              <w:marBottom w:val="360"/>
                              <w:divBdr>
                                <w:top w:val="none" w:sz="0" w:space="0" w:color="auto"/>
                                <w:left w:val="none" w:sz="0" w:space="0" w:color="auto"/>
                                <w:bottom w:val="none" w:sz="0" w:space="0" w:color="auto"/>
                                <w:right w:val="none" w:sz="0" w:space="0" w:color="auto"/>
                              </w:divBdr>
                              <w:divsChild>
                                <w:div w:id="939025375">
                                  <w:marLeft w:val="0"/>
                                  <w:marRight w:val="0"/>
                                  <w:marTop w:val="0"/>
                                  <w:marBottom w:val="0"/>
                                  <w:divBdr>
                                    <w:top w:val="none" w:sz="0" w:space="0" w:color="auto"/>
                                    <w:left w:val="none" w:sz="0" w:space="0" w:color="auto"/>
                                    <w:bottom w:val="none" w:sz="0" w:space="0" w:color="auto"/>
                                    <w:right w:val="none" w:sz="0" w:space="0" w:color="auto"/>
                                  </w:divBdr>
                                  <w:divsChild>
                                    <w:div w:id="1852917433">
                                      <w:marLeft w:val="0"/>
                                      <w:marRight w:val="0"/>
                                      <w:marTop w:val="0"/>
                                      <w:marBottom w:val="0"/>
                                      <w:divBdr>
                                        <w:top w:val="none" w:sz="0" w:space="0" w:color="auto"/>
                                        <w:left w:val="none" w:sz="0" w:space="0" w:color="auto"/>
                                        <w:bottom w:val="none" w:sz="0" w:space="0" w:color="auto"/>
                                        <w:right w:val="none" w:sz="0" w:space="0" w:color="auto"/>
                                      </w:divBdr>
                                      <w:divsChild>
                                        <w:div w:id="516507109">
                                          <w:marLeft w:val="0"/>
                                          <w:marRight w:val="0"/>
                                          <w:marTop w:val="0"/>
                                          <w:marBottom w:val="0"/>
                                          <w:divBdr>
                                            <w:top w:val="none" w:sz="0" w:space="0" w:color="auto"/>
                                            <w:left w:val="none" w:sz="0" w:space="0" w:color="auto"/>
                                            <w:bottom w:val="none" w:sz="0" w:space="0" w:color="auto"/>
                                            <w:right w:val="none" w:sz="0" w:space="0" w:color="auto"/>
                                          </w:divBdr>
                                          <w:divsChild>
                                            <w:div w:id="491800802">
                                              <w:marLeft w:val="0"/>
                                              <w:marRight w:val="0"/>
                                              <w:marTop w:val="0"/>
                                              <w:marBottom w:val="0"/>
                                              <w:divBdr>
                                                <w:top w:val="none" w:sz="0" w:space="0" w:color="auto"/>
                                                <w:left w:val="none" w:sz="0" w:space="0" w:color="auto"/>
                                                <w:bottom w:val="none" w:sz="0" w:space="0" w:color="auto"/>
                                                <w:right w:val="none" w:sz="0" w:space="0" w:color="auto"/>
                                              </w:divBdr>
                                              <w:divsChild>
                                                <w:div w:id="2071612982">
                                                  <w:marLeft w:val="0"/>
                                                  <w:marRight w:val="0"/>
                                                  <w:marTop w:val="0"/>
                                                  <w:marBottom w:val="0"/>
                                                  <w:divBdr>
                                                    <w:top w:val="none" w:sz="0" w:space="0" w:color="auto"/>
                                                    <w:left w:val="none" w:sz="0" w:space="0" w:color="auto"/>
                                                    <w:bottom w:val="none" w:sz="0" w:space="0" w:color="auto"/>
                                                    <w:right w:val="none" w:sz="0" w:space="0" w:color="auto"/>
                                                  </w:divBdr>
                                                  <w:divsChild>
                                                    <w:div w:id="1371493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499268886">
      <w:bodyDiv w:val="1"/>
      <w:marLeft w:val="0"/>
      <w:marRight w:val="0"/>
      <w:marTop w:val="0"/>
      <w:marBottom w:val="0"/>
      <w:divBdr>
        <w:top w:val="none" w:sz="0" w:space="0" w:color="auto"/>
        <w:left w:val="none" w:sz="0" w:space="0" w:color="auto"/>
        <w:bottom w:val="none" w:sz="0" w:space="0" w:color="auto"/>
        <w:right w:val="none" w:sz="0" w:space="0" w:color="auto"/>
      </w:divBdr>
    </w:div>
    <w:div w:id="1538933764">
      <w:bodyDiv w:val="1"/>
      <w:marLeft w:val="0"/>
      <w:marRight w:val="0"/>
      <w:marTop w:val="0"/>
      <w:marBottom w:val="0"/>
      <w:divBdr>
        <w:top w:val="none" w:sz="0" w:space="0" w:color="auto"/>
        <w:left w:val="none" w:sz="0" w:space="0" w:color="auto"/>
        <w:bottom w:val="none" w:sz="0" w:space="0" w:color="auto"/>
        <w:right w:val="none" w:sz="0" w:space="0" w:color="auto"/>
      </w:divBdr>
    </w:div>
    <w:div w:id="1636256782">
      <w:bodyDiv w:val="1"/>
      <w:marLeft w:val="0"/>
      <w:marRight w:val="0"/>
      <w:marTop w:val="0"/>
      <w:marBottom w:val="0"/>
      <w:divBdr>
        <w:top w:val="none" w:sz="0" w:space="0" w:color="auto"/>
        <w:left w:val="none" w:sz="0" w:space="0" w:color="auto"/>
        <w:bottom w:val="none" w:sz="0" w:space="0" w:color="auto"/>
        <w:right w:val="none" w:sz="0" w:space="0" w:color="auto"/>
      </w:divBdr>
    </w:div>
    <w:div w:id="1655452380">
      <w:bodyDiv w:val="1"/>
      <w:marLeft w:val="0"/>
      <w:marRight w:val="0"/>
      <w:marTop w:val="0"/>
      <w:marBottom w:val="0"/>
      <w:divBdr>
        <w:top w:val="none" w:sz="0" w:space="0" w:color="auto"/>
        <w:left w:val="none" w:sz="0" w:space="0" w:color="auto"/>
        <w:bottom w:val="none" w:sz="0" w:space="0" w:color="auto"/>
        <w:right w:val="none" w:sz="0" w:space="0" w:color="auto"/>
      </w:divBdr>
    </w:div>
    <w:div w:id="1753115590">
      <w:bodyDiv w:val="1"/>
      <w:marLeft w:val="0"/>
      <w:marRight w:val="0"/>
      <w:marTop w:val="0"/>
      <w:marBottom w:val="0"/>
      <w:divBdr>
        <w:top w:val="none" w:sz="0" w:space="0" w:color="auto"/>
        <w:left w:val="none" w:sz="0" w:space="0" w:color="auto"/>
        <w:bottom w:val="none" w:sz="0" w:space="0" w:color="auto"/>
        <w:right w:val="none" w:sz="0" w:space="0" w:color="auto"/>
      </w:divBdr>
    </w:div>
    <w:div w:id="1793089366">
      <w:bodyDiv w:val="1"/>
      <w:marLeft w:val="0"/>
      <w:marRight w:val="0"/>
      <w:marTop w:val="0"/>
      <w:marBottom w:val="0"/>
      <w:divBdr>
        <w:top w:val="none" w:sz="0" w:space="0" w:color="auto"/>
        <w:left w:val="none" w:sz="0" w:space="0" w:color="auto"/>
        <w:bottom w:val="none" w:sz="0" w:space="0" w:color="auto"/>
        <w:right w:val="none" w:sz="0" w:space="0" w:color="auto"/>
      </w:divBdr>
    </w:div>
    <w:div w:id="1967272027">
      <w:bodyDiv w:val="1"/>
      <w:marLeft w:val="0"/>
      <w:marRight w:val="0"/>
      <w:marTop w:val="0"/>
      <w:marBottom w:val="0"/>
      <w:divBdr>
        <w:top w:val="none" w:sz="0" w:space="0" w:color="auto"/>
        <w:left w:val="none" w:sz="0" w:space="0" w:color="auto"/>
        <w:bottom w:val="none" w:sz="0" w:space="0" w:color="auto"/>
        <w:right w:val="none" w:sz="0" w:space="0" w:color="auto"/>
      </w:divBdr>
    </w:div>
    <w:div w:id="2007827397">
      <w:bodyDiv w:val="1"/>
      <w:marLeft w:val="0"/>
      <w:marRight w:val="0"/>
      <w:marTop w:val="0"/>
      <w:marBottom w:val="0"/>
      <w:divBdr>
        <w:top w:val="none" w:sz="0" w:space="0" w:color="auto"/>
        <w:left w:val="none" w:sz="0" w:space="0" w:color="auto"/>
        <w:bottom w:val="none" w:sz="0" w:space="0" w:color="auto"/>
        <w:right w:val="none" w:sz="0" w:space="0" w:color="auto"/>
      </w:divBdr>
    </w:div>
    <w:div w:id="20098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chart" Target="charts/chart1.xml"/><Relationship Id="rId21" Type="http://schemas.openxmlformats.org/officeDocument/2006/relationships/footer" Target="footer6.xml"/><Relationship Id="rId34" Type="http://schemas.openxmlformats.org/officeDocument/2006/relationships/image" Target="media/image7.png"/><Relationship Id="rId42" Type="http://schemas.openxmlformats.org/officeDocument/2006/relationships/image" Target="media/image12.png"/><Relationship Id="rId47" Type="http://schemas.openxmlformats.org/officeDocument/2006/relationships/footer" Target="footer11.xml"/><Relationship Id="rId50" Type="http://schemas.openxmlformats.org/officeDocument/2006/relationships/image" Target="media/image14.png"/><Relationship Id="rId55" Type="http://schemas.openxmlformats.org/officeDocument/2006/relationships/header" Target="header15.xml"/><Relationship Id="rId63" Type="http://schemas.openxmlformats.org/officeDocument/2006/relationships/footer" Target="footer18.xml"/><Relationship Id="rId68" Type="http://schemas.openxmlformats.org/officeDocument/2006/relationships/header" Target="header2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5.png"/><Relationship Id="rId37" Type="http://schemas.openxmlformats.org/officeDocument/2006/relationships/image" Target="media/image8.png"/><Relationship Id="rId40" Type="http://schemas.openxmlformats.org/officeDocument/2006/relationships/image" Target="media/image10.png"/><Relationship Id="rId45" Type="http://schemas.openxmlformats.org/officeDocument/2006/relationships/header" Target="header11.xml"/><Relationship Id="rId53" Type="http://schemas.openxmlformats.org/officeDocument/2006/relationships/footer" Target="footer13.xml"/><Relationship Id="rId58" Type="http://schemas.openxmlformats.org/officeDocument/2006/relationships/header" Target="header16.xml"/><Relationship Id="rId66"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image" Target="cid:image002.png@01D2E365.59EB2370" TargetMode="External"/><Relationship Id="rId49" Type="http://schemas.openxmlformats.org/officeDocument/2006/relationships/footer" Target="footer12.xml"/><Relationship Id="rId57" Type="http://schemas.openxmlformats.org/officeDocument/2006/relationships/hyperlink" Target="http://bookshop.europa.eu" TargetMode="External"/><Relationship Id="rId61"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png"/><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footer" Target="footer16.xml"/><Relationship Id="rId65"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ec.europa.eu/echo/funding-evaluations/financing-civil-protection/calls-for-proposal_en" TargetMode="External"/><Relationship Id="rId35" Type="http://schemas.microsoft.com/office/2007/relationships/hdphoto" Target="media/hdphoto1.wdp"/><Relationship Id="rId43" Type="http://schemas.openxmlformats.org/officeDocument/2006/relationships/image" Target="media/image13.png"/><Relationship Id="rId48" Type="http://schemas.openxmlformats.org/officeDocument/2006/relationships/header" Target="header12.xml"/><Relationship Id="rId56" Type="http://schemas.openxmlformats.org/officeDocument/2006/relationships/footer" Target="footer15.xml"/><Relationship Id="rId64" Type="http://schemas.openxmlformats.org/officeDocument/2006/relationships/header" Target="header19.xml"/><Relationship Id="rId69"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6.png"/><Relationship Id="rId38" Type="http://schemas.openxmlformats.org/officeDocument/2006/relationships/image" Target="media/image9.png"/><Relationship Id="rId46" Type="http://schemas.openxmlformats.org/officeDocument/2006/relationships/footer" Target="footer10.xml"/><Relationship Id="rId59" Type="http://schemas.openxmlformats.org/officeDocument/2006/relationships/header" Target="header17.xml"/><Relationship Id="rId67" Type="http://schemas.openxmlformats.org/officeDocument/2006/relationships/footer" Target="footer20.xml"/><Relationship Id="rId20" Type="http://schemas.openxmlformats.org/officeDocument/2006/relationships/header" Target="header6.xml"/><Relationship Id="rId41" Type="http://schemas.openxmlformats.org/officeDocument/2006/relationships/image" Target="media/image11.png"/><Relationship Id="rId54" Type="http://schemas.openxmlformats.org/officeDocument/2006/relationships/footer" Target="footer14.xml"/><Relationship Id="rId62" Type="http://schemas.openxmlformats.org/officeDocument/2006/relationships/header" Target="header18.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sites/echo-site/files/ucpm_-_opc_report_0.pdf" TargetMode="External"/><Relationship Id="rId7" Type="http://schemas.openxmlformats.org/officeDocument/2006/relationships/hyperlink" Target="http://ec.europa.eu/echo/sites/echo-site/files/ucpm_-_opc_report_0.pdf" TargetMode="External"/><Relationship Id="rId2" Type="http://schemas.openxmlformats.org/officeDocument/2006/relationships/hyperlink" Target="https://ec.europa.eu/echo/sites/echo-site/files/ucpm_final_report.pdf" TargetMode="External"/><Relationship Id="rId1" Type="http://schemas.openxmlformats.org/officeDocument/2006/relationships/hyperlink" Target="http://eur-lex.europa.eu/LexUriServ/LexUriServ.do?uri=OJ:L:2013:347:0924:0947:EN:PDF" TargetMode="External"/><Relationship Id="rId6" Type="http://schemas.openxmlformats.org/officeDocument/2006/relationships/hyperlink" Target="http://ec.europa.eu/echo/sites/echo-site/files/consultation_strategy.pdf" TargetMode="External"/><Relationship Id="rId5" Type="http://schemas.openxmlformats.org/officeDocument/2006/relationships/hyperlink" Target="http://www.eca.europa.eu/Lists/ECADocuments/SR16_33/SR_DISASTER_RESPONSE_EN.pdf" TargetMode="External"/><Relationship Id="rId4" Type="http://schemas.openxmlformats.org/officeDocument/2006/relationships/hyperlink" Target="http://data.consilium.europa.eu/doc/document/ST-10019-2016-INIT/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GUHOAI\AppData\Local\Microsoft\Windows\Temporary%20Internet%20Files\Content.Outlook\9V4JM3OR\Copy%20of%20Graph%20Capacity%20goals_updated%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44289423939716E-2"/>
          <c:y val="3.7898373760978182E-2"/>
          <c:w val="0.92203090301545887"/>
          <c:h val="0.66992925372776446"/>
        </c:manualLayout>
      </c:layout>
      <c:barChart>
        <c:barDir val="col"/>
        <c:grouping val="clustered"/>
        <c:varyColors val="0"/>
        <c:ser>
          <c:idx val="1"/>
          <c:order val="1"/>
          <c:tx>
            <c:strRef>
              <c:f>Sheet1!$E$5</c:f>
              <c:strCache>
                <c:ptCount val="1"/>
                <c:pt idx="0">
                  <c:v>Resources registered (Modules)</c:v>
                </c:pt>
              </c:strCache>
            </c:strRef>
          </c:tx>
          <c:spPr>
            <a:solidFill>
              <a:schemeClr val="accent1">
                <a:lumMod val="40000"/>
                <a:lumOff val="60000"/>
              </a:schemeClr>
            </a:solidFill>
            <a:ln w="25400">
              <a:noFill/>
            </a:ln>
            <a:effectLst/>
          </c:spPr>
          <c:invertIfNegative val="0"/>
          <c:cat>
            <c:strRef>
              <c:f>Sheet1!$C$6:$C$23</c:f>
              <c:strCache>
                <c:ptCount val="18"/>
                <c:pt idx="0">
                  <c:v>HCP </c:v>
                </c:pt>
                <c:pt idx="1">
                  <c:v>MUSAR</c:v>
                </c:pt>
                <c:pt idx="2">
                  <c:v>WP </c:v>
                </c:pt>
                <c:pt idx="3">
                  <c:v>FFFP </c:v>
                </c:pt>
                <c:pt idx="4">
                  <c:v>AMP </c:v>
                </c:pt>
                <c:pt idx="5">
                  <c:v>ETC</c:v>
                </c:pt>
                <c:pt idx="6">
                  <c:v>HUSAR </c:v>
                </c:pt>
                <c:pt idx="7">
                  <c:v>CBRNDET </c:v>
                </c:pt>
                <c:pt idx="8">
                  <c:v>GFFF</c:v>
                </c:pt>
                <c:pt idx="9">
                  <c:v>GFFF-V </c:v>
                </c:pt>
                <c:pt idx="10">
                  <c:v>CBRNUSAR </c:v>
                </c:pt>
                <c:pt idx="11">
                  <c:v>AMP-S</c:v>
                </c:pt>
                <c:pt idx="12">
                  <c:v>FC</c:v>
                </c:pt>
                <c:pt idx="13">
                  <c:v>FRB </c:v>
                </c:pt>
                <c:pt idx="14">
                  <c:v>MEVAC </c:v>
                </c:pt>
                <c:pt idx="15">
                  <c:v>FHOS</c:v>
                </c:pt>
                <c:pt idx="16">
                  <c:v>FFFH </c:v>
                </c:pt>
                <c:pt idx="17">
                  <c:v>TAST</c:v>
                </c:pt>
              </c:strCache>
            </c:strRef>
          </c:cat>
          <c:val>
            <c:numRef>
              <c:f>Sheet1!$E$6:$E$23</c:f>
              <c:numCache>
                <c:formatCode>General</c:formatCode>
                <c:ptCount val="18"/>
                <c:pt idx="0">
                  <c:v>15</c:v>
                </c:pt>
                <c:pt idx="1">
                  <c:v>6</c:v>
                </c:pt>
                <c:pt idx="2">
                  <c:v>4</c:v>
                </c:pt>
                <c:pt idx="3">
                  <c:v>3</c:v>
                </c:pt>
                <c:pt idx="4">
                  <c:v>3</c:v>
                </c:pt>
                <c:pt idx="5">
                  <c:v>3</c:v>
                </c:pt>
                <c:pt idx="6">
                  <c:v>7</c:v>
                </c:pt>
                <c:pt idx="7">
                  <c:v>4</c:v>
                </c:pt>
                <c:pt idx="8">
                  <c:v>4</c:v>
                </c:pt>
                <c:pt idx="9">
                  <c:v>4</c:v>
                </c:pt>
                <c:pt idx="10">
                  <c:v>0</c:v>
                </c:pt>
                <c:pt idx="11">
                  <c:v>1</c:v>
                </c:pt>
                <c:pt idx="12">
                  <c:v>4</c:v>
                </c:pt>
                <c:pt idx="13">
                  <c:v>2</c:v>
                </c:pt>
                <c:pt idx="14">
                  <c:v>2</c:v>
                </c:pt>
                <c:pt idx="15">
                  <c:v>1</c:v>
                </c:pt>
                <c:pt idx="16">
                  <c:v>0</c:v>
                </c:pt>
                <c:pt idx="17">
                  <c:v>2</c:v>
                </c:pt>
              </c:numCache>
            </c:numRef>
          </c:val>
        </c:ser>
        <c:dLbls>
          <c:showLegendKey val="0"/>
          <c:showVal val="0"/>
          <c:showCatName val="0"/>
          <c:showSerName val="0"/>
          <c:showPercent val="0"/>
          <c:showBubbleSize val="0"/>
        </c:dLbls>
        <c:gapWidth val="219"/>
        <c:axId val="143418880"/>
        <c:axId val="143931264"/>
      </c:barChart>
      <c:scatterChart>
        <c:scatterStyle val="lineMarker"/>
        <c:varyColors val="0"/>
        <c:ser>
          <c:idx val="0"/>
          <c:order val="0"/>
          <c:tx>
            <c:strRef>
              <c:f>Sheet1!$D$5</c:f>
              <c:strCache>
                <c:ptCount val="1"/>
                <c:pt idx="0">
                  <c:v>ERCC capacity goals (Modules)</c:v>
                </c:pt>
              </c:strCache>
            </c:strRef>
          </c:tx>
          <c:spPr>
            <a:ln w="2540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strRef>
              <c:f>Sheet1!$C$6:$C$23</c:f>
              <c:strCache>
                <c:ptCount val="18"/>
                <c:pt idx="0">
                  <c:v>HCP </c:v>
                </c:pt>
                <c:pt idx="1">
                  <c:v>MUSAR</c:v>
                </c:pt>
                <c:pt idx="2">
                  <c:v>WP </c:v>
                </c:pt>
                <c:pt idx="3">
                  <c:v>FFFP </c:v>
                </c:pt>
                <c:pt idx="4">
                  <c:v>AMP </c:v>
                </c:pt>
                <c:pt idx="5">
                  <c:v>ETC</c:v>
                </c:pt>
                <c:pt idx="6">
                  <c:v>HUSAR </c:v>
                </c:pt>
                <c:pt idx="7">
                  <c:v>CBRNDET </c:v>
                </c:pt>
                <c:pt idx="8">
                  <c:v>GFFF</c:v>
                </c:pt>
                <c:pt idx="9">
                  <c:v>GFFF-V </c:v>
                </c:pt>
                <c:pt idx="10">
                  <c:v>CBRNUSAR </c:v>
                </c:pt>
                <c:pt idx="11">
                  <c:v>AMP-S</c:v>
                </c:pt>
                <c:pt idx="12">
                  <c:v>FC</c:v>
                </c:pt>
                <c:pt idx="13">
                  <c:v>FRB </c:v>
                </c:pt>
                <c:pt idx="14">
                  <c:v>MEVAC </c:v>
                </c:pt>
                <c:pt idx="15">
                  <c:v>FHOS</c:v>
                </c:pt>
                <c:pt idx="16">
                  <c:v>FFFH </c:v>
                </c:pt>
                <c:pt idx="17">
                  <c:v>TAST</c:v>
                </c:pt>
              </c:strCache>
            </c:strRef>
          </c:xVal>
          <c:yVal>
            <c:numRef>
              <c:f>Sheet1!$D$6:$D$23</c:f>
              <c:numCache>
                <c:formatCode>General</c:formatCode>
                <c:ptCount val="18"/>
                <c:pt idx="0">
                  <c:v>6</c:v>
                </c:pt>
                <c:pt idx="1">
                  <c:v>6</c:v>
                </c:pt>
                <c:pt idx="2">
                  <c:v>2</c:v>
                </c:pt>
                <c:pt idx="3">
                  <c:v>2</c:v>
                </c:pt>
                <c:pt idx="4">
                  <c:v>2</c:v>
                </c:pt>
                <c:pt idx="5">
                  <c:v>2</c:v>
                </c:pt>
                <c:pt idx="6">
                  <c:v>2</c:v>
                </c:pt>
                <c:pt idx="7">
                  <c:v>2</c:v>
                </c:pt>
                <c:pt idx="8">
                  <c:v>2</c:v>
                </c:pt>
                <c:pt idx="9">
                  <c:v>2</c:v>
                </c:pt>
                <c:pt idx="10">
                  <c:v>1</c:v>
                </c:pt>
                <c:pt idx="11">
                  <c:v>1</c:v>
                </c:pt>
                <c:pt idx="12">
                  <c:v>2</c:v>
                </c:pt>
                <c:pt idx="13">
                  <c:v>2</c:v>
                </c:pt>
                <c:pt idx="14">
                  <c:v>1</c:v>
                </c:pt>
                <c:pt idx="15">
                  <c:v>2</c:v>
                </c:pt>
                <c:pt idx="16">
                  <c:v>2</c:v>
                </c:pt>
                <c:pt idx="17">
                  <c:v>2</c:v>
                </c:pt>
              </c:numCache>
            </c:numRef>
          </c:yVal>
          <c:smooth val="0"/>
        </c:ser>
        <c:dLbls>
          <c:showLegendKey val="0"/>
          <c:showVal val="0"/>
          <c:showCatName val="0"/>
          <c:showSerName val="0"/>
          <c:showPercent val="0"/>
          <c:showBubbleSize val="0"/>
        </c:dLbls>
        <c:axId val="143418880"/>
        <c:axId val="143931264"/>
      </c:scatterChart>
      <c:catAx>
        <c:axId val="1434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31264"/>
        <c:crosses val="autoZero"/>
        <c:auto val="1"/>
        <c:lblAlgn val="ctr"/>
        <c:lblOffset val="100"/>
        <c:noMultiLvlLbl val="0"/>
      </c:catAx>
      <c:valAx>
        <c:axId val="143931264"/>
        <c:scaling>
          <c:orientation val="minMax"/>
          <c:max val="15"/>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18880"/>
        <c:crosses val="autoZero"/>
        <c:crossBetween val="between"/>
        <c:majorUnit val="1"/>
        <c:minorUnit val="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7DB1-AE9B-4AED-A11C-4F7CE4B1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56</Pages>
  <Words>19315</Words>
  <Characters>109325</Characters>
  <Application>Microsoft Office Word</Application>
  <DocSecurity>0</DocSecurity>
  <Lines>1735</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60</cp:revision>
  <cp:lastPrinted>2017-08-23T15:12:00Z</cp:lastPrinted>
  <dcterms:created xsi:type="dcterms:W3CDTF">2017-08-01T07:32:00Z</dcterms:created>
  <dcterms:modified xsi:type="dcterms:W3CDTF">2017-08-23T15:13:00Z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