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31866AE069254D7B97819D858F71C11C" style="width:450.75pt;height:396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Objetacteprincipal"/>
        <w:rPr>
          <w:noProof/>
        </w:rPr>
      </w:pPr>
      <w:r>
        <w:rPr>
          <w:noProof/>
        </w:rPr>
        <w:t>позицията, която трябва да се заеме от името на Европейския съюз на следващите три заседания на Международната комисия по китолов, включително на свързаните с тях заседания и действия между сесиите</w:t>
      </w:r>
    </w:p>
    <w:p>
      <w:pPr>
        <w:pStyle w:val="NumPar1"/>
        <w:numPr>
          <w:ilvl w:val="0"/>
          <w:numId w:val="10"/>
        </w:numPr>
        <w:rPr>
          <w:noProof/>
        </w:rPr>
      </w:pPr>
      <w:r>
        <w:rPr>
          <w:noProof/>
        </w:rPr>
        <w:t>Първостепенната цел на Европейския съюз по отношение на Международната комисия по китолова (МКК) е да бъде осигурена ефективна международна регулаторна рамка за опазването и управлението на популациите от китове, която да гарантира значително подобрение в природозащитния статус на китовете и другите китоподобни и да постави всички китоловни дейности на членовете на МКК под контрола на същата.</w:t>
      </w:r>
    </w:p>
    <w:p>
      <w:pPr>
        <w:pStyle w:val="NumPar1"/>
        <w:rPr>
          <w:noProof/>
        </w:rPr>
      </w:pPr>
      <w:r>
        <w:rPr>
          <w:noProof/>
        </w:rPr>
        <w:t xml:space="preserve">За постигането на тази цел е важно малкото държави членки, които понастоящем не са страни по Конвенцията, да се присъединят към нея с цел укрепване на влиянието на Съюза при гласуване по въпроси от негов интерес. Също така е важно всички държави членки да запазят правото си на глас, като плащат навреме определените им вноски. </w:t>
      </w:r>
    </w:p>
    <w:p>
      <w:pPr>
        <w:pStyle w:val="NumPar1"/>
        <w:rPr>
          <w:noProof/>
        </w:rPr>
      </w:pPr>
      <w:r>
        <w:rPr>
          <w:noProof/>
        </w:rPr>
        <w:t>На следващите три заседания, провеждани на всеки две години, и на всички свързани с тях заседания и действия между сесиите, считано от приемането на настоящата позиция, държавите членки, като действат съвместно в интерес на Съюза, заемат следната позиция по предложенията за изменения на Графика или резолюциите на МКК: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стремеж към привеждане на всички китоловни операции на членовете на МКК под контрола на същата;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изразяване на подкрепа за запазването и пълното включване на мораториума върху търговския китолов в Графика;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следване на насоките на Международния съд и противопоставяне на всякакво предложение за нови видове китолов, непредвидени в Международната конвенция за регулиране на улова на китове, които могат да подкопаят мораториума и/или евентуално да породят заплахи за популациите от китове в райони, съседни на Съюза;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изразяване на подкрепа за предложенията, целящи да се прекрати провеждането на научен китолов извън контрола на МКК; изразяване на подкрепа за предложенията, целящи да се насърчават научните изследвания без убиване и да се направи ефективен и прозрачен процесът на МКК по преглед на китолова със специално разрешение, за да се избягват злоупотребите и да се насърчават спазването на всички аспекти на решението на Международния съд (Китолов в Антарктика, Австралия/Япония, Нова Зеландия, встъпила страна, решение от 31 март 2014 г.) и изпълнението на съответните резолюции на МКК; 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изразяване на подкрепа за предложенията за управление на китолова, извършван от местното население с цел прехрана, които:</w:t>
      </w:r>
    </w:p>
    <w:p>
      <w:pPr>
        <w:pStyle w:val="Point1number"/>
        <w:numPr>
          <w:ilvl w:val="2"/>
          <w:numId w:val="25"/>
        </w:numPr>
        <w:rPr>
          <w:noProof/>
        </w:rPr>
      </w:pPr>
      <w:r>
        <w:rPr>
          <w:noProof/>
        </w:rPr>
        <w:lastRenderedPageBreak/>
        <w:t>гарантират, че не се застрашава опазването на съответните популации от китове, като се вземат надлежно предвид принципът на предпазливост и препоръките на Научния комитет;</w:t>
      </w:r>
    </w:p>
    <w:p>
      <w:pPr>
        <w:pStyle w:val="Point1number"/>
        <w:rPr>
          <w:noProof/>
        </w:rPr>
      </w:pPr>
      <w:r>
        <w:rPr>
          <w:noProof/>
        </w:rPr>
        <w:t>гарантират, че китоловните дейности се регулират по подходящ начин и уловът запазва устойчивия си характер в рамките на потребностите на местно ниво, свързани с прехраната;</w:t>
      </w:r>
    </w:p>
    <w:p>
      <w:pPr>
        <w:pStyle w:val="Point1number"/>
        <w:rPr>
          <w:noProof/>
        </w:rPr>
      </w:pPr>
      <w:r>
        <w:rPr>
          <w:noProof/>
        </w:rPr>
        <w:t xml:space="preserve">отчитат подхода, основан на правата на коренното население, като същевременно признават и това, че китовете са мигриращи видове и се придвижват към други държави, попадащи в техния ареал. </w:t>
      </w:r>
    </w:p>
    <w:p>
      <w:pPr>
        <w:pStyle w:val="Point1"/>
        <w:ind w:left="850" w:firstLine="0"/>
        <w:rPr>
          <w:noProof/>
        </w:rPr>
      </w:pPr>
      <w:r>
        <w:rPr>
          <w:noProof/>
        </w:rPr>
        <w:t xml:space="preserve">По този начин, в съответствие с инициираната от Съюза Резолюция 2014-1 на МКК относно КМНП, държавите — членки на Съюза, които следва да действат съвместно в интерес на Съюза, активно ще продължат и ще се ангажират с работата, която е в ход в рамките на работната група ad hoc на МКК по въпросите на КМНП, с цел да се задълбочи разбирането и да се подобрят процедурите — включително с оглед на повече прозрачност, навременната информация и ранния диалог в рамките на Съюза и МКК — за да се гарантира, че предложенията за ограниченията на улова за КМНП ще бъдат приемани безпрепятствено и навременно; </w:t>
      </w:r>
    </w:p>
    <w:p>
      <w:pPr>
        <w:pStyle w:val="Point0"/>
        <w:rPr>
          <w:noProof/>
        </w:rPr>
      </w:pPr>
      <w:r>
        <w:rPr>
          <w:noProof/>
        </w:rPr>
        <w:t>ж)</w:t>
      </w:r>
      <w:r>
        <w:rPr>
          <w:noProof/>
        </w:rPr>
        <w:tab/>
        <w:t xml:space="preserve">изразяване на подкрепа за предложенията за създаване на зони — убежища за китове; </w:t>
      </w:r>
    </w:p>
    <w:p>
      <w:pPr>
        <w:pStyle w:val="Point0"/>
        <w:rPr>
          <w:noProof/>
        </w:rPr>
      </w:pPr>
      <w:r>
        <w:rPr>
          <w:noProof/>
        </w:rPr>
        <w:t>з)</w:t>
      </w:r>
      <w:r>
        <w:rPr>
          <w:noProof/>
        </w:rPr>
        <w:tab/>
        <w:t>изразяване на продължаваща подкрепа за развитието на другите видове принос на МКК към опазването на китовете и другите китоподобни и на техните местообитания, разбиране на заплахите за здравето и благосъстоянието, с които се сблъскват китовете и китоподобните — включително на потенциалните съвкупни въздействия на тези заплахи, и борба с тях, както и по-добро разбиране и запазване на ролята на китовете и другите китоподобни като ключови фактори в здравите екосистеми или при взаимодействието им с хората; в този контекст подобряване на съгласуването и сътрудничеството между МКК и други организации с цел укрепване на режима за опазване на китоподобните в световен мащаб;</w:t>
      </w:r>
    </w:p>
    <w:p>
      <w:pPr>
        <w:pStyle w:val="Point0"/>
        <w:rPr>
          <w:noProof/>
        </w:rPr>
      </w:pPr>
      <w:r>
        <w:rPr>
          <w:noProof/>
        </w:rPr>
        <w:t>и)</w:t>
      </w:r>
      <w:r>
        <w:rPr>
          <w:noProof/>
        </w:rPr>
        <w:tab/>
        <w:t xml:space="preserve">изразяване на подкрепа за предложенията за подобряване на управлението на МКК в съответствие с най-добрите практики при други многостранни споразумения и на техните управителни органи, включително механизми за гарантиране на повишена прозрачност, отчетност, спазване на правилата и изпълнението им с цел укрепване на легитимността на МКК и интегритета на нейния процес на вземане на решения; </w:t>
      </w:r>
    </w:p>
    <w:p>
      <w:pPr>
        <w:pStyle w:val="Point0"/>
        <w:rPr>
          <w:noProof/>
        </w:rPr>
      </w:pPr>
      <w:r>
        <w:rPr>
          <w:noProof/>
        </w:rPr>
        <w:t>й)</w:t>
      </w:r>
      <w:r>
        <w:rPr>
          <w:noProof/>
        </w:rPr>
        <w:tab/>
        <w:t>изразяване на подкрепа за предложенията, целящи затвърждаване на прозрачността на управляваната от секретариата на МКК схема за укрепване на способността на правителствата с ограничени средства да участват в работата на МКК; същевременно изискване на прозрачност от онези донори, които пряко финансират участието на делегати от трети държави извън тази схема;</w:t>
      </w:r>
    </w:p>
    <w:p>
      <w:pPr>
        <w:pStyle w:val="Point0"/>
        <w:rPr>
          <w:noProof/>
        </w:rPr>
      </w:pPr>
      <w:r>
        <w:rPr>
          <w:noProof/>
        </w:rPr>
        <w:t>к)</w:t>
      </w:r>
      <w:r>
        <w:rPr>
          <w:noProof/>
        </w:rPr>
        <w:tab/>
        <w:t>укрепване на диалога и сътрудничеството с гражданското общество и допринасяне още повече за подобряване на ангажираността и участието на организации на гражданското общество в работата на МКК на всички нива в съответствие с обичайната практика при други многостранни споразумения.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B6811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5D02FF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AA2BB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72481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AFEE4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536F3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5F4AB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186AE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6CB94B31"/>
    <w:multiLevelType w:val="hybridMultilevel"/>
    <w:tmpl w:val="CF28BC5E"/>
    <w:styleLink w:val="ImportedStyle3"/>
    <w:lvl w:ilvl="0" w:tplc="DAC41B68">
      <w:start w:val="1"/>
      <w:numFmt w:val="decimal"/>
      <w:lvlText w:val="(%1)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D65844">
      <w:start w:val="1"/>
      <w:numFmt w:val="lowerLetter"/>
      <w:lvlText w:val="(%2)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5C42DC">
      <w:start w:val="1"/>
      <w:numFmt w:val="decimal"/>
      <w:lvlText w:val="(%3)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56285C">
      <w:start w:val="1"/>
      <w:numFmt w:val="lowerLetter"/>
      <w:lvlText w:val="(%4)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EA229C">
      <w:start w:val="1"/>
      <w:numFmt w:val="decimal"/>
      <w:lvlText w:val="(%5)"/>
      <w:lvlJc w:val="left"/>
      <w:pPr>
        <w:ind w:left="198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EA25D4">
      <w:start w:val="1"/>
      <w:numFmt w:val="lowerLetter"/>
      <w:lvlText w:val="(%6)"/>
      <w:lvlJc w:val="left"/>
      <w:pPr>
        <w:ind w:left="198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A03C8E">
      <w:start w:val="1"/>
      <w:numFmt w:val="decimal"/>
      <w:lvlText w:val="(%7)"/>
      <w:lvlJc w:val="left"/>
      <w:pPr>
        <w:ind w:left="25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D8E300">
      <w:start w:val="1"/>
      <w:numFmt w:val="lowerLetter"/>
      <w:lvlText w:val="(%8)"/>
      <w:lvlJc w:val="left"/>
      <w:pPr>
        <w:ind w:left="25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E29C58">
      <w:start w:val="1"/>
      <w:numFmt w:val="lowerLetter"/>
      <w:lvlText w:val="(%9)"/>
      <w:lvlJc w:val="left"/>
      <w:pPr>
        <w:ind w:left="3118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8-29 10:14:3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31866AE069254D7B97819D858F71C11C"/>
    <w:docVar w:name="LW_CROSSREFERENCE" w:val="&lt;UNUSED&gt;"/>
    <w:docVar w:name="LW_DocType" w:val="ANNEX"/>
    <w:docVar w:name="LW_EMISSION" w:val="4.9.2017"/>
    <w:docVar w:name="LW_EMISSION_ISODATE" w:val="2017-09-04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5?\u1072? \u1089?\u1083?\u1077?\u1076?\u1074?\u1072?\u1097?\u1080?\u1090?\u1077? \u1090?\u1088?\u1080? \u1079?\u1072?\u1089?\u1077?\u1076?\u1072?\u1085?\u1080?\u1103? \u1085?\u1072? \u1052?\u1077?\u1078?\u1076?\u1091?\u1085?\u1072?\u1088?\u1086?\u1076?\u1085?\u1072?\u1090?\u1072? \u1082?\u1086?\u1084?\u1080?\u1089?\u1080?\u1103? \u1087?\u1086? \u1082?\u1080?\u1090?\u1086?\u1083?\u1086?\u1074?, \u1074?\u1082?\u1083?\u1102?\u1095?\u1080?\u1090?\u1077?\u1083?\u1085?\u1086? \u1085?\u1072? \u1089?\u1074?\u1098?\u1088?\u1079?\u1072?\u1085?\u1080?\u1090?\u1077? \u1089? \u1090?\u1103?\u1093? \u1079?\u1072?\u1089?\u1077?\u1076?\u1072?\u1085?\u1080?\u1103? \u1080? \u1076?\u1077?\u1081?\u1089?\u1090?\u1074?\u1080?\u1103? \u1084?\u1077?\u1078?\u1076?\u1091? \u1089?\u1077?\u1089?\u1080?\u1080?\u1090?\u1077?"/>
    <w:docVar w:name="LW_PART_NBR" w:val="1"/>
    <w:docVar w:name="LW_PART_NBR_TOTAL" w:val="1"/>
    <w:docVar w:name="LW_REF.INST.NEW" w:val="COM"/>
    <w:docVar w:name="LW_REF.INST.NEW_ADOPTED" w:val="final"/>
    <w:docVar w:name="LW_REF.INST.NEW_TEXT" w:val="(2017) 463"/>
    <w:docVar w:name="LW_REF.INTERNE" w:val="&lt;UNUSED&gt;"/>
    <w:docVar w:name="LW_SUPERTITRE" w:val="&lt;UNUSED&gt;"/>
    <w:docVar w:name="LW_TITRE.OBJ.CP" w:val="\u1082?\u1098?\u1084? \u1087?\u1088?\u1077?\u1076?\u1083?\u1086?\u1078?\u1077?\u1085?\u1080?\u1077? \u1079?\u1072? \u1088?\u1077?\u1096?\u1077?\u1085?\u1080?\u1077? \u1085?\u1072? \u1057?\u1098?\u1074?\u1077?\u1090?\u1072? _x000b__x000b_\u1086?\u1090?\u1085?\u1086?\u1089?\u1085?\u1086?"/>
    <w:docVar w:name="LW_TYPE.DOC.CP" w:val="\u1055?\u1056?\u1048?\u1051?\u1054?\u1046?\u1045?\u1053?\u1048?\u1045?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numbering" w:customStyle="1" w:styleId="ImportedStyle3">
    <w:name w:val="Imported Style 3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numbering" w:customStyle="1" w:styleId="ImportedStyle3">
    <w:name w:val="Imported Style 3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814</Words>
  <Characters>4618</Characters>
  <Application>Microsoft Office Word</Application>
  <DocSecurity>0</DocSecurity>
  <Lines>87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DELVAUX Anne (ENV)</dc:creator>
  <cp:lastModifiedBy>DIGIT/A3</cp:lastModifiedBy>
  <cp:revision>7</cp:revision>
  <cp:lastPrinted>2017-06-27T08:13:00Z</cp:lastPrinted>
  <dcterms:created xsi:type="dcterms:W3CDTF">2017-08-28T13:20:00Z</dcterms:created>
  <dcterms:modified xsi:type="dcterms:W3CDTF">2017-08-29T08:14:00Z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