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C75" w:rsidRDefault="00915D0A" w:rsidP="00915D0A">
      <w:pPr>
        <w:pStyle w:val="Pagedecouverture"/>
      </w:pPr>
      <w:bookmarkStart w:id="0" w:name="_DMBM_8988"/>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304E4B95C3F4A5CAF9121E3FEC8CF72" style="width:450.75pt;height:321pt">
            <v:imagedata r:id="rId10" o:title=""/>
          </v:shape>
        </w:pict>
      </w:r>
    </w:p>
    <w:bookmarkEnd w:id="2"/>
    <w:p w:rsidR="00AA2D40" w:rsidRDefault="00AA2D40" w:rsidP="00AA2D40">
      <w:pPr>
        <w:sectPr w:rsidR="00AA2D40" w:rsidSect="00915D0A">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B0C75" w:rsidRDefault="00FB0C75" w:rsidP="00FB0C75">
      <w:pPr>
        <w:pStyle w:val="CoverPage"/>
      </w:pPr>
      <w:bookmarkStart w:id="3" w:name="_GoBack"/>
      <w:bookmarkEnd w:id="3"/>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bookmarkEnd w:id="0"/>
    <w:p w:rsidR="00FB0C75" w:rsidRPr="00522083" w:rsidRDefault="00FB0C75" w:rsidP="00FB0C75">
      <w:pPr>
        <w:pStyle w:val="CoverPage"/>
        <w:sectPr w:rsidR="00FB0C75" w:rsidRPr="00522083" w:rsidSect="00AA2D40">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p>
    <w:p w:rsidR="00FB0C75" w:rsidRDefault="00525E53" w:rsidP="00FB0C75">
      <w:pPr>
        <w:pStyle w:val="HEADERTABLE"/>
      </w:pPr>
      <w:bookmarkStart w:id="4" w:name="_DMBM_8968"/>
      <w:r>
        <w:lastRenderedPageBreak/>
        <w:t>SOMMAIRE</w:t>
      </w:r>
    </w:p>
    <w:p w:rsidR="00FB0C75" w:rsidRDefault="00FB0C75" w:rsidP="00FB0C75">
      <w:pPr>
        <w:pStyle w:val="HEADERTABLE"/>
      </w:pPr>
    </w:p>
    <w:p w:rsidR="00FB0C75" w:rsidRPr="00E33112" w:rsidRDefault="00FB0C75" w:rsidP="00FB0C75">
      <w:pPr>
        <w:pStyle w:val="HEADERTABLE"/>
      </w:pPr>
    </w:p>
    <w:p w:rsidR="00AB10B7" w:rsidRDefault="008D1615" w:rsidP="003E248E">
      <w:pPr>
        <w:pStyle w:val="TOC1"/>
      </w:pPr>
      <w:r>
        <w:rPr>
          <w:color w:val="000000"/>
          <w:sz w:val="18"/>
          <w:szCs w:val="18"/>
          <w14:textFill>
            <w14:solidFill>
              <w14:srgbClr w14:val="000000">
                <w14:lumMod w14:val="75000"/>
              </w14:srgbClr>
            </w14:solidFill>
          </w14:textFill>
        </w:rPr>
        <w:fldChar w:fldCharType="begin"/>
      </w:r>
      <w:r w:rsidR="00525E53">
        <w:instrText xml:space="preserve"> TOC \h \z \t "FIRST_CHAPTER_PAGE;1;HEADER_TITLE_1;2" </w:instrText>
      </w:r>
      <w:r>
        <w:rPr>
          <w:color w:val="000000"/>
          <w:sz w:val="18"/>
          <w:szCs w:val="18"/>
          <w14:textFill>
            <w14:solidFill>
              <w14:srgbClr w14:val="000000">
                <w14:lumMod w14:val="75000"/>
              </w14:srgbClr>
            </w14:solidFill>
          </w14:textFill>
        </w:rPr>
        <w:fldChar w:fldCharType="separate"/>
      </w:r>
      <w:hyperlink w:anchor="_Toc491678755" w:history="1">
        <w:r w:rsidR="00AB10B7" w:rsidRPr="005D3DED">
          <w:rPr>
            <w:rStyle w:val="Hyperlink"/>
          </w:rPr>
          <w:t>AVANT-PROPOS</w:t>
        </w:r>
        <w:r w:rsidR="00AB10B7">
          <w:rPr>
            <w:webHidden/>
          </w:rPr>
          <w:tab/>
        </w:r>
        <w:r w:rsidR="00AB10B7">
          <w:rPr>
            <w:webHidden/>
          </w:rPr>
          <w:fldChar w:fldCharType="begin"/>
        </w:r>
        <w:r w:rsidR="00AB10B7">
          <w:rPr>
            <w:webHidden/>
          </w:rPr>
          <w:instrText xml:space="preserve"> PAGEREF _Toc491678755 \h </w:instrText>
        </w:r>
        <w:r w:rsidR="00AB10B7">
          <w:rPr>
            <w:webHidden/>
          </w:rPr>
        </w:r>
        <w:r w:rsidR="00AB10B7">
          <w:rPr>
            <w:webHidden/>
          </w:rPr>
          <w:fldChar w:fldCharType="separate"/>
        </w:r>
        <w:r w:rsidR="000C7DC9">
          <w:rPr>
            <w:webHidden/>
          </w:rPr>
          <w:t>3</w:t>
        </w:r>
        <w:r w:rsidR="00AB10B7">
          <w:rPr>
            <w:webHidden/>
          </w:rPr>
          <w:fldChar w:fldCharType="end"/>
        </w:r>
      </w:hyperlink>
    </w:p>
    <w:p w:rsidR="00BD6345" w:rsidRPr="00BD6345" w:rsidRDefault="00BD6345" w:rsidP="00BD6345">
      <w:pPr>
        <w:pStyle w:val="Textstand-alone"/>
        <w:spacing w:before="0" w:after="0"/>
        <w:rPr>
          <w:rFonts w:eastAsiaTheme="minorEastAsia"/>
        </w:rPr>
      </w:pPr>
    </w:p>
    <w:p w:rsidR="00AB10B7" w:rsidRDefault="00915D0A" w:rsidP="003E248E">
      <w:pPr>
        <w:pStyle w:val="TOC1"/>
      </w:pPr>
      <w:hyperlink w:anchor="_Toc491678756" w:history="1">
        <w:r w:rsidR="00AB10B7" w:rsidRPr="005D3DED">
          <w:rPr>
            <w:rStyle w:val="Hyperlink"/>
          </w:rPr>
          <w:t>L’UNION EUROPÉENNE: CADRE POLITIQUE, GOUVERNANCE ET OBLIGATION DE RENDRE COMPTE</w:t>
        </w:r>
        <w:r w:rsidR="00AB10B7">
          <w:rPr>
            <w:webHidden/>
          </w:rPr>
          <w:tab/>
        </w:r>
        <w:r w:rsidR="00AB10B7">
          <w:rPr>
            <w:webHidden/>
          </w:rPr>
          <w:fldChar w:fldCharType="begin"/>
        </w:r>
        <w:r w:rsidR="00AB10B7">
          <w:rPr>
            <w:webHidden/>
          </w:rPr>
          <w:instrText xml:space="preserve"> PAGEREF _Toc491678756 \h </w:instrText>
        </w:r>
        <w:r w:rsidR="00AB10B7">
          <w:rPr>
            <w:webHidden/>
          </w:rPr>
        </w:r>
        <w:r w:rsidR="00AB10B7">
          <w:rPr>
            <w:webHidden/>
          </w:rPr>
          <w:fldChar w:fldCharType="separate"/>
        </w:r>
        <w:r w:rsidR="000C7DC9">
          <w:rPr>
            <w:webHidden/>
          </w:rPr>
          <w:t>5</w:t>
        </w:r>
        <w:r w:rsidR="00AB10B7">
          <w:rPr>
            <w:webHidden/>
          </w:rPr>
          <w:fldChar w:fldCharType="end"/>
        </w:r>
      </w:hyperlink>
    </w:p>
    <w:p w:rsidR="00BD6345" w:rsidRPr="00BD6345" w:rsidRDefault="00BD6345" w:rsidP="00BD6345">
      <w:pPr>
        <w:pStyle w:val="Textstand-alone"/>
        <w:spacing w:before="0" w:after="0"/>
        <w:rPr>
          <w:rFonts w:eastAsiaTheme="minorEastAsia"/>
        </w:rPr>
      </w:pPr>
    </w:p>
    <w:p w:rsidR="00AB10B7" w:rsidRDefault="00915D0A" w:rsidP="003E248E">
      <w:pPr>
        <w:pStyle w:val="TOC1"/>
      </w:pPr>
      <w:hyperlink w:anchor="_Toc491678757" w:history="1">
        <w:r w:rsidR="00AB10B7" w:rsidRPr="005D3DED">
          <w:rPr>
            <w:rStyle w:val="Hyperlink"/>
          </w:rPr>
          <w:t>NOTE ACCOMPAGNANT LES COMPTES CONSOLIDÉS</w:t>
        </w:r>
        <w:r w:rsidR="00AB10B7">
          <w:rPr>
            <w:webHidden/>
          </w:rPr>
          <w:tab/>
        </w:r>
        <w:r w:rsidR="00AB10B7">
          <w:rPr>
            <w:webHidden/>
          </w:rPr>
          <w:fldChar w:fldCharType="begin"/>
        </w:r>
        <w:r w:rsidR="00AB10B7">
          <w:rPr>
            <w:webHidden/>
          </w:rPr>
          <w:instrText xml:space="preserve"> PAGEREF _Toc491678757 \h </w:instrText>
        </w:r>
        <w:r w:rsidR="00AB10B7">
          <w:rPr>
            <w:webHidden/>
          </w:rPr>
        </w:r>
        <w:r w:rsidR="00AB10B7">
          <w:rPr>
            <w:webHidden/>
          </w:rPr>
          <w:fldChar w:fldCharType="separate"/>
        </w:r>
        <w:r w:rsidR="000C7DC9">
          <w:rPr>
            <w:webHidden/>
          </w:rPr>
          <w:t>11</w:t>
        </w:r>
        <w:r w:rsidR="00AB10B7">
          <w:rPr>
            <w:webHidden/>
          </w:rPr>
          <w:fldChar w:fldCharType="end"/>
        </w:r>
      </w:hyperlink>
    </w:p>
    <w:p w:rsidR="00BD6345" w:rsidRPr="00BD6345" w:rsidRDefault="00BD6345" w:rsidP="00BD6345">
      <w:pPr>
        <w:pStyle w:val="Textstand-alone"/>
        <w:spacing w:before="0" w:after="0"/>
        <w:rPr>
          <w:rFonts w:eastAsiaTheme="minorEastAsia"/>
        </w:rPr>
      </w:pPr>
    </w:p>
    <w:p w:rsidR="00AB10B7" w:rsidRDefault="00915D0A" w:rsidP="003E248E">
      <w:pPr>
        <w:pStyle w:val="TOC1"/>
        <w:rPr>
          <w:rFonts w:asciiTheme="minorHAnsi" w:eastAsiaTheme="minorEastAsia" w:hAnsiTheme="minorHAnsi" w:cstheme="minorBidi"/>
          <w:color w:val="000000"/>
          <w:sz w:val="22"/>
          <w:szCs w:val="22"/>
          <w14:textFill>
            <w14:solidFill>
              <w14:srgbClr w14:val="000000">
                <w14:lumMod w14:val="75000"/>
              </w14:srgbClr>
            </w14:solidFill>
          </w14:textFill>
        </w:rPr>
      </w:pPr>
      <w:hyperlink w:anchor="_Toc491678758" w:history="1">
        <w:r w:rsidR="00AB10B7" w:rsidRPr="005D3DED">
          <w:rPr>
            <w:rStyle w:val="Hyperlink"/>
          </w:rPr>
          <w:t>ÉTATS FINANCIERS CONSOLIDÉS ET NOTES ANNEXES</w:t>
        </w:r>
        <w:r w:rsidR="00AB10B7">
          <w:rPr>
            <w:webHidden/>
          </w:rPr>
          <w:tab/>
        </w:r>
        <w:r w:rsidR="00AB10B7">
          <w:rPr>
            <w:webHidden/>
          </w:rPr>
          <w:fldChar w:fldCharType="begin"/>
        </w:r>
        <w:r w:rsidR="00AB10B7">
          <w:rPr>
            <w:webHidden/>
          </w:rPr>
          <w:instrText xml:space="preserve"> PAGEREF _Toc491678758 \h </w:instrText>
        </w:r>
        <w:r w:rsidR="00AB10B7">
          <w:rPr>
            <w:webHidden/>
          </w:rPr>
        </w:r>
        <w:r w:rsidR="00AB10B7">
          <w:rPr>
            <w:webHidden/>
          </w:rPr>
          <w:fldChar w:fldCharType="separate"/>
        </w:r>
        <w:r w:rsidR="000C7DC9">
          <w:rPr>
            <w:webHidden/>
          </w:rPr>
          <w:t>12</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759" w:history="1">
        <w:r w:rsidR="00AB10B7" w:rsidRPr="005D3DED">
          <w:rPr>
            <w:rStyle w:val="Hyperlink"/>
          </w:rPr>
          <w:t>BILAN</w:t>
        </w:r>
        <w:r w:rsidR="00AB10B7">
          <w:rPr>
            <w:webHidden/>
          </w:rPr>
          <w:tab/>
        </w:r>
        <w:r w:rsidR="000C7DC9">
          <w:rPr>
            <w:webHidden/>
          </w:rPr>
          <w:tab/>
        </w:r>
        <w:r w:rsidR="00AB10B7">
          <w:rPr>
            <w:webHidden/>
          </w:rPr>
          <w:fldChar w:fldCharType="begin"/>
        </w:r>
        <w:r w:rsidR="00AB10B7">
          <w:rPr>
            <w:webHidden/>
          </w:rPr>
          <w:instrText xml:space="preserve"> PAGEREF _Toc491678759 \h </w:instrText>
        </w:r>
        <w:r w:rsidR="00AB10B7">
          <w:rPr>
            <w:webHidden/>
          </w:rPr>
        </w:r>
        <w:r w:rsidR="00AB10B7">
          <w:rPr>
            <w:webHidden/>
          </w:rPr>
          <w:fldChar w:fldCharType="separate"/>
        </w:r>
        <w:r w:rsidR="000C7DC9">
          <w:rPr>
            <w:webHidden/>
          </w:rPr>
          <w:t>14</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760" w:history="1">
        <w:r w:rsidR="00AB10B7" w:rsidRPr="005D3DED">
          <w:rPr>
            <w:rStyle w:val="Hyperlink"/>
          </w:rPr>
          <w:t>COMPTE DE RÉSULTAT ÉCONOMIQUE</w:t>
        </w:r>
        <w:r w:rsidR="00AB10B7">
          <w:rPr>
            <w:webHidden/>
          </w:rPr>
          <w:tab/>
        </w:r>
        <w:r w:rsidR="00AB10B7">
          <w:rPr>
            <w:webHidden/>
          </w:rPr>
          <w:fldChar w:fldCharType="begin"/>
        </w:r>
        <w:r w:rsidR="00AB10B7">
          <w:rPr>
            <w:webHidden/>
          </w:rPr>
          <w:instrText xml:space="preserve"> PAGEREF _Toc491678760 \h </w:instrText>
        </w:r>
        <w:r w:rsidR="00AB10B7">
          <w:rPr>
            <w:webHidden/>
          </w:rPr>
        </w:r>
        <w:r w:rsidR="00AB10B7">
          <w:rPr>
            <w:webHidden/>
          </w:rPr>
          <w:fldChar w:fldCharType="separate"/>
        </w:r>
        <w:r w:rsidR="000C7DC9">
          <w:rPr>
            <w:webHidden/>
          </w:rPr>
          <w:t>15</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761" w:history="1">
        <w:r w:rsidR="00AB10B7" w:rsidRPr="005D3DED">
          <w:rPr>
            <w:rStyle w:val="Hyperlink"/>
          </w:rPr>
          <w:t>TABLEAU DES FLUX DE TRÉSORERIE</w:t>
        </w:r>
        <w:r w:rsidR="00AB10B7">
          <w:rPr>
            <w:webHidden/>
          </w:rPr>
          <w:tab/>
        </w:r>
        <w:r w:rsidR="00AB10B7">
          <w:rPr>
            <w:webHidden/>
          </w:rPr>
          <w:fldChar w:fldCharType="begin"/>
        </w:r>
        <w:r w:rsidR="00AB10B7">
          <w:rPr>
            <w:webHidden/>
          </w:rPr>
          <w:instrText xml:space="preserve"> PAGEREF _Toc491678761 \h </w:instrText>
        </w:r>
        <w:r w:rsidR="00AB10B7">
          <w:rPr>
            <w:webHidden/>
          </w:rPr>
        </w:r>
        <w:r w:rsidR="00AB10B7">
          <w:rPr>
            <w:webHidden/>
          </w:rPr>
          <w:fldChar w:fldCharType="separate"/>
        </w:r>
        <w:r w:rsidR="000C7DC9">
          <w:rPr>
            <w:webHidden/>
          </w:rPr>
          <w:t>16</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762" w:history="1">
        <w:r w:rsidR="00AB10B7" w:rsidRPr="005D3DED">
          <w:rPr>
            <w:rStyle w:val="Hyperlink"/>
          </w:rPr>
          <w:t>ÉTAT DES VARIATIONS DE L’ACTIF NET</w:t>
        </w:r>
        <w:r w:rsidR="00AB10B7">
          <w:rPr>
            <w:webHidden/>
          </w:rPr>
          <w:tab/>
        </w:r>
        <w:r w:rsidR="00AB10B7">
          <w:rPr>
            <w:webHidden/>
          </w:rPr>
          <w:fldChar w:fldCharType="begin"/>
        </w:r>
        <w:r w:rsidR="00AB10B7">
          <w:rPr>
            <w:webHidden/>
          </w:rPr>
          <w:instrText xml:space="preserve"> PAGEREF _Toc491678762 \h </w:instrText>
        </w:r>
        <w:r w:rsidR="00AB10B7">
          <w:rPr>
            <w:webHidden/>
          </w:rPr>
        </w:r>
        <w:r w:rsidR="00AB10B7">
          <w:rPr>
            <w:webHidden/>
          </w:rPr>
          <w:fldChar w:fldCharType="separate"/>
        </w:r>
        <w:r w:rsidR="000C7DC9">
          <w:rPr>
            <w:webHidden/>
          </w:rPr>
          <w:t>17</w:t>
        </w:r>
        <w:r w:rsidR="00AB10B7">
          <w:rPr>
            <w:webHidden/>
          </w:rPr>
          <w:fldChar w:fldCharType="end"/>
        </w:r>
      </w:hyperlink>
    </w:p>
    <w:p w:rsidR="00AB10B7" w:rsidRDefault="00915D0A" w:rsidP="003E248E">
      <w:pPr>
        <w:pStyle w:val="TOC2"/>
      </w:pPr>
      <w:hyperlink w:anchor="_Toc491678763" w:history="1">
        <w:r w:rsidR="00AB10B7" w:rsidRPr="005D3DED">
          <w:rPr>
            <w:rStyle w:val="Hyperlink"/>
          </w:rPr>
          <w:t>ANNEXES AUX ÉTATS FINANCIERS</w:t>
        </w:r>
        <w:r w:rsidR="00AB10B7">
          <w:rPr>
            <w:webHidden/>
          </w:rPr>
          <w:tab/>
        </w:r>
        <w:r w:rsidR="00AB10B7">
          <w:rPr>
            <w:webHidden/>
          </w:rPr>
          <w:fldChar w:fldCharType="begin"/>
        </w:r>
        <w:r w:rsidR="00AB10B7">
          <w:rPr>
            <w:webHidden/>
          </w:rPr>
          <w:instrText xml:space="preserve"> PAGEREF _Toc491678763 \h </w:instrText>
        </w:r>
        <w:r w:rsidR="00AB10B7">
          <w:rPr>
            <w:webHidden/>
          </w:rPr>
        </w:r>
        <w:r w:rsidR="00AB10B7">
          <w:rPr>
            <w:webHidden/>
          </w:rPr>
          <w:fldChar w:fldCharType="separate"/>
        </w:r>
        <w:r w:rsidR="000C7DC9">
          <w:rPr>
            <w:webHidden/>
          </w:rPr>
          <w:t>18</w:t>
        </w:r>
        <w:r w:rsidR="00AB10B7">
          <w:rPr>
            <w:webHidden/>
          </w:rPr>
          <w:fldChar w:fldCharType="end"/>
        </w:r>
      </w:hyperlink>
    </w:p>
    <w:p w:rsidR="00BD6345" w:rsidRPr="00BD6345" w:rsidRDefault="00BD6345" w:rsidP="00B2086C">
      <w:pPr>
        <w:pStyle w:val="Textstand-alone"/>
        <w:spacing w:after="0"/>
        <w:rPr>
          <w:rFonts w:eastAsiaTheme="minorEastAsia"/>
        </w:rPr>
      </w:pPr>
    </w:p>
    <w:p w:rsidR="00AB10B7" w:rsidRDefault="00915D0A" w:rsidP="003E248E">
      <w:pPr>
        <w:pStyle w:val="TOC1"/>
      </w:pPr>
      <w:hyperlink w:anchor="_Toc491678764" w:history="1">
        <w:r w:rsidR="00AB10B7" w:rsidRPr="005D3DED">
          <w:rPr>
            <w:rStyle w:val="Hyperlink"/>
          </w:rPr>
          <w:t>EXAMEN ET ANALYSE DES ÉTATS FINANCIERS</w:t>
        </w:r>
        <w:r w:rsidR="00AB10B7">
          <w:rPr>
            <w:webHidden/>
          </w:rPr>
          <w:tab/>
        </w:r>
        <w:r w:rsidR="00AB10B7">
          <w:rPr>
            <w:webHidden/>
          </w:rPr>
          <w:fldChar w:fldCharType="begin"/>
        </w:r>
        <w:r w:rsidR="00AB10B7">
          <w:rPr>
            <w:webHidden/>
          </w:rPr>
          <w:instrText xml:space="preserve"> PAGEREF _Toc491678764 \h </w:instrText>
        </w:r>
        <w:r w:rsidR="00AB10B7">
          <w:rPr>
            <w:webHidden/>
          </w:rPr>
        </w:r>
        <w:r w:rsidR="00AB10B7">
          <w:rPr>
            <w:webHidden/>
          </w:rPr>
          <w:fldChar w:fldCharType="separate"/>
        </w:r>
        <w:r w:rsidR="000C7DC9">
          <w:rPr>
            <w:webHidden/>
          </w:rPr>
          <w:t>95</w:t>
        </w:r>
        <w:r w:rsidR="00AB10B7">
          <w:rPr>
            <w:webHidden/>
          </w:rPr>
          <w:fldChar w:fldCharType="end"/>
        </w:r>
      </w:hyperlink>
    </w:p>
    <w:p w:rsidR="00BD6345" w:rsidRPr="00BD6345" w:rsidRDefault="00BD6345" w:rsidP="00BD6345">
      <w:pPr>
        <w:pStyle w:val="Textstand-alone"/>
        <w:spacing w:before="0" w:after="0"/>
        <w:rPr>
          <w:rFonts w:eastAsiaTheme="minorEastAsia"/>
        </w:rPr>
      </w:pPr>
    </w:p>
    <w:p w:rsidR="00AB10B7" w:rsidRDefault="00915D0A" w:rsidP="003E248E">
      <w:pPr>
        <w:pStyle w:val="TOC1"/>
      </w:pPr>
      <w:hyperlink w:anchor="_Toc491678765" w:history="1">
        <w:r w:rsidR="00AB10B7" w:rsidRPr="005D3DED">
          <w:rPr>
            <w:rStyle w:val="Hyperlink"/>
          </w:rPr>
          <w:t>ÉTATS SUR L’EXÉCUTION BUDGÉTAIRE ET NOTES ANNEXES</w:t>
        </w:r>
        <w:r w:rsidR="00AB10B7">
          <w:rPr>
            <w:webHidden/>
          </w:rPr>
          <w:tab/>
        </w:r>
        <w:r w:rsidR="00AB10B7">
          <w:rPr>
            <w:webHidden/>
          </w:rPr>
          <w:fldChar w:fldCharType="begin"/>
        </w:r>
        <w:r w:rsidR="00AB10B7">
          <w:rPr>
            <w:webHidden/>
          </w:rPr>
          <w:instrText xml:space="preserve"> PAGEREF _Toc491678765 \h </w:instrText>
        </w:r>
        <w:r w:rsidR="00AB10B7">
          <w:rPr>
            <w:webHidden/>
          </w:rPr>
        </w:r>
        <w:r w:rsidR="00AB10B7">
          <w:rPr>
            <w:webHidden/>
          </w:rPr>
          <w:fldChar w:fldCharType="separate"/>
        </w:r>
        <w:r w:rsidR="000C7DC9">
          <w:rPr>
            <w:webHidden/>
          </w:rPr>
          <w:t>111</w:t>
        </w:r>
        <w:r w:rsidR="00AB10B7">
          <w:rPr>
            <w:webHidden/>
          </w:rPr>
          <w:fldChar w:fldCharType="end"/>
        </w:r>
      </w:hyperlink>
    </w:p>
    <w:p w:rsidR="00BD6345" w:rsidRPr="00BD6345" w:rsidRDefault="00BD6345" w:rsidP="00BD6345">
      <w:pPr>
        <w:pStyle w:val="Textstand-alone"/>
        <w:spacing w:before="0" w:after="0"/>
        <w:rPr>
          <w:rFonts w:eastAsiaTheme="minorEastAsia"/>
        </w:rPr>
      </w:pPr>
    </w:p>
    <w:p w:rsidR="00AB10B7" w:rsidRDefault="00915D0A" w:rsidP="003E248E">
      <w:pPr>
        <w:pStyle w:val="TOC1"/>
        <w:rPr>
          <w:rFonts w:asciiTheme="minorHAnsi" w:eastAsiaTheme="minorEastAsia" w:hAnsiTheme="minorHAnsi" w:cstheme="minorBidi"/>
          <w:color w:val="000000"/>
          <w:sz w:val="22"/>
          <w:szCs w:val="22"/>
          <w14:textFill>
            <w14:solidFill>
              <w14:srgbClr w14:val="000000">
                <w14:lumMod w14:val="75000"/>
              </w14:srgbClr>
            </w14:solidFill>
          </w14:textFill>
        </w:rPr>
      </w:pPr>
      <w:hyperlink w:anchor="_Toc491678766" w:history="1">
        <w:r w:rsidR="00AB10B7" w:rsidRPr="005D3DED">
          <w:rPr>
            <w:rStyle w:val="Hyperlink"/>
          </w:rPr>
          <w:t>GLOSSAIRE</w:t>
        </w:r>
        <w:r w:rsidR="00AB10B7">
          <w:rPr>
            <w:webHidden/>
          </w:rPr>
          <w:tab/>
        </w:r>
        <w:r w:rsidR="00AB10B7">
          <w:rPr>
            <w:webHidden/>
          </w:rPr>
          <w:fldChar w:fldCharType="begin"/>
        </w:r>
        <w:r w:rsidR="00AB10B7">
          <w:rPr>
            <w:webHidden/>
          </w:rPr>
          <w:instrText xml:space="preserve"> PAGEREF _Toc491678766 \h </w:instrText>
        </w:r>
        <w:r w:rsidR="00AB10B7">
          <w:rPr>
            <w:webHidden/>
          </w:rPr>
        </w:r>
        <w:r w:rsidR="00AB10B7">
          <w:rPr>
            <w:webHidden/>
          </w:rPr>
          <w:fldChar w:fldCharType="separate"/>
        </w:r>
        <w:r w:rsidR="000C7DC9">
          <w:rPr>
            <w:webHidden/>
          </w:rPr>
          <w:t>145</w:t>
        </w:r>
        <w:r w:rsidR="00AB10B7">
          <w:rPr>
            <w:webHidden/>
          </w:rPr>
          <w:fldChar w:fldCharType="end"/>
        </w:r>
      </w:hyperlink>
    </w:p>
    <w:p w:rsidR="004E0532" w:rsidRDefault="008D1615">
      <w:pPr>
        <w:pStyle w:val="Textstand-alone"/>
        <w:sectPr w:rsidR="004E0532" w:rsidSect="00FB0C75">
          <w:headerReference w:type="even" r:id="rId23"/>
          <w:headerReference w:type="default" r:id="rId24"/>
          <w:footerReference w:type="even" r:id="rId25"/>
          <w:footerReference w:type="default" r:id="rId26"/>
          <w:headerReference w:type="first" r:id="rId27"/>
          <w:footerReference w:type="first" r:id="rId28"/>
          <w:pgSz w:w="11907" w:h="16840"/>
          <w:pgMar w:top="1134" w:right="1134" w:bottom="1134" w:left="1134" w:header="709" w:footer="709" w:gutter="0"/>
          <w:cols w:space="708"/>
          <w:docGrid w:linePitch="360"/>
        </w:sectPr>
      </w:pPr>
      <w:r>
        <w:rPr>
          <w:caps/>
          <w:noProof w:val="0"/>
          <w:color w:val="016894"/>
          <w:sz w:val="20"/>
          <w:szCs w:val="24"/>
        </w:rPr>
        <w:fldChar w:fldCharType="end"/>
      </w:r>
      <w:r>
        <w:rPr>
          <w:caps/>
          <w:noProof w:val="0"/>
          <w:color w:val="016894"/>
          <w:sz w:val="20"/>
        </w:rPr>
        <w:t xml:space="preserve"> </w:t>
      </w:r>
      <w:bookmarkEnd w:id="4"/>
    </w:p>
    <w:p w:rsidR="00FB0C75" w:rsidRDefault="00525E53" w:rsidP="00FB0C75">
      <w:pPr>
        <w:pStyle w:val="FIRSTCHAPTERPAGE"/>
      </w:pPr>
      <w:bookmarkStart w:id="5" w:name="_Toc485724163"/>
      <w:bookmarkStart w:id="6" w:name="_Toc491678755"/>
      <w:bookmarkStart w:id="7" w:name="_DMBM_10819"/>
      <w:r>
        <w:lastRenderedPageBreak/>
        <w:t>AVANT-PROPOS</w:t>
      </w:r>
      <w:bookmarkEnd w:id="5"/>
      <w:bookmarkEnd w:id="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52"/>
      </w:tblGrid>
      <w:tr w:rsidR="005B4EEC" w:rsidTr="00FB0C75">
        <w:tc>
          <w:tcPr>
            <w:tcW w:w="2694" w:type="dxa"/>
          </w:tcPr>
          <w:p w:rsidR="00FB0C75" w:rsidRDefault="00525E53" w:rsidP="00FB0C75">
            <w:pPr>
              <w:jc w:val="both"/>
              <w:rPr>
                <w:rFonts w:ascii="Verdana" w:hAnsi="Verdana"/>
                <w:sz w:val="16"/>
                <w:szCs w:val="16"/>
              </w:rPr>
            </w:pPr>
            <w:r>
              <w:rPr>
                <w:rFonts w:ascii="Verdana" w:hAnsi="Verdana"/>
                <w:noProof/>
                <w:sz w:val="16"/>
                <w:szCs w:val="16"/>
                <w:lang w:val="en-GB" w:eastAsia="en-GB" w:bidi="ar-SA"/>
              </w:rPr>
              <w:drawing>
                <wp:inline distT="0" distB="0" distL="0" distR="0" wp14:anchorId="73A9870A" wp14:editId="49AE763B">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her H. Oettinger_approved_cropp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rsidR="00FB0C75" w:rsidRDefault="003A71F5" w:rsidP="00FB0C75">
            <w:pPr>
              <w:jc w:val="both"/>
              <w:rPr>
                <w:rFonts w:ascii="Verdana" w:hAnsi="Verdana"/>
                <w:sz w:val="18"/>
              </w:rPr>
            </w:pPr>
            <w:r>
              <w:rPr>
                <w:rFonts w:ascii="Verdana" w:hAnsi="Verdana"/>
                <w:sz w:val="18"/>
              </w:rPr>
              <w:t>Je suis très heureux de présenter les comptes annuels de l’Union européenne pour l’exercice </w:t>
            </w:r>
            <w:r w:rsidRPr="00031A85">
              <w:rPr>
                <w:rFonts w:ascii="Verdana" w:hAnsi="Verdana"/>
                <w:sz w:val="18"/>
              </w:rPr>
              <w:t>2016</w:t>
            </w:r>
            <w:r>
              <w:rPr>
                <w:rFonts w:ascii="Verdana" w:hAnsi="Verdana"/>
                <w:sz w:val="18"/>
              </w:rPr>
              <w:t>. Ces comptes procurent une vue d'ensemble des finances de l’UE en </w:t>
            </w:r>
            <w:r w:rsidRPr="00031A85">
              <w:rPr>
                <w:rFonts w:ascii="Verdana" w:hAnsi="Verdana"/>
                <w:sz w:val="18"/>
              </w:rPr>
              <w:t>2016</w:t>
            </w:r>
            <w:r>
              <w:rPr>
                <w:rFonts w:ascii="Verdana" w:hAnsi="Verdana"/>
                <w:sz w:val="18"/>
              </w:rPr>
              <w:t>, notamment des informations sur la situation financière de l’Union, l’exécution du budget pendant l’année, le passif éventuel ainsi que les obligations et engagements financiers contractés par l’Union. Les comptes, qui reflètent le caractère pluriannuel des activités de l’Union, sont en outre assortis d'explications sur les principales données financières et leur évolution.</w:t>
            </w:r>
          </w:p>
          <w:p w:rsidR="00B94F51" w:rsidRPr="00476109" w:rsidRDefault="00B94F51" w:rsidP="00FB0C75">
            <w:pPr>
              <w:jc w:val="both"/>
              <w:rPr>
                <w:rFonts w:ascii="Verdana" w:hAnsi="Verdana"/>
                <w:sz w:val="18"/>
                <w:szCs w:val="18"/>
              </w:rPr>
            </w:pPr>
          </w:p>
          <w:p w:rsidR="00FB0C75" w:rsidRPr="00476109" w:rsidRDefault="003A71F5" w:rsidP="00B94F51">
            <w:pPr>
              <w:jc w:val="both"/>
              <w:rPr>
                <w:rFonts w:ascii="Verdana" w:hAnsi="Verdana"/>
                <w:sz w:val="18"/>
                <w:szCs w:val="18"/>
              </w:rPr>
            </w:pPr>
            <w:r w:rsidRPr="00031A85">
              <w:rPr>
                <w:rFonts w:ascii="Verdana" w:hAnsi="Verdana"/>
                <w:b/>
                <w:sz w:val="18"/>
              </w:rPr>
              <w:t>2016</w:t>
            </w:r>
            <w:r>
              <w:rPr>
                <w:rFonts w:ascii="Verdana" w:hAnsi="Verdana"/>
                <w:b/>
                <w:sz w:val="18"/>
              </w:rPr>
              <w:t xml:space="preserve"> a été une année pleine de réussites mais aussi de défis pour l’Union européenne.</w:t>
            </w:r>
            <w:r>
              <w:rPr>
                <w:rFonts w:ascii="Verdana" w:hAnsi="Verdana"/>
                <w:sz w:val="18"/>
              </w:rPr>
              <w:t xml:space="preserve"> Le budget de l’UE était axé sur </w:t>
            </w:r>
            <w:r>
              <w:rPr>
                <w:rFonts w:ascii="Verdana" w:hAnsi="Verdana"/>
                <w:b/>
                <w:sz w:val="18"/>
              </w:rPr>
              <w:t>le renforcement de l’économie, la dynamisation de l’emploi et de la croissance et les investissements dans la recherche</w:t>
            </w:r>
            <w:r>
              <w:rPr>
                <w:rFonts w:ascii="Verdana" w:hAnsi="Verdana"/>
                <w:sz w:val="18"/>
              </w:rPr>
              <w:t xml:space="preserve">. L'économie européenne et les conditions du marché du travail se sont améliorées et le taux de chômage dans l’UE a reculé. </w:t>
            </w:r>
          </w:p>
        </w:tc>
      </w:tr>
    </w:tbl>
    <w:p w:rsidR="00FB0C75" w:rsidRPr="00AB3D39" w:rsidRDefault="003A71F5" w:rsidP="001B1596">
      <w:pPr>
        <w:spacing w:before="240"/>
        <w:jc w:val="both"/>
        <w:rPr>
          <w:rFonts w:ascii="Verdana" w:hAnsi="Verdana"/>
          <w:sz w:val="18"/>
          <w:szCs w:val="18"/>
        </w:rPr>
      </w:pPr>
      <w:r>
        <w:rPr>
          <w:rFonts w:ascii="Verdana" w:hAnsi="Verdana"/>
          <w:sz w:val="18"/>
        </w:rPr>
        <w:t xml:space="preserve">Moins d'un an et demi après son lancement, le </w:t>
      </w:r>
      <w:r>
        <w:rPr>
          <w:rFonts w:ascii="Verdana" w:hAnsi="Verdana"/>
          <w:b/>
          <w:sz w:val="18"/>
        </w:rPr>
        <w:t>Fonds européen pour les investissements stratégiques (EFSI)</w:t>
      </w:r>
      <w:r>
        <w:rPr>
          <w:rFonts w:ascii="Verdana" w:hAnsi="Verdana"/>
          <w:sz w:val="18"/>
        </w:rPr>
        <w:t xml:space="preserve">, pièce maîtresse du plan d’investissement pour l’Europe, a déjà produit des résultats tangibles. Présent dans l’ensemble des </w:t>
      </w:r>
      <w:r w:rsidRPr="00031A85">
        <w:rPr>
          <w:rFonts w:ascii="Verdana" w:hAnsi="Verdana"/>
          <w:sz w:val="18"/>
        </w:rPr>
        <w:t>28</w:t>
      </w:r>
      <w:r>
        <w:rPr>
          <w:rFonts w:ascii="Verdana" w:hAnsi="Verdana"/>
          <w:sz w:val="18"/>
        </w:rPr>
        <w:t xml:space="preserve"> États membres, ce Fonds avait mobilisé plus de </w:t>
      </w:r>
      <w:r w:rsidRPr="00031A85">
        <w:rPr>
          <w:rFonts w:ascii="Verdana" w:hAnsi="Verdana"/>
          <w:sz w:val="18"/>
        </w:rPr>
        <w:t>190</w:t>
      </w:r>
      <w:r>
        <w:rPr>
          <w:rFonts w:ascii="Verdana" w:hAnsi="Verdana"/>
          <w:sz w:val="18"/>
        </w:rPr>
        <w:t> milliards d’EUR d’investissements à la mi-mai </w:t>
      </w:r>
      <w:r w:rsidRPr="00031A85">
        <w:rPr>
          <w:rFonts w:ascii="Verdana" w:hAnsi="Verdana"/>
          <w:sz w:val="18"/>
        </w:rPr>
        <w:t>2017</w:t>
      </w:r>
      <w:r>
        <w:rPr>
          <w:rFonts w:ascii="Verdana" w:hAnsi="Verdana"/>
          <w:sz w:val="18"/>
        </w:rPr>
        <w:t xml:space="preserve">, soit plus de la moitié de l’objectif de </w:t>
      </w:r>
      <w:r w:rsidRPr="00031A85">
        <w:rPr>
          <w:rFonts w:ascii="Verdana" w:hAnsi="Verdana"/>
          <w:sz w:val="18"/>
        </w:rPr>
        <w:t>315</w:t>
      </w:r>
      <w:r>
        <w:rPr>
          <w:rFonts w:ascii="Verdana" w:hAnsi="Verdana"/>
          <w:sz w:val="18"/>
        </w:rPr>
        <w:t> milliards d’EUR fixé pour le milieu de l'année </w:t>
      </w:r>
      <w:r w:rsidRPr="00031A85">
        <w:rPr>
          <w:rFonts w:ascii="Verdana" w:hAnsi="Verdana"/>
          <w:sz w:val="18"/>
        </w:rPr>
        <w:t>2018</w:t>
      </w:r>
      <w:r>
        <w:rPr>
          <w:rFonts w:ascii="Verdana" w:hAnsi="Verdana"/>
          <w:sz w:val="18"/>
        </w:rPr>
        <w:t>, contribuant ainsi à la relance économique. À la fin de l’année </w:t>
      </w:r>
      <w:r w:rsidRPr="00031A85">
        <w:rPr>
          <w:rFonts w:ascii="Verdana" w:hAnsi="Verdana"/>
          <w:sz w:val="18"/>
        </w:rPr>
        <w:t>2016</w:t>
      </w:r>
      <w:r>
        <w:rPr>
          <w:rFonts w:ascii="Verdana" w:hAnsi="Verdana"/>
          <w:sz w:val="18"/>
        </w:rPr>
        <w:t xml:space="preserve">, le Fonds de garantie, qui couvre les opérations de l’EFSI menées par le groupe BEI, avait été provisionné par des versements issus du budget de l’UE s'établissant, dans les présents comptes annuels, à un montant total de </w:t>
      </w:r>
      <w:r w:rsidRPr="00031A85">
        <w:rPr>
          <w:rFonts w:ascii="Verdana" w:hAnsi="Verdana"/>
          <w:sz w:val="18"/>
        </w:rPr>
        <w:t>1</w:t>
      </w:r>
      <w:r>
        <w:rPr>
          <w:rFonts w:ascii="Verdana" w:hAnsi="Verdana"/>
          <w:sz w:val="18"/>
        </w:rPr>
        <w:t> milliard d’EUR.</w:t>
      </w:r>
    </w:p>
    <w:p w:rsidR="00FB0C75" w:rsidRDefault="00FB0C75" w:rsidP="00FB0C75">
      <w:pPr>
        <w:jc w:val="both"/>
        <w:rPr>
          <w:rFonts w:ascii="Verdana" w:hAnsi="Verdana"/>
          <w:sz w:val="18"/>
          <w:szCs w:val="18"/>
        </w:rPr>
      </w:pPr>
    </w:p>
    <w:p w:rsidR="001B1596" w:rsidRDefault="001B1596" w:rsidP="001B1596">
      <w:pPr>
        <w:jc w:val="both"/>
        <w:rPr>
          <w:rFonts w:ascii="Verdana" w:hAnsi="Verdana"/>
          <w:sz w:val="18"/>
        </w:rPr>
      </w:pPr>
      <w:r>
        <w:rPr>
          <w:rFonts w:ascii="Verdana" w:hAnsi="Verdana"/>
          <w:sz w:val="18"/>
        </w:rPr>
        <w:t>Dynamiser l’emploi, la croissance et les investissements reste la première priorité du budget de l’UE. La Commission poursuit ses efforts en vue de renforcer la reprise économique de l’UE et d’investir dans sa jeunesse et ses demandeurs d’emploi, ainsi que dans les start-ups et les petites et moyennes entreprises (PME). La facilité de garantie de prêts, qui relève du programme «</w:t>
      </w:r>
      <w:r>
        <w:rPr>
          <w:rFonts w:ascii="Verdana" w:hAnsi="Verdana"/>
          <w:b/>
          <w:sz w:val="18"/>
        </w:rPr>
        <w:t>COSME»</w:t>
      </w:r>
      <w:r>
        <w:rPr>
          <w:rFonts w:ascii="Verdana" w:hAnsi="Verdana"/>
          <w:sz w:val="18"/>
        </w:rPr>
        <w:t xml:space="preserve"> («Programme pour la compétitivité des entreprises et des petites et moyennes entreprises»), en est un bon exemple. Celle-ci a continué d'engranger d'excellents résultats en </w:t>
      </w:r>
      <w:r w:rsidRPr="00031A85">
        <w:rPr>
          <w:rFonts w:ascii="Verdana" w:hAnsi="Verdana"/>
          <w:sz w:val="18"/>
        </w:rPr>
        <w:t>2016</w:t>
      </w:r>
      <w:r>
        <w:rPr>
          <w:rFonts w:ascii="Verdana" w:hAnsi="Verdana"/>
          <w:sz w:val="18"/>
        </w:rPr>
        <w:t>, grâce également à la capacité de couverture des risques supplémentaire procurée par l’EFSI. À la fin de l’année </w:t>
      </w:r>
      <w:r w:rsidRPr="00031A85">
        <w:rPr>
          <w:rFonts w:ascii="Verdana" w:hAnsi="Verdana"/>
          <w:sz w:val="18"/>
        </w:rPr>
        <w:t>2016</w:t>
      </w:r>
      <w:r>
        <w:rPr>
          <w:rFonts w:ascii="Verdana" w:hAnsi="Verdana"/>
          <w:sz w:val="18"/>
        </w:rPr>
        <w:t xml:space="preserve">, plus de </w:t>
      </w:r>
      <w:r w:rsidRPr="00031A85">
        <w:rPr>
          <w:rFonts w:ascii="Verdana" w:hAnsi="Verdana"/>
          <w:sz w:val="18"/>
        </w:rPr>
        <w:t>143</w:t>
      </w:r>
      <w:r>
        <w:rPr>
          <w:rFonts w:ascii="Verdana" w:hAnsi="Verdana"/>
          <w:sz w:val="18"/>
        </w:rPr>
        <w:t> </w:t>
      </w:r>
      <w:r w:rsidRPr="00031A85">
        <w:rPr>
          <w:rFonts w:ascii="Verdana" w:hAnsi="Verdana"/>
          <w:sz w:val="18"/>
        </w:rPr>
        <w:t>000</w:t>
      </w:r>
      <w:r>
        <w:rPr>
          <w:rFonts w:ascii="Verdana" w:hAnsi="Verdana"/>
          <w:sz w:val="18"/>
        </w:rPr>
        <w:t xml:space="preserve"> petites et moyennes entreprises dans </w:t>
      </w:r>
      <w:r w:rsidRPr="00031A85">
        <w:rPr>
          <w:rFonts w:ascii="Verdana" w:hAnsi="Verdana"/>
          <w:sz w:val="18"/>
        </w:rPr>
        <w:t>21</w:t>
      </w:r>
      <w:r>
        <w:rPr>
          <w:rFonts w:ascii="Verdana" w:hAnsi="Verdana"/>
          <w:sz w:val="18"/>
        </w:rPr>
        <w:t xml:space="preserve"> pays avaient déjà reçu des financements s'élevant à plus de </w:t>
      </w:r>
      <w:r w:rsidRPr="00031A85">
        <w:rPr>
          <w:rFonts w:ascii="Verdana" w:hAnsi="Verdana"/>
          <w:sz w:val="18"/>
        </w:rPr>
        <w:t>5</w:t>
      </w:r>
      <w:r>
        <w:rPr>
          <w:rFonts w:ascii="Verdana" w:hAnsi="Verdana"/>
          <w:sz w:val="18"/>
        </w:rPr>
        <w:t>,</w:t>
      </w:r>
      <w:r w:rsidRPr="00031A85">
        <w:rPr>
          <w:rFonts w:ascii="Verdana" w:hAnsi="Verdana"/>
          <w:sz w:val="18"/>
        </w:rPr>
        <w:t>5</w:t>
      </w:r>
      <w:r>
        <w:rPr>
          <w:rFonts w:ascii="Verdana" w:hAnsi="Verdana"/>
          <w:sz w:val="18"/>
        </w:rPr>
        <w:t> milliards d’EUR grâce au soutien du programme COSME.</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Pr>
          <w:rFonts w:ascii="Verdana" w:hAnsi="Verdana"/>
          <w:sz w:val="18"/>
        </w:rPr>
        <w:t xml:space="preserve">Le programme </w:t>
      </w:r>
      <w:r>
        <w:rPr>
          <w:rFonts w:ascii="Verdana" w:hAnsi="Verdana"/>
          <w:b/>
          <w:sz w:val="18"/>
        </w:rPr>
        <w:t>Horizon </w:t>
      </w:r>
      <w:r w:rsidRPr="00031A85">
        <w:rPr>
          <w:rFonts w:ascii="Verdana" w:hAnsi="Verdana"/>
          <w:b/>
          <w:sz w:val="18"/>
        </w:rPr>
        <w:t>2020</w:t>
      </w:r>
      <w:r>
        <w:rPr>
          <w:rFonts w:ascii="Verdana" w:hAnsi="Verdana"/>
          <w:sz w:val="18"/>
        </w:rPr>
        <w:t xml:space="preserve"> pour la recherche et l’innovation joue un rôle clé dans la création d’une économie et d’une société fondées sur l’innovation et la connaissance dans l’UE. Il est parvenu à susciter </w:t>
      </w:r>
      <w:r w:rsidRPr="00031A85">
        <w:rPr>
          <w:rFonts w:ascii="Verdana" w:hAnsi="Verdana"/>
          <w:sz w:val="18"/>
        </w:rPr>
        <w:t>49</w:t>
      </w:r>
      <w:r>
        <w:rPr>
          <w:rFonts w:ascii="Verdana" w:hAnsi="Verdana"/>
          <w:sz w:val="18"/>
        </w:rPr>
        <w:t> </w:t>
      </w:r>
      <w:r w:rsidRPr="00031A85">
        <w:rPr>
          <w:rFonts w:ascii="Verdana" w:hAnsi="Verdana"/>
          <w:sz w:val="18"/>
        </w:rPr>
        <w:t>000</w:t>
      </w:r>
      <w:r>
        <w:rPr>
          <w:rFonts w:ascii="Verdana" w:hAnsi="Verdana"/>
          <w:sz w:val="18"/>
        </w:rPr>
        <w:t xml:space="preserve"> participations, ayant donné lieu à la signature de conventions de subvention pour un montant total de </w:t>
      </w:r>
      <w:r w:rsidRPr="00031A85">
        <w:rPr>
          <w:rFonts w:ascii="Verdana" w:hAnsi="Verdana"/>
          <w:sz w:val="18"/>
        </w:rPr>
        <w:t>20</w:t>
      </w:r>
      <w:r>
        <w:rPr>
          <w:rFonts w:ascii="Verdana" w:hAnsi="Verdana"/>
          <w:sz w:val="18"/>
        </w:rPr>
        <w:t>,</w:t>
      </w:r>
      <w:r w:rsidRPr="00031A85">
        <w:rPr>
          <w:rFonts w:ascii="Verdana" w:hAnsi="Verdana"/>
          <w:sz w:val="18"/>
        </w:rPr>
        <w:t>5</w:t>
      </w:r>
      <w:r>
        <w:rPr>
          <w:rFonts w:ascii="Verdana" w:hAnsi="Verdana"/>
          <w:sz w:val="18"/>
        </w:rPr>
        <w:t xml:space="preserve"> milliards d’EUR. Plus de </w:t>
      </w:r>
      <w:r w:rsidRPr="00031A85">
        <w:rPr>
          <w:rFonts w:ascii="Verdana" w:hAnsi="Verdana"/>
          <w:sz w:val="18"/>
        </w:rPr>
        <w:t>21</w:t>
      </w:r>
      <w:r>
        <w:rPr>
          <w:rFonts w:ascii="Verdana" w:hAnsi="Verdana"/>
          <w:sz w:val="18"/>
        </w:rPr>
        <w:t> % des participations ont été le fait de PME. Le renforcement des activités menées dans le cadre d’Horizon </w:t>
      </w:r>
      <w:r w:rsidRPr="00031A85">
        <w:rPr>
          <w:rFonts w:ascii="Verdana" w:hAnsi="Verdana"/>
          <w:sz w:val="18"/>
        </w:rPr>
        <w:t>2020</w:t>
      </w:r>
      <w:r>
        <w:rPr>
          <w:rFonts w:ascii="Verdana" w:hAnsi="Verdana"/>
          <w:sz w:val="18"/>
        </w:rPr>
        <w:t xml:space="preserve"> se reflète dans la hausse de près de </w:t>
      </w:r>
      <w:r w:rsidRPr="00031A85">
        <w:rPr>
          <w:rFonts w:ascii="Verdana" w:hAnsi="Verdana"/>
          <w:sz w:val="18"/>
        </w:rPr>
        <w:t>40</w:t>
      </w:r>
      <w:r>
        <w:rPr>
          <w:rFonts w:ascii="Verdana" w:hAnsi="Verdana"/>
          <w:sz w:val="18"/>
        </w:rPr>
        <w:t> % par rapport à l’année précédente en faveur des instruments de garantie Horizon </w:t>
      </w:r>
      <w:r w:rsidRPr="00031A85">
        <w:rPr>
          <w:rFonts w:ascii="Verdana" w:hAnsi="Verdana"/>
          <w:sz w:val="18"/>
        </w:rPr>
        <w:t>2020</w:t>
      </w:r>
      <w:r>
        <w:rPr>
          <w:rFonts w:ascii="Verdana" w:hAnsi="Verdana"/>
          <w:sz w:val="18"/>
        </w:rPr>
        <w:t>, repris dans les présents comptes.</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Pr>
          <w:rFonts w:ascii="Verdana" w:hAnsi="Verdana"/>
          <w:sz w:val="18"/>
        </w:rPr>
        <w:t>À la suite de la déclaration de services initiaux en </w:t>
      </w:r>
      <w:r w:rsidRPr="00031A85">
        <w:rPr>
          <w:rFonts w:ascii="Verdana" w:hAnsi="Verdana"/>
          <w:sz w:val="18"/>
        </w:rPr>
        <w:t>2016</w:t>
      </w:r>
      <w:r>
        <w:rPr>
          <w:rFonts w:ascii="Verdana" w:hAnsi="Verdana"/>
          <w:sz w:val="18"/>
        </w:rPr>
        <w:t xml:space="preserve">, le </w:t>
      </w:r>
      <w:r>
        <w:rPr>
          <w:rFonts w:ascii="Verdana" w:hAnsi="Verdana"/>
          <w:b/>
          <w:sz w:val="18"/>
        </w:rPr>
        <w:t>programme Galileo</w:t>
      </w:r>
      <w:r>
        <w:rPr>
          <w:rFonts w:ascii="Verdana" w:hAnsi="Verdana"/>
          <w:sz w:val="18"/>
        </w:rPr>
        <w:t>, qui vise à établir un système global de navigation par satellite propre à l’Europe, a quitté sa phase de déploiement pour entrer dans sa phase d’exploitation en </w:t>
      </w:r>
      <w:r w:rsidRPr="00031A85">
        <w:rPr>
          <w:rFonts w:ascii="Verdana" w:hAnsi="Verdana"/>
          <w:sz w:val="18"/>
        </w:rPr>
        <w:t>2016</w:t>
      </w:r>
      <w:r>
        <w:rPr>
          <w:rFonts w:ascii="Verdana" w:hAnsi="Verdana"/>
          <w:sz w:val="18"/>
        </w:rPr>
        <w:t xml:space="preserve">. La valeur des satellites Galileo opérationnels et de l’infrastructure au sol inscrite dans les présents comptes s'élevait à </w:t>
      </w:r>
      <w:r w:rsidRPr="00031A85">
        <w:rPr>
          <w:rFonts w:ascii="Verdana" w:hAnsi="Verdana"/>
          <w:sz w:val="18"/>
        </w:rPr>
        <w:t>2</w:t>
      </w:r>
      <w:r>
        <w:rPr>
          <w:rFonts w:ascii="Verdana" w:hAnsi="Verdana"/>
          <w:sz w:val="18"/>
        </w:rPr>
        <w:t> milliards d’EUR à la fin de l’année </w:t>
      </w:r>
      <w:r w:rsidRPr="00031A85">
        <w:rPr>
          <w:rFonts w:ascii="Verdana" w:hAnsi="Verdana"/>
          <w:sz w:val="18"/>
        </w:rPr>
        <w:t>2016</w:t>
      </w:r>
      <w:r>
        <w:rPr>
          <w:rFonts w:ascii="Verdana" w:hAnsi="Verdana"/>
          <w:sz w:val="18"/>
        </w:rPr>
        <w:t>. La mise en œuvre de projets dans le cadre du programme Horizon </w:t>
      </w:r>
      <w:r w:rsidRPr="00031A85">
        <w:rPr>
          <w:rFonts w:ascii="Verdana" w:hAnsi="Verdana"/>
          <w:sz w:val="18"/>
        </w:rPr>
        <w:t>2020</w:t>
      </w:r>
      <w:r>
        <w:rPr>
          <w:rFonts w:ascii="Verdana" w:hAnsi="Verdana"/>
          <w:sz w:val="18"/>
        </w:rPr>
        <w:t xml:space="preserve"> a encouragé l’élaboration de nouvelles applications Galileo. Ces projets ont déjà permis l’introduction de </w:t>
      </w:r>
      <w:r w:rsidRPr="00031A85">
        <w:rPr>
          <w:rFonts w:ascii="Verdana" w:hAnsi="Verdana"/>
          <w:sz w:val="18"/>
        </w:rPr>
        <w:t>13</w:t>
      </w:r>
      <w:r>
        <w:rPr>
          <w:rFonts w:ascii="Verdana" w:hAnsi="Verdana"/>
          <w:sz w:val="18"/>
        </w:rPr>
        <w:t xml:space="preserve"> innovations sur le marché, le dépôt de </w:t>
      </w:r>
      <w:r w:rsidRPr="00031A85">
        <w:rPr>
          <w:rFonts w:ascii="Verdana" w:hAnsi="Verdana"/>
          <w:sz w:val="18"/>
        </w:rPr>
        <w:t>5</w:t>
      </w:r>
      <w:r>
        <w:rPr>
          <w:rFonts w:ascii="Verdana" w:hAnsi="Verdana"/>
          <w:sz w:val="18"/>
        </w:rPr>
        <w:t xml:space="preserve"> brevets, l'élaboration de </w:t>
      </w:r>
      <w:r w:rsidRPr="00031A85">
        <w:rPr>
          <w:rFonts w:ascii="Verdana" w:hAnsi="Verdana"/>
          <w:sz w:val="18"/>
        </w:rPr>
        <w:t>34</w:t>
      </w:r>
      <w:r>
        <w:rPr>
          <w:rFonts w:ascii="Verdana" w:hAnsi="Verdana"/>
          <w:sz w:val="18"/>
        </w:rPr>
        <w:t xml:space="preserve"> prototypes avancés, la mise sur le marché de deux produits et la publication de </w:t>
      </w:r>
      <w:r w:rsidRPr="00031A85">
        <w:rPr>
          <w:rFonts w:ascii="Verdana" w:hAnsi="Verdana"/>
          <w:sz w:val="18"/>
        </w:rPr>
        <w:t>223</w:t>
      </w:r>
      <w:r>
        <w:rPr>
          <w:rFonts w:ascii="Verdana" w:hAnsi="Verdana"/>
          <w:sz w:val="18"/>
        </w:rPr>
        <w:t xml:space="preserve"> articles scientifiques. Le marché du système global de navigation par satellite devrait passer de </w:t>
      </w:r>
      <w:r w:rsidRPr="00031A85">
        <w:rPr>
          <w:rFonts w:ascii="Verdana" w:hAnsi="Verdana"/>
          <w:sz w:val="18"/>
        </w:rPr>
        <w:t>5</w:t>
      </w:r>
      <w:r>
        <w:rPr>
          <w:rFonts w:ascii="Verdana" w:hAnsi="Verdana"/>
          <w:sz w:val="18"/>
        </w:rPr>
        <w:t>,</w:t>
      </w:r>
      <w:r w:rsidRPr="00031A85">
        <w:rPr>
          <w:rFonts w:ascii="Verdana" w:hAnsi="Verdana"/>
          <w:sz w:val="18"/>
        </w:rPr>
        <w:t>8</w:t>
      </w:r>
      <w:r>
        <w:rPr>
          <w:rFonts w:ascii="Verdana" w:hAnsi="Verdana"/>
          <w:sz w:val="18"/>
        </w:rPr>
        <w:t> milliards d’appareils en service en </w:t>
      </w:r>
      <w:r w:rsidRPr="00031A85">
        <w:rPr>
          <w:rFonts w:ascii="Verdana" w:hAnsi="Verdana"/>
          <w:sz w:val="18"/>
        </w:rPr>
        <w:t>2017</w:t>
      </w:r>
      <w:r>
        <w:rPr>
          <w:rFonts w:ascii="Verdana" w:hAnsi="Verdana"/>
          <w:sz w:val="18"/>
        </w:rPr>
        <w:t xml:space="preserve"> à environ </w:t>
      </w:r>
      <w:r w:rsidRPr="00031A85">
        <w:rPr>
          <w:rFonts w:ascii="Verdana" w:hAnsi="Verdana"/>
          <w:sz w:val="18"/>
        </w:rPr>
        <w:t>8</w:t>
      </w:r>
      <w:r>
        <w:rPr>
          <w:rFonts w:ascii="Verdana" w:hAnsi="Verdana"/>
          <w:sz w:val="18"/>
        </w:rPr>
        <w:t> milliards d’ici à </w:t>
      </w:r>
      <w:r w:rsidRPr="00031A85">
        <w:rPr>
          <w:rFonts w:ascii="Verdana" w:hAnsi="Verdana"/>
          <w:sz w:val="18"/>
        </w:rPr>
        <w:t>2020</w:t>
      </w:r>
      <w:r>
        <w:rPr>
          <w:rFonts w:ascii="Verdana" w:hAnsi="Verdana"/>
          <w:sz w:val="18"/>
        </w:rPr>
        <w:t>.</w:t>
      </w:r>
    </w:p>
    <w:p w:rsidR="001B1596" w:rsidRDefault="001B1596" w:rsidP="001B1596">
      <w:pPr>
        <w:jc w:val="both"/>
        <w:rPr>
          <w:rFonts w:ascii="Verdana" w:hAnsi="Verdana"/>
          <w:sz w:val="18"/>
        </w:rPr>
      </w:pPr>
    </w:p>
    <w:p w:rsidR="001B1596" w:rsidRPr="00A75D1D" w:rsidRDefault="001B1596" w:rsidP="001B1596">
      <w:pPr>
        <w:jc w:val="both"/>
        <w:rPr>
          <w:rFonts w:ascii="Verdana" w:hAnsi="Verdana"/>
          <w:sz w:val="18"/>
        </w:rPr>
      </w:pPr>
      <w:r>
        <w:rPr>
          <w:rFonts w:ascii="Verdana" w:hAnsi="Verdana"/>
          <w:sz w:val="18"/>
        </w:rPr>
        <w:t xml:space="preserve">Dans le domaine des transports, le </w:t>
      </w:r>
      <w:r>
        <w:rPr>
          <w:rFonts w:ascii="Verdana" w:hAnsi="Verdana"/>
          <w:b/>
          <w:sz w:val="18"/>
        </w:rPr>
        <w:t>mécanisme pour l’interconnexion en Europe (MIE)</w:t>
      </w:r>
      <w:r>
        <w:rPr>
          <w:rFonts w:ascii="Verdana" w:hAnsi="Verdana"/>
          <w:sz w:val="18"/>
        </w:rPr>
        <w:t xml:space="preserve">, dont l’objectif est de faciliter, pour les projets d'infrastructures, l'accès aux financements dans les secteurs des transports, des télécommunications et de l'énergie, a contribué aux travaux du tunnel ferroviaire de base du Brenner qui, avec ses </w:t>
      </w:r>
      <w:r w:rsidRPr="00031A85">
        <w:rPr>
          <w:rFonts w:ascii="Verdana" w:hAnsi="Verdana"/>
          <w:sz w:val="18"/>
        </w:rPr>
        <w:t>64</w:t>
      </w:r>
      <w:r>
        <w:rPr>
          <w:rFonts w:ascii="Verdana" w:hAnsi="Verdana"/>
          <w:sz w:val="18"/>
        </w:rPr>
        <w:t> km, sera le plus long tunnel ferroviaire de grande capacité au monde. L’instrument de prêt du MIE, qui figure lui aussi dans les comptes, propose de partager les risques du financement des emprunts sous forme de dette ou de garanties privilégiée(s) et subordonnée(s) ainsi que d’un soutien aux emprunts obligataires pour le financement de projets.</w:t>
      </w:r>
    </w:p>
    <w:p w:rsidR="001B1596" w:rsidRDefault="001B1596" w:rsidP="001B1596">
      <w:pPr>
        <w:jc w:val="both"/>
        <w:rPr>
          <w:rFonts w:ascii="Verdana" w:hAnsi="Verdana"/>
          <w:sz w:val="18"/>
          <w:szCs w:val="18"/>
        </w:rPr>
      </w:pPr>
    </w:p>
    <w:p w:rsidR="001B1596" w:rsidRPr="009A5198" w:rsidRDefault="001B1596" w:rsidP="001B1596">
      <w:pPr>
        <w:pStyle w:val="AMPRText"/>
        <w:spacing w:line="240" w:lineRule="auto"/>
        <w:rPr>
          <w:rFonts w:ascii="Verdana" w:hAnsi="Verdana"/>
          <w:color w:val="auto"/>
          <w:sz w:val="18"/>
        </w:rPr>
      </w:pPr>
      <w:r>
        <w:rPr>
          <w:rFonts w:ascii="Verdana" w:hAnsi="Verdana"/>
          <w:color w:val="auto"/>
          <w:sz w:val="18"/>
        </w:rPr>
        <w:t xml:space="preserve">En </w:t>
      </w:r>
      <w:r w:rsidRPr="00031A85">
        <w:rPr>
          <w:rFonts w:ascii="Verdana" w:hAnsi="Verdana"/>
          <w:color w:val="auto"/>
          <w:sz w:val="18"/>
        </w:rPr>
        <w:t>2016</w:t>
      </w:r>
      <w:r>
        <w:rPr>
          <w:rFonts w:ascii="Verdana" w:hAnsi="Verdana"/>
          <w:color w:val="auto"/>
          <w:sz w:val="18"/>
        </w:rPr>
        <w:t xml:space="preserve">, l’Europe a continué d’apporter une réponse aux nouveaux défis liés à l’évolution de la situation géopolitique. L’Union utilise son budget pour aider les États membres à </w:t>
      </w:r>
      <w:r>
        <w:rPr>
          <w:rFonts w:ascii="Verdana" w:hAnsi="Verdana"/>
          <w:b/>
          <w:color w:val="auto"/>
          <w:sz w:val="18"/>
        </w:rPr>
        <w:t>gérer les flux migratoires de manière adéquate</w:t>
      </w:r>
      <w:r>
        <w:rPr>
          <w:rFonts w:ascii="Verdana" w:hAnsi="Verdana"/>
          <w:color w:val="auto"/>
          <w:sz w:val="18"/>
        </w:rPr>
        <w:t>, en traitant les causes profondes de la migration et en protégeant l’espace Schengen. La mise en œuvre des programmes nationaux des États membres financés par le Fonds «Asile, migration et intégration» et le Fonds pour la sécurité intérieure s’est accélérée en </w:t>
      </w:r>
      <w:r w:rsidRPr="00031A85">
        <w:rPr>
          <w:rFonts w:ascii="Verdana" w:hAnsi="Verdana"/>
          <w:color w:val="auto"/>
          <w:sz w:val="18"/>
        </w:rPr>
        <w:t>2016</w:t>
      </w:r>
      <w:r>
        <w:rPr>
          <w:rFonts w:ascii="Verdana" w:hAnsi="Verdana"/>
          <w:color w:val="auto"/>
          <w:sz w:val="18"/>
        </w:rPr>
        <w:t xml:space="preserve">. </w:t>
      </w:r>
    </w:p>
    <w:p w:rsidR="001B1596" w:rsidRDefault="001B1596" w:rsidP="001B1596">
      <w:pPr>
        <w:jc w:val="both"/>
        <w:rPr>
          <w:rFonts w:ascii="Verdana" w:hAnsi="Verdana"/>
          <w:sz w:val="18"/>
        </w:rPr>
      </w:pPr>
      <w:r>
        <w:rPr>
          <w:rFonts w:ascii="Verdana" w:hAnsi="Verdana"/>
          <w:sz w:val="18"/>
        </w:rPr>
        <w:t xml:space="preserve">La Commission a également mis en place la </w:t>
      </w:r>
      <w:r>
        <w:rPr>
          <w:rFonts w:ascii="Verdana" w:hAnsi="Verdana"/>
          <w:b/>
          <w:sz w:val="18"/>
        </w:rPr>
        <w:t>facilité en faveur des réfugiés en Turquie</w:t>
      </w:r>
      <w:r>
        <w:rPr>
          <w:rFonts w:ascii="Verdana" w:hAnsi="Verdana"/>
          <w:sz w:val="18"/>
        </w:rPr>
        <w:t xml:space="preserve">, qui est devenue opérationnelle le </w:t>
      </w:r>
      <w:r w:rsidRPr="00031A85">
        <w:rPr>
          <w:rFonts w:ascii="Verdana" w:hAnsi="Verdana"/>
          <w:sz w:val="18"/>
        </w:rPr>
        <w:t>17</w:t>
      </w:r>
      <w:r>
        <w:rPr>
          <w:rFonts w:ascii="Verdana" w:hAnsi="Verdana"/>
          <w:sz w:val="18"/>
        </w:rPr>
        <w:t> février </w:t>
      </w:r>
      <w:r w:rsidRPr="00031A85">
        <w:rPr>
          <w:rFonts w:ascii="Verdana" w:hAnsi="Verdana"/>
          <w:sz w:val="18"/>
        </w:rPr>
        <w:t>2016</w:t>
      </w:r>
      <w:r>
        <w:rPr>
          <w:rFonts w:ascii="Verdana" w:hAnsi="Verdana"/>
          <w:sz w:val="18"/>
        </w:rPr>
        <w:t xml:space="preserve"> et pour laquelle les États membres ont versé, comme l'indiquent les comptes, </w:t>
      </w:r>
      <w:r w:rsidRPr="00031A85">
        <w:rPr>
          <w:rFonts w:ascii="Verdana" w:hAnsi="Verdana"/>
          <w:sz w:val="18"/>
        </w:rPr>
        <w:t>630</w:t>
      </w:r>
      <w:r>
        <w:rPr>
          <w:rFonts w:ascii="Verdana" w:hAnsi="Verdana"/>
          <w:sz w:val="18"/>
        </w:rPr>
        <w:t> millions d’EUR de contributions, encaissées en </w:t>
      </w:r>
      <w:r w:rsidRPr="00031A85">
        <w:rPr>
          <w:rFonts w:ascii="Verdana" w:hAnsi="Verdana"/>
          <w:sz w:val="18"/>
        </w:rPr>
        <w:t>2016</w:t>
      </w:r>
      <w:r>
        <w:rPr>
          <w:rFonts w:ascii="Verdana" w:hAnsi="Verdana"/>
          <w:sz w:val="18"/>
        </w:rPr>
        <w:t>. La facilité a notamment permis à la Commission de lancer un programme innovant intitulé «Filet de sécurité sociale d’urgence», dont l’objectif est d’aider jusqu’à un million de réfugiés parmi les plus vulnérables présents en Turquie grâce à des allocations régulières en espèces. Il s’agit d’un exemple de l’utilisation accrue de l’assistance issue du budget de l’UE pour fournir une aide efficiente et efficace aux personnes se trouvant dans des situations d’urgence.</w:t>
      </w:r>
    </w:p>
    <w:p w:rsidR="001B1596" w:rsidRDefault="001B1596" w:rsidP="001B1596">
      <w:pPr>
        <w:jc w:val="both"/>
        <w:rPr>
          <w:rFonts w:ascii="Verdana" w:hAnsi="Verdana"/>
          <w:sz w:val="18"/>
        </w:rPr>
      </w:pPr>
    </w:p>
    <w:p w:rsidR="001B1596" w:rsidRPr="00EC4534" w:rsidRDefault="001B1596" w:rsidP="001B1596">
      <w:pPr>
        <w:jc w:val="both"/>
        <w:rPr>
          <w:rFonts w:ascii="Verdana" w:hAnsi="Verdana"/>
          <w:sz w:val="18"/>
        </w:rPr>
      </w:pPr>
      <w:r>
        <w:rPr>
          <w:rFonts w:ascii="Verdana" w:hAnsi="Verdana"/>
          <w:sz w:val="18"/>
        </w:rPr>
        <w:t>En juin </w:t>
      </w:r>
      <w:r w:rsidRPr="00031A85">
        <w:rPr>
          <w:rFonts w:ascii="Verdana" w:hAnsi="Verdana"/>
          <w:sz w:val="18"/>
        </w:rPr>
        <w:t>2016</w:t>
      </w:r>
      <w:r>
        <w:rPr>
          <w:rFonts w:ascii="Verdana" w:hAnsi="Verdana"/>
          <w:sz w:val="18"/>
        </w:rPr>
        <w:t xml:space="preserve">, la Commission a proposé un nouveau cadre de partenariat avec les pays tiers au titre de l’agenda européen en matière de migration. Ce cadre constitue une approche européenne tendant à l’approfondissement de la coopération avec les pays d’origine, de transit et de destination des flux migratoires. Il est soutenu par la plupart des programmes relevant de la rubrique «L’Europe dans le monde», mais aussi par les fonds fiduciaires correspondants de l’UE, notamment le </w:t>
      </w:r>
      <w:r>
        <w:rPr>
          <w:rFonts w:ascii="Verdana" w:hAnsi="Verdana"/>
          <w:b/>
          <w:sz w:val="18"/>
        </w:rPr>
        <w:t>fonds fiduciaire</w:t>
      </w:r>
      <w:r>
        <w:rPr>
          <w:rFonts w:ascii="Verdana" w:hAnsi="Verdana"/>
          <w:sz w:val="18"/>
        </w:rPr>
        <w:t xml:space="preserve"> pour la Syrie, qui figure dans les présents comptes annuels. Il est essentiel que ce cadre de partenariat bénéficie de financements suffisants si l’on veut être en mesure de renforcer la coopération avec les pays partenaires prioritaires et poursuivre les efforts sur la route migratoire de la Méditerranée centrale.</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b/>
          <w:sz w:val="18"/>
        </w:rPr>
        <w:t>D’autres défis mondiaux, tels que le changement climatique, ont conservé leur place prioritaire dans le budget de l’UE.</w:t>
      </w:r>
      <w:r>
        <w:rPr>
          <w:rFonts w:ascii="Verdana" w:hAnsi="Verdana"/>
          <w:sz w:val="18"/>
        </w:rPr>
        <w:t xml:space="preserve"> </w:t>
      </w:r>
      <w:r>
        <w:rPr>
          <w:rFonts w:ascii="Verdana" w:hAnsi="Verdana"/>
          <w:color w:val="000000"/>
          <w:sz w:val="18"/>
        </w:rPr>
        <w:t xml:space="preserve">En </w:t>
      </w:r>
      <w:r w:rsidRPr="00031A85">
        <w:rPr>
          <w:rFonts w:ascii="Verdana" w:hAnsi="Verdana"/>
          <w:color w:val="000000"/>
          <w:sz w:val="18"/>
        </w:rPr>
        <w:t>2016</w:t>
      </w:r>
      <w:r>
        <w:rPr>
          <w:rFonts w:ascii="Verdana" w:hAnsi="Verdana"/>
          <w:color w:val="000000"/>
          <w:sz w:val="18"/>
        </w:rPr>
        <w:t xml:space="preserve">, la contribution totale à l’intégration de la question du changement climatique a été estimée à </w:t>
      </w:r>
      <w:r w:rsidRPr="00031A85">
        <w:rPr>
          <w:rFonts w:ascii="Verdana" w:hAnsi="Verdana"/>
          <w:color w:val="000000"/>
          <w:sz w:val="18"/>
        </w:rPr>
        <w:t>20</w:t>
      </w:r>
      <w:r>
        <w:rPr>
          <w:rFonts w:ascii="Verdana" w:hAnsi="Verdana"/>
          <w:color w:val="000000"/>
          <w:sz w:val="18"/>
        </w:rPr>
        <w:t>,</w:t>
      </w:r>
      <w:r w:rsidRPr="00031A85">
        <w:rPr>
          <w:rFonts w:ascii="Verdana" w:hAnsi="Verdana"/>
          <w:color w:val="000000"/>
          <w:sz w:val="18"/>
        </w:rPr>
        <w:t>9</w:t>
      </w:r>
      <w:r>
        <w:rPr>
          <w:rFonts w:ascii="Verdana" w:hAnsi="Verdana"/>
          <w:color w:val="000000"/>
          <w:sz w:val="18"/>
        </w:rPr>
        <w:t> %, conformément à l’objectif fixé pour la période </w:t>
      </w:r>
      <w:r w:rsidRPr="00031A85">
        <w:rPr>
          <w:rFonts w:ascii="Verdana" w:hAnsi="Verdana"/>
          <w:color w:val="000000"/>
          <w:sz w:val="18"/>
        </w:rPr>
        <w:t>2014</w:t>
      </w:r>
      <w:r>
        <w:rPr>
          <w:rFonts w:ascii="Verdana" w:hAnsi="Verdana"/>
          <w:color w:val="000000"/>
          <w:sz w:val="18"/>
        </w:rPr>
        <w:t>-</w:t>
      </w:r>
      <w:r w:rsidRPr="00031A85">
        <w:rPr>
          <w:rFonts w:ascii="Verdana" w:hAnsi="Verdana"/>
          <w:color w:val="000000"/>
          <w:sz w:val="18"/>
        </w:rPr>
        <w:t>2020</w:t>
      </w:r>
      <w:r>
        <w:rPr>
          <w:rFonts w:ascii="Verdana" w:hAnsi="Verdana"/>
          <w:color w:val="000000"/>
          <w:sz w:val="18"/>
        </w:rPr>
        <w:t xml:space="preserve"> de l'actuel cadre financier pluriannuel (CFP).</w:t>
      </w:r>
      <w:r>
        <w:rPr>
          <w:rFonts w:ascii="Verdana" w:hAnsi="Verdana"/>
          <w:color w:val="000000"/>
          <w:sz w:val="12"/>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sz w:val="18"/>
        </w:rPr>
        <w:t xml:space="preserve">Sous l’angle budgétaire, les </w:t>
      </w:r>
      <w:r>
        <w:rPr>
          <w:rFonts w:ascii="Verdana" w:hAnsi="Verdana"/>
          <w:b/>
          <w:sz w:val="18"/>
        </w:rPr>
        <w:t>Fonds structurels et d’investissement européens</w:t>
      </w:r>
      <w:r>
        <w:rPr>
          <w:rFonts w:ascii="Verdana" w:hAnsi="Verdana"/>
          <w:sz w:val="18"/>
        </w:rPr>
        <w:t xml:space="preserve"> et la </w:t>
      </w:r>
      <w:r>
        <w:rPr>
          <w:rFonts w:ascii="Verdana" w:hAnsi="Verdana"/>
          <w:b/>
          <w:sz w:val="18"/>
        </w:rPr>
        <w:t>politique agricole commune</w:t>
      </w:r>
      <w:r>
        <w:rPr>
          <w:rFonts w:ascii="Verdana" w:hAnsi="Verdana"/>
          <w:sz w:val="18"/>
        </w:rPr>
        <w:t xml:space="preserve"> demeurent les principaux instruments d’investissement de l’UE. </w:t>
      </w:r>
      <w:r w:rsidRPr="00031A85">
        <w:rPr>
          <w:rFonts w:ascii="Verdana" w:hAnsi="Verdana"/>
          <w:sz w:val="18"/>
        </w:rPr>
        <w:t>57</w:t>
      </w:r>
      <w:r>
        <w:rPr>
          <w:rFonts w:ascii="Verdana" w:hAnsi="Verdana"/>
          <w:sz w:val="18"/>
        </w:rPr>
        <w:t>,</w:t>
      </w:r>
      <w:r w:rsidRPr="00031A85">
        <w:rPr>
          <w:rFonts w:ascii="Verdana" w:hAnsi="Verdana"/>
          <w:sz w:val="18"/>
        </w:rPr>
        <w:t>4</w:t>
      </w:r>
      <w:r>
        <w:rPr>
          <w:rFonts w:ascii="Verdana" w:hAnsi="Verdana"/>
          <w:sz w:val="18"/>
        </w:rPr>
        <w:t> milliards d’EUR issus du budget de l’UE ont été consacrés à l’agriculture et au développement rural en </w:t>
      </w:r>
      <w:r w:rsidRPr="00031A85">
        <w:rPr>
          <w:rFonts w:ascii="Verdana" w:hAnsi="Verdana"/>
          <w:sz w:val="18"/>
        </w:rPr>
        <w:t>2016</w:t>
      </w:r>
      <w:r>
        <w:rPr>
          <w:rFonts w:ascii="Verdana" w:hAnsi="Verdana"/>
          <w:sz w:val="18"/>
        </w:rPr>
        <w:t xml:space="preserve"> et, malgré des retards lors du démarrage et de la mise en œuvre de l’actuel CFP, des dépenses de </w:t>
      </w:r>
      <w:r w:rsidRPr="00031A85">
        <w:rPr>
          <w:rFonts w:ascii="Verdana" w:hAnsi="Verdana"/>
          <w:sz w:val="18"/>
        </w:rPr>
        <w:t>37</w:t>
      </w:r>
      <w:r>
        <w:rPr>
          <w:rFonts w:ascii="Verdana" w:hAnsi="Verdana"/>
          <w:sz w:val="18"/>
        </w:rPr>
        <w:t>,</w:t>
      </w:r>
      <w:r w:rsidRPr="00031A85">
        <w:rPr>
          <w:rFonts w:ascii="Verdana" w:hAnsi="Verdana"/>
          <w:sz w:val="18"/>
        </w:rPr>
        <w:t>8</w:t>
      </w:r>
      <w:r>
        <w:rPr>
          <w:rFonts w:ascii="Verdana" w:hAnsi="Verdana"/>
          <w:sz w:val="18"/>
        </w:rPr>
        <w:t> milliards d’EUR ont été réalisées en faveur de la cohésion économique, sociale et territoriale.</w:t>
      </w:r>
      <w:r>
        <w:rPr>
          <w:rFonts w:ascii="Verdana" w:hAnsi="Verdana"/>
          <w:sz w:val="12"/>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b/>
          <w:sz w:val="12"/>
        </w:rPr>
        <w:t xml:space="preserve">                 </w:t>
      </w:r>
      <w:r>
        <w:rPr>
          <w:rFonts w:ascii="Verdana" w:hAnsi="Verdana"/>
          <w:sz w:val="12"/>
        </w:rPr>
        <w:t xml:space="preserve">  </w:t>
      </w:r>
    </w:p>
    <w:p w:rsidR="001B1596" w:rsidRPr="00476109" w:rsidRDefault="001B1596" w:rsidP="001B1596">
      <w:pPr>
        <w:jc w:val="both"/>
        <w:rPr>
          <w:rFonts w:ascii="Verdana" w:hAnsi="Verdana"/>
          <w:sz w:val="12"/>
          <w:szCs w:val="18"/>
        </w:rPr>
      </w:pPr>
    </w:p>
    <w:p w:rsidR="001B1596" w:rsidRPr="00476109" w:rsidRDefault="001B1596" w:rsidP="001B1596">
      <w:pPr>
        <w:jc w:val="both"/>
        <w:rPr>
          <w:rFonts w:ascii="Verdana" w:hAnsi="Verdana"/>
          <w:sz w:val="12"/>
          <w:szCs w:val="18"/>
        </w:rPr>
      </w:pPr>
      <w:r>
        <w:rPr>
          <w:rFonts w:ascii="Verdana" w:hAnsi="Verdana"/>
          <w:sz w:val="18"/>
        </w:rPr>
        <w:t xml:space="preserve">La Commission a lancé un débat sur l'avenir et les priorités d’une Union européenne à </w:t>
      </w:r>
      <w:r w:rsidRPr="00031A85">
        <w:rPr>
          <w:rFonts w:ascii="Verdana" w:hAnsi="Verdana"/>
          <w:sz w:val="18"/>
        </w:rPr>
        <w:t>27</w:t>
      </w:r>
      <w:r>
        <w:rPr>
          <w:rFonts w:ascii="Verdana" w:hAnsi="Verdana"/>
          <w:sz w:val="18"/>
        </w:rPr>
        <w:t> États membres. Nous continuerons à œuvrer ensemble pour bâtir un avenir plus prospère, plus compétitif et plus sûr.</w:t>
      </w:r>
      <w:r>
        <w:rPr>
          <w:rFonts w:ascii="Verdana" w:hAnsi="Verdana"/>
          <w:sz w:val="12"/>
        </w:rPr>
        <w:t xml:space="preserve"> </w:t>
      </w:r>
    </w:p>
    <w:p w:rsidR="001B1596" w:rsidRPr="003B0E35" w:rsidRDefault="001B1596" w:rsidP="001B1596">
      <w:pPr>
        <w:jc w:val="both"/>
        <w:rPr>
          <w:rFonts w:ascii="Verdana" w:hAnsi="Verdana"/>
          <w:sz w:val="18"/>
          <w:szCs w:val="18"/>
        </w:rPr>
      </w:pPr>
    </w:p>
    <w:p w:rsidR="001B1596" w:rsidRPr="003B0E35" w:rsidRDefault="001B1596" w:rsidP="001B1596">
      <w:pPr>
        <w:pStyle w:val="Body"/>
        <w:jc w:val="right"/>
        <w:rPr>
          <w:rFonts w:ascii="Verdana" w:hAnsi="Verdana"/>
          <w:b/>
          <w:bCs/>
          <w:sz w:val="18"/>
          <w:szCs w:val="18"/>
        </w:rPr>
      </w:pPr>
      <w:r>
        <w:rPr>
          <w:rFonts w:ascii="Verdana" w:hAnsi="Verdana"/>
          <w:b/>
          <w:sz w:val="18"/>
        </w:rPr>
        <w:t>Günther H. Oettinger</w:t>
      </w:r>
    </w:p>
    <w:p w:rsidR="001B1596" w:rsidRDefault="001B1596" w:rsidP="001B1596">
      <w:pPr>
        <w:pStyle w:val="Body"/>
        <w:jc w:val="right"/>
        <w:rPr>
          <w:rFonts w:ascii="Verdana" w:hAnsi="Verdana"/>
          <w:b/>
          <w:bCs/>
          <w:sz w:val="18"/>
          <w:szCs w:val="18"/>
        </w:rPr>
      </w:pPr>
      <w:r>
        <w:rPr>
          <w:rFonts w:ascii="Verdana" w:hAnsi="Verdana"/>
          <w:b/>
          <w:sz w:val="18"/>
        </w:rPr>
        <w:t>Membre de la Commission européenne chargé du budget et des ressources humaines</w:t>
      </w:r>
    </w:p>
    <w:p w:rsidR="00FB0C75" w:rsidRPr="003B0E35" w:rsidRDefault="00FB0C75" w:rsidP="00FB0C75">
      <w:pPr>
        <w:pStyle w:val="Body"/>
        <w:jc w:val="right"/>
        <w:rPr>
          <w:rFonts w:ascii="Verdana" w:hAnsi="Verdana"/>
          <w:b/>
          <w:bCs/>
          <w:sz w:val="18"/>
          <w:szCs w:val="18"/>
        </w:rPr>
      </w:pPr>
    </w:p>
    <w:bookmarkEnd w:id="7"/>
    <w:p w:rsidR="00FB0C75" w:rsidRPr="00C96E76" w:rsidRDefault="00FB0C75" w:rsidP="00FB0C75">
      <w:pPr>
        <w:pStyle w:val="SignatureRightItalic"/>
        <w:ind w:left="0"/>
        <w:jc w:val="left"/>
        <w:sectPr w:rsidR="00FB0C75" w:rsidRPr="00C96E76" w:rsidSect="00FB0C75">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8" w:footer="708" w:gutter="0"/>
          <w:cols w:space="708"/>
          <w:docGrid w:linePitch="360"/>
        </w:sectPr>
      </w:pPr>
    </w:p>
    <w:p w:rsidR="00FB0C75" w:rsidRPr="00DC0FC5" w:rsidRDefault="00525E53" w:rsidP="00FB0C75">
      <w:pPr>
        <w:pStyle w:val="FIRSTCHAPTERPAGE"/>
      </w:pPr>
      <w:bookmarkStart w:id="8" w:name="_Toc485724164"/>
      <w:bookmarkStart w:id="9" w:name="_Toc491678756"/>
      <w:bookmarkStart w:id="10" w:name="_DMBM_8992"/>
      <w:r>
        <w:t>L’UNION EUROPÉENNE: CADRE POLITIQUE, GOUVERNANCE ET OBLIGATION DE RENDRE COMPTE</w:t>
      </w:r>
      <w:bookmarkEnd w:id="8"/>
      <w:bookmarkEnd w:id="9"/>
    </w:p>
    <w:p w:rsidR="00FB0C75" w:rsidRPr="00DC0FC5" w:rsidRDefault="00525E53" w:rsidP="00FB0C75">
      <w:pPr>
        <w:tabs>
          <w:tab w:val="left" w:pos="426"/>
          <w:tab w:val="left" w:pos="907"/>
          <w:tab w:val="left" w:pos="8647"/>
        </w:tabs>
        <w:spacing w:after="240"/>
        <w:ind w:right="-22"/>
        <w:jc w:val="both"/>
        <w:rPr>
          <w:rFonts w:ascii="Verdana" w:hAnsi="Verdana"/>
          <w:sz w:val="18"/>
          <w:szCs w:val="18"/>
        </w:rPr>
      </w:pPr>
      <w:r>
        <w:rPr>
          <w:rFonts w:ascii="Verdana" w:hAnsi="Verdana"/>
          <w:sz w:val="18"/>
        </w:rPr>
        <w:t xml:space="preserve">L’Union européenne (UE) est une union qui s’est vue attribuer des compétences par </w:t>
      </w:r>
      <w:r w:rsidRPr="00031A85">
        <w:rPr>
          <w:rFonts w:ascii="Verdana" w:hAnsi="Verdana"/>
          <w:sz w:val="18"/>
        </w:rPr>
        <w:t>28</w:t>
      </w:r>
      <w:r>
        <w:rPr>
          <w:rFonts w:ascii="Verdana" w:hAnsi="Verdana"/>
          <w:sz w:val="18"/>
          <w:vertAlign w:val="superscript"/>
        </w:rPr>
        <w:footnoteReference w:id="1"/>
      </w:r>
      <w:r>
        <w:rPr>
          <w:rFonts w:ascii="Verdana" w:hAnsi="Verdana"/>
          <w:sz w:val="18"/>
        </w:rPr>
        <w:t> pays européens (les États membres) afin d’atteindre des objectifs communs. L’Union est fondée sur les valeurs de respect de la dignité humaine, de liberté, de démocratie, d'égalité, de l'État de droit, ainsi que de respect des droits de l'homme, y compris des droits des personnes appartenant à des minorités. Ces valeurs sont communes aux États membres dans une société caractérisée par le pluralisme, la non-discrimination, la tolérance, la justice, la solidarité et l'égalité entre les femmes et les hommes.</w:t>
      </w:r>
    </w:p>
    <w:p w:rsidR="00FB0C75" w:rsidRPr="00DC0FC5" w:rsidRDefault="00FB0C75" w:rsidP="00FB0C75">
      <w:pPr>
        <w:tabs>
          <w:tab w:val="left" w:pos="426"/>
          <w:tab w:val="left" w:pos="907"/>
          <w:tab w:val="left" w:pos="8647"/>
        </w:tabs>
        <w:spacing w:after="240"/>
        <w:ind w:right="-22"/>
        <w:jc w:val="both"/>
        <w:rPr>
          <w:rFonts w:ascii="Verdana" w:hAnsi="Verdana"/>
          <w:sz w:val="18"/>
          <w:szCs w:val="18"/>
        </w:rPr>
      </w:pPr>
    </w:p>
    <w:p w:rsidR="00FB0C75" w:rsidRPr="00DC0FC5" w:rsidRDefault="00525E53" w:rsidP="00FB0C75">
      <w:pPr>
        <w:pStyle w:val="HEADER1Part1"/>
      </w:pPr>
      <w:r>
        <w:t>CADRE POLITIQUE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Traités de l’UE</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Les objectifs et principes généraux qui guident l’Union et les institutions européennes sont définis dans les </w:t>
            </w:r>
            <w:r>
              <w:rPr>
                <w:rFonts w:ascii="Verdana" w:hAnsi="Verdana"/>
                <w:color w:val="016794"/>
                <w:sz w:val="18"/>
              </w:rPr>
              <w:t>traités</w:t>
            </w:r>
            <w:r>
              <w:rPr>
                <w:rFonts w:ascii="Verdana" w:hAnsi="Verdana"/>
                <w:sz w:val="18"/>
              </w:rPr>
              <w:t>. L'Union européenne et ses institutions n'agissent que dans les limites des compétences qui leur sont attribuées par les traités pour atteindre les objectifs qui y sont établis et doivent, lors de l’exercice de leurs compétences, respecter les principes</w:t>
            </w:r>
            <w:r>
              <w:rPr>
                <w:rFonts w:ascii="Verdana" w:hAnsi="Verdana"/>
                <w:sz w:val="18"/>
                <w:vertAlign w:val="superscript"/>
              </w:rPr>
              <w:footnoteReference w:id="2"/>
            </w:r>
            <w:r>
              <w:rPr>
                <w:rFonts w:ascii="Verdana" w:hAnsi="Verdana"/>
                <w:sz w:val="18"/>
              </w:rPr>
              <w:t xml:space="preserve"> de subsidiarité et de proportionnalité.</w:t>
            </w: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L’Union se dote des moyens financiers nécessaires pour atteindre ses objectifs et pour mener à bien ses politiques. La Commission est responsable de la mise en œuvre des objectifs en coopération avec les États membres et conformément au principe de bonne gestion financière.</w:t>
            </w:r>
          </w:p>
        </w:tc>
      </w:tr>
    </w:tbl>
    <w:p w:rsidR="00FB0C75" w:rsidRPr="00DC0FC5" w:rsidRDefault="00FB0C75" w:rsidP="00FB0C75">
      <w:pPr>
        <w:jc w:val="both"/>
        <w:rPr>
          <w:rFonts w:ascii="Verdana" w:hAnsi="Verdana"/>
          <w:sz w:val="18"/>
          <w:szCs w:val="18"/>
        </w:rPr>
      </w:pPr>
    </w:p>
    <w:p w:rsidR="00FB0C75" w:rsidRPr="00DC0FC5" w:rsidRDefault="00525E53" w:rsidP="00FB0C75">
      <w:pPr>
        <w:tabs>
          <w:tab w:val="left" w:pos="426"/>
          <w:tab w:val="left" w:pos="907"/>
          <w:tab w:val="left" w:pos="8647"/>
        </w:tabs>
        <w:spacing w:after="240"/>
        <w:ind w:right="-22"/>
        <w:jc w:val="both"/>
        <w:rPr>
          <w:rFonts w:ascii="Verdana" w:hAnsi="Verdana"/>
          <w:sz w:val="18"/>
          <w:szCs w:val="18"/>
        </w:rPr>
      </w:pPr>
      <w:r>
        <w:rPr>
          <w:rFonts w:ascii="Verdana" w:hAnsi="Verdana"/>
          <w:sz w:val="18"/>
        </w:rPr>
        <w:t xml:space="preserve">L’Union poursuit les objectifs établis dans les traités à l’aide d’un certain nombre d'outils, dont fait partie le budget de l’UE. Elle peut également, par exemple, proposer des actes législatifs et établir des stratégies politiques. </w:t>
      </w:r>
    </w:p>
    <w:p w:rsidR="00FB0C75" w:rsidRPr="00DC0FC5" w:rsidRDefault="00FB0C75" w:rsidP="00FB0C75">
      <w:pPr>
        <w:tabs>
          <w:tab w:val="left" w:pos="426"/>
          <w:tab w:val="left" w:pos="907"/>
          <w:tab w:val="left" w:pos="8647"/>
        </w:tabs>
        <w:spacing w:after="120"/>
        <w:ind w:right="-22"/>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 xml:space="preserve">Stratégie </w:t>
            </w:r>
            <w:r>
              <w:rPr>
                <w:rFonts w:ascii="Verdana" w:hAnsi="Verdana"/>
                <w:b/>
                <w:color w:val="FFFFFF" w:themeColor="background1"/>
                <w:sz w:val="18"/>
                <w:szCs w:val="18"/>
              </w:rPr>
              <w:br/>
            </w:r>
            <w:r>
              <w:rPr>
                <w:rFonts w:ascii="Verdana" w:hAnsi="Verdana"/>
                <w:b/>
                <w:color w:val="FFFFFF" w:themeColor="background1"/>
                <w:sz w:val="18"/>
              </w:rPr>
              <w:t>Europe </w:t>
            </w:r>
            <w:r w:rsidRPr="00031A85">
              <w:rPr>
                <w:rFonts w:ascii="Verdana" w:hAnsi="Verdana"/>
                <w:b/>
                <w:color w:val="FFFFFF" w:themeColor="background1"/>
                <w:sz w:val="18"/>
              </w:rPr>
              <w:t>2020</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La </w:t>
            </w:r>
            <w:r>
              <w:rPr>
                <w:rFonts w:ascii="Verdana" w:hAnsi="Verdana"/>
                <w:color w:val="016794"/>
                <w:sz w:val="18"/>
              </w:rPr>
              <w:t>stratégie Europe </w:t>
            </w:r>
            <w:r w:rsidRPr="00031A85">
              <w:rPr>
                <w:rFonts w:ascii="Verdana" w:hAnsi="Verdana"/>
                <w:color w:val="016794"/>
                <w:sz w:val="18"/>
              </w:rPr>
              <w:t>2020</w:t>
            </w:r>
            <w:r>
              <w:rPr>
                <w:rFonts w:ascii="Verdana" w:hAnsi="Verdana"/>
                <w:sz w:val="18"/>
              </w:rPr>
              <w:t>, adoptée en </w:t>
            </w:r>
            <w:r w:rsidRPr="00031A85">
              <w:rPr>
                <w:rFonts w:ascii="Verdana" w:hAnsi="Verdana"/>
                <w:sz w:val="18"/>
              </w:rPr>
              <w:t>2010</w:t>
            </w:r>
            <w:r>
              <w:rPr>
                <w:rFonts w:ascii="Verdana" w:hAnsi="Verdana"/>
                <w:sz w:val="18"/>
              </w:rPr>
              <w:t xml:space="preserve"> par les chefs d'État ou de gouvernement des États membres de l'UE, définit une stratégie décennale pour la croissance et l’emploi au niveau de l’Union et pour l’Union</w:t>
            </w:r>
            <w:r>
              <w:rPr>
                <w:rStyle w:val="FootnoteReference"/>
                <w:rFonts w:ascii="Verdana" w:hAnsi="Verdana"/>
                <w:sz w:val="18"/>
              </w:rPr>
              <w:footnoteReference w:id="3"/>
            </w:r>
            <w:r>
              <w:rPr>
                <w:rFonts w:ascii="Verdana" w:hAnsi="Verdana"/>
                <w:sz w:val="18"/>
              </w:rPr>
              <w:t xml:space="preserve">. Elle présente trois priorités qui se renforcent mutuellement, à savoir une croissance intelligente, durable et inclusive, ainsi que cinq grands objectifs pour l’UE. Son succès dépend de tous les acteurs de l’Union, travaillant main dans la main. </w:t>
            </w: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Le budget de l’Union n’est que l’un des instruments de l’UE contribuant à la réalisation des objectifs de la stratégie Europe </w:t>
            </w:r>
            <w:r w:rsidRPr="00031A85">
              <w:rPr>
                <w:rFonts w:ascii="Verdana" w:hAnsi="Verdana"/>
                <w:sz w:val="18"/>
              </w:rPr>
              <w:t>2020</w:t>
            </w:r>
            <w:r>
              <w:rPr>
                <w:rFonts w:ascii="Verdana" w:hAnsi="Verdana"/>
                <w:sz w:val="18"/>
              </w:rPr>
              <w:t>. Un large éventail d’actions sont menées aux niveaux national, international et de l’UE afin d’obtenir des résultats concrets pour la stratégie Europe </w:t>
            </w:r>
            <w:r w:rsidRPr="00031A85">
              <w:rPr>
                <w:rFonts w:ascii="Verdana" w:hAnsi="Verdana"/>
                <w:sz w:val="18"/>
              </w:rPr>
              <w:t>2020</w:t>
            </w:r>
            <w:r>
              <w:rPr>
                <w:rFonts w:ascii="Verdana" w:hAnsi="Verdana"/>
                <w:sz w:val="18"/>
              </w:rPr>
              <w:t>.</w:t>
            </w:r>
          </w:p>
        </w:tc>
      </w:tr>
    </w:tbl>
    <w:p w:rsidR="00FB0C75" w:rsidRPr="00DC0FC5" w:rsidRDefault="00FB0C75" w:rsidP="00FB0C75">
      <w:pPr>
        <w:ind w:left="360"/>
        <w:jc w:val="both"/>
        <w:rPr>
          <w:rFonts w:ascii="Verdana" w:hAnsi="Verdana"/>
          <w:sz w:val="18"/>
          <w:szCs w:val="18"/>
        </w:rPr>
      </w:pPr>
    </w:p>
    <w:p w:rsidR="00FB0C75" w:rsidRPr="00DC0FC5" w:rsidRDefault="00FB0C75" w:rsidP="00FB0C75">
      <w:pPr>
        <w:ind w:left="360"/>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Priorités politiques de la Commission</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Les </w:t>
            </w:r>
            <w:r>
              <w:rPr>
                <w:rFonts w:ascii="Verdana" w:hAnsi="Verdana"/>
                <w:color w:val="016794"/>
                <w:sz w:val="18"/>
              </w:rPr>
              <w:t>priorités politiques de la Commission</w:t>
            </w:r>
            <w:r>
              <w:rPr>
                <w:rFonts w:ascii="Verdana" w:hAnsi="Verdana"/>
                <w:sz w:val="18"/>
              </w:rPr>
              <w:t xml:space="preserve"> sont définies dans les orientations politiques de son président. Celles-ci constituent une feuille de route pour l’action de la Commission qui est pleinement cohérente et compatible avec la stratégie Europe </w:t>
            </w:r>
            <w:r w:rsidRPr="00031A85">
              <w:rPr>
                <w:rFonts w:ascii="Verdana" w:hAnsi="Verdana"/>
                <w:sz w:val="18"/>
              </w:rPr>
              <w:t>2020</w:t>
            </w:r>
            <w:r>
              <w:rPr>
                <w:rFonts w:ascii="Verdana" w:hAnsi="Verdana"/>
                <w:sz w:val="18"/>
              </w:rPr>
              <w:t xml:space="preserve"> en tant que stratégie de croissance à long terme pour l’Europe. </w:t>
            </w:r>
          </w:p>
        </w:tc>
      </w:tr>
      <w:tr w:rsidR="005B4EEC" w:rsidTr="00FB0C75">
        <w:tc>
          <w:tcPr>
            <w:tcW w:w="9854" w:type="dxa"/>
            <w:gridSpan w:val="2"/>
          </w:tcPr>
          <w:p w:rsidR="00FB0C75" w:rsidRPr="00DC0FC5" w:rsidRDefault="00FB0C75" w:rsidP="00FB0C75">
            <w:pPr>
              <w:jc w:val="both"/>
              <w:rPr>
                <w:rFonts w:ascii="Verdana" w:hAnsi="Verdana"/>
                <w:sz w:val="18"/>
                <w:szCs w:val="18"/>
              </w:rPr>
            </w:pPr>
          </w:p>
        </w:tc>
      </w:tr>
    </w:tbl>
    <w:p w:rsidR="00FB0C75" w:rsidRPr="00DC0FC5" w:rsidRDefault="00FB0C75" w:rsidP="00FB0C75">
      <w:pPr>
        <w:ind w:left="360"/>
        <w:jc w:val="both"/>
        <w:rPr>
          <w:rFonts w:ascii="Verdana" w:hAnsi="Verdana"/>
          <w:sz w:val="18"/>
          <w:szCs w:val="18"/>
        </w:rPr>
      </w:pPr>
    </w:p>
    <w:p w:rsidR="00FB0C75" w:rsidRPr="00DC0FC5" w:rsidRDefault="00FB0C75" w:rsidP="00FB0C75">
      <w:pPr>
        <w:ind w:left="360"/>
        <w:jc w:val="both"/>
        <w:rPr>
          <w:rFonts w:ascii="Verdana" w:hAnsi="Verdana"/>
          <w:sz w:val="18"/>
          <w:szCs w:val="18"/>
        </w:rPr>
      </w:pPr>
    </w:p>
    <w:p w:rsidR="00FB0C75" w:rsidRPr="00DC0FC5" w:rsidRDefault="00FB0C7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686"/>
        <w:gridCol w:w="1134"/>
        <w:gridCol w:w="3543"/>
      </w:tblGrid>
      <w:tr w:rsidR="005B4EEC" w:rsidTr="00FB0C75">
        <w:tc>
          <w:tcPr>
            <w:tcW w:w="4962" w:type="dxa"/>
            <w:gridSpan w:val="2"/>
          </w:tcPr>
          <w:p w:rsidR="00FB0C75" w:rsidRPr="00DC0FC5" w:rsidRDefault="00525E53" w:rsidP="00FB0C75">
            <w:pPr>
              <w:pStyle w:val="HEADER5"/>
              <w:rPr>
                <w:sz w:val="20"/>
              </w:rPr>
            </w:pPr>
            <w:r>
              <w:rPr>
                <w:sz w:val="20"/>
              </w:rPr>
              <w:t>DIX PRIORITÉS</w:t>
            </w:r>
          </w:p>
          <w:p w:rsidR="00FB0C75" w:rsidRPr="00DC0FC5" w:rsidRDefault="00FB0C75" w:rsidP="00FB0C75">
            <w:pPr>
              <w:jc w:val="both"/>
              <w:rPr>
                <w:rFonts w:ascii="Verdana" w:hAnsi="Verdana"/>
                <w:sz w:val="18"/>
                <w:szCs w:val="18"/>
              </w:rPr>
            </w:pPr>
          </w:p>
        </w:tc>
        <w:tc>
          <w:tcPr>
            <w:tcW w:w="1134" w:type="dxa"/>
          </w:tcPr>
          <w:p w:rsidR="00FB0C75" w:rsidRPr="00DC0FC5" w:rsidRDefault="00FB0C75" w:rsidP="00FB0C75">
            <w:pPr>
              <w:jc w:val="both"/>
              <w:rPr>
                <w:rFonts w:ascii="Verdana" w:hAnsi="Verdana"/>
                <w:sz w:val="18"/>
                <w:szCs w:val="18"/>
              </w:rPr>
            </w:pPr>
          </w:p>
        </w:tc>
        <w:tc>
          <w:tcPr>
            <w:tcW w:w="3543" w:type="dxa"/>
          </w:tcPr>
          <w:p w:rsidR="00FB0C75" w:rsidRPr="00DC0FC5" w:rsidRDefault="00FB0C75" w:rsidP="00FB0C75">
            <w:pPr>
              <w:jc w:val="both"/>
              <w:rPr>
                <w:rFonts w:ascii="Verdana" w:hAnsi="Verdana"/>
                <w:sz w:val="18"/>
                <w:szCs w:val="18"/>
              </w:rPr>
            </w:pP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44FA88FB" wp14:editId="5A65CCF7">
                  <wp:extent cx="654050" cy="67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9791" cy="679009"/>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Un nouvel élan pour l'emploi, la croissance et l'investissement.</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0E74FA06" wp14:editId="38A866F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770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Un accord de libre-échange raisonnable et équilibré avec les États-Unis.</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2F81C5DA" wp14:editId="20900CAC">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57225" cy="65722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Un marché unique du numérique connecté.</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5142D91B" wp14:editId="0C8FCA9C">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8175"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Un espace de justice et de droits fondamentaux basé sur la confiance mutuelle.</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035C886F" wp14:editId="0FEAC1ED">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4050" cy="64770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Une Union plus résiliente sur le plan de l'énergie, dotée d'une politique visionnaire en matière de changement climatique.</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3C1E4C08" wp14:editId="7157ABD1">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8175" cy="666750"/>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Vers une nouvelle politique migratoire.</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4B6753C1" wp14:editId="5605036E">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4050" cy="62865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Un marché intérieur plus approfondi et plus équitable, doté d'une base industrielle renforcée.</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19617784" wp14:editId="4B32D3A7">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865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Une Europe plus forte sur la scène internationale.</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77EE7931" wp14:editId="12AC509A">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7320" cy="63817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Une Union économique et monétaire (UEM) plus approfondie et plus équitable.</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779CEAE6" wp14:editId="59EC7A48">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47700"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Une Union du changement démocratique.</w:t>
            </w:r>
          </w:p>
        </w:tc>
      </w:tr>
    </w:tbl>
    <w:p w:rsidR="00FB0C75" w:rsidRPr="00DC0FC5" w:rsidRDefault="00FB0C75" w:rsidP="00FB0C75">
      <w:pPr>
        <w:ind w:left="360"/>
        <w:jc w:val="both"/>
        <w:rPr>
          <w:rFonts w:ascii="Verdana" w:hAnsi="Verdana"/>
          <w:sz w:val="18"/>
          <w:szCs w:val="18"/>
        </w:rPr>
      </w:pPr>
    </w:p>
    <w:p w:rsidR="00FB0C75" w:rsidRPr="00DC0FC5" w:rsidRDefault="00FB0C75" w:rsidP="00FB0C75">
      <w:pPr>
        <w:ind w:left="360"/>
        <w:jc w:val="both"/>
        <w:rPr>
          <w:rFonts w:ascii="Verdana" w:hAnsi="Verdana"/>
          <w:sz w:val="18"/>
          <w:szCs w:val="18"/>
        </w:rPr>
      </w:pPr>
    </w:p>
    <w:p w:rsidR="00FB0C75" w:rsidRPr="00DC0FC5" w:rsidRDefault="00525E53" w:rsidP="00FB0C75">
      <w:pPr>
        <w:jc w:val="both"/>
        <w:rPr>
          <w:rFonts w:ascii="Verdana" w:hAnsi="Verdana"/>
          <w:sz w:val="18"/>
          <w:szCs w:val="18"/>
        </w:rPr>
      </w:pPr>
      <w:r>
        <w:rPr>
          <w:rFonts w:ascii="Verdana" w:hAnsi="Verdana"/>
          <w:sz w:val="18"/>
        </w:rPr>
        <w:t xml:space="preserve">Les politiques soutenues par le budget de l’Union sont mises en œuvre conformément au </w:t>
      </w:r>
      <w:r>
        <w:rPr>
          <w:rFonts w:ascii="Verdana" w:hAnsi="Verdana"/>
          <w:color w:val="016794"/>
          <w:sz w:val="18"/>
        </w:rPr>
        <w:t>cadre financier pluriannuel (CFP)</w:t>
      </w:r>
      <w:r>
        <w:rPr>
          <w:rFonts w:ascii="Verdana" w:hAnsi="Verdana"/>
          <w:sz w:val="18"/>
        </w:rPr>
        <w:t>.</w:t>
      </w:r>
    </w:p>
    <w:p w:rsidR="00FB0C75" w:rsidRPr="00DC0FC5" w:rsidRDefault="00FB0C75" w:rsidP="00FB0C75">
      <w:pPr>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CFP</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Le cadre financier pluriannuel (CFP) traduit les priorités politiques de l’UE en termes financiers pour une période minimale de cinq ans. Il fixe les montants annuels maximaux (plafonds) pour l’ensemble des dépenses de l’UE et pour les grandes catégories de dépenses (rubriques). La somme des plafonds de toutes ces rubriques correspond au plafond total des crédits d’engagement. </w:t>
            </w:r>
          </w:p>
          <w:p w:rsidR="00FB0C75" w:rsidRPr="00DC0FC5" w:rsidRDefault="00FB0C75" w:rsidP="00FB0C75">
            <w:pPr>
              <w:jc w:val="both"/>
              <w:rPr>
                <w:rFonts w:ascii="Verdana" w:hAnsi="Verdana"/>
                <w:sz w:val="18"/>
                <w:szCs w:val="18"/>
              </w:rPr>
            </w:pP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Le CFP soutient les actions de l’UE destinées à réaliser les objectifs des politiques de l’Union sur une période assez longue pour être efficace et fournir une vision à long terme cohérente aux bénéficiaires et aux autorités nationales assurant le cofinancement. Le CFP </w:t>
            </w:r>
            <w:r w:rsidRPr="00031A85">
              <w:rPr>
                <w:rFonts w:ascii="Verdana" w:hAnsi="Verdana"/>
                <w:sz w:val="18"/>
              </w:rPr>
              <w:t>2014</w:t>
            </w:r>
            <w:r>
              <w:rPr>
                <w:rFonts w:ascii="Verdana" w:hAnsi="Verdana"/>
                <w:sz w:val="18"/>
              </w:rPr>
              <w:t>-</w:t>
            </w:r>
            <w:r w:rsidRPr="00031A85">
              <w:rPr>
                <w:rFonts w:ascii="Verdana" w:hAnsi="Verdana"/>
                <w:sz w:val="18"/>
              </w:rPr>
              <w:t>2020</w:t>
            </w:r>
            <w:r>
              <w:rPr>
                <w:rFonts w:ascii="Verdana" w:hAnsi="Verdana"/>
                <w:sz w:val="18"/>
              </w:rPr>
              <w:t xml:space="preserve"> et ses programmes constitutifs, qui fixent les engagements budgétaires maximaux pour la période à </w:t>
            </w:r>
            <w:r w:rsidRPr="00031A85">
              <w:rPr>
                <w:rFonts w:ascii="Verdana" w:hAnsi="Verdana"/>
                <w:sz w:val="18"/>
              </w:rPr>
              <w:t>960</w:t>
            </w:r>
            <w:r>
              <w:rPr>
                <w:rFonts w:ascii="Verdana" w:hAnsi="Verdana"/>
                <w:sz w:val="18"/>
              </w:rPr>
              <w:t xml:space="preserve"> milliards d’EUR et les paiements à </w:t>
            </w:r>
            <w:r w:rsidRPr="00031A85">
              <w:rPr>
                <w:rFonts w:ascii="Verdana" w:hAnsi="Verdana"/>
                <w:sz w:val="18"/>
              </w:rPr>
              <w:t>908</w:t>
            </w:r>
            <w:r>
              <w:rPr>
                <w:rFonts w:ascii="Verdana" w:hAnsi="Verdana"/>
                <w:sz w:val="18"/>
              </w:rPr>
              <w:t xml:space="preserve"> milliards (aux prix de </w:t>
            </w:r>
            <w:r w:rsidRPr="00031A85">
              <w:rPr>
                <w:rFonts w:ascii="Verdana" w:hAnsi="Verdana"/>
                <w:sz w:val="18"/>
              </w:rPr>
              <w:t>2011</w:t>
            </w:r>
            <w:r>
              <w:rPr>
                <w:rFonts w:ascii="Verdana" w:hAnsi="Verdana"/>
                <w:sz w:val="18"/>
              </w:rPr>
              <w:t>) et dont la conception s'inscrit dans une profonde logique européenne, se concentrent sur la création de valeur ajoutée afin de contribuer à la réalisation des objectifs de la stratégie Europe </w:t>
            </w:r>
            <w:r w:rsidRPr="00031A85">
              <w:rPr>
                <w:rFonts w:ascii="Verdana" w:hAnsi="Verdana"/>
                <w:sz w:val="18"/>
              </w:rPr>
              <w:t>2020</w:t>
            </w:r>
            <w:r>
              <w:rPr>
                <w:rFonts w:ascii="Verdana" w:hAnsi="Verdana"/>
                <w:sz w:val="18"/>
              </w:rPr>
              <w:t xml:space="preserve"> pour la croissance et l’emploi, qui ont été définis conjointement.</w:t>
            </w:r>
          </w:p>
        </w:tc>
      </w:tr>
    </w:tbl>
    <w:p w:rsidR="00FB0C75" w:rsidRPr="00DC0FC5" w:rsidRDefault="00525E53" w:rsidP="00FB0C75">
      <w:pPr>
        <w:pStyle w:val="DGTextstand-alone"/>
        <w:rPr>
          <w:noProof w:val="0"/>
        </w:rPr>
      </w:pPr>
      <w:r>
        <w:t>Le CFP est adopté à l’unanimité, ce qui marque l'accord de tous les États membres au sujet des objectifs et des dépenses. Le budget de l’UE finance un large éventail de politiques et de programmes mis en œuvre dans toute l’Union. Conformément aux priorités fixées par le Parlement européen et le Conseil dans le CFP, la Commission met en œuvre des programmes de dépenses, des activités et des projets. Dans le principal poste de dépenses des Fonds structurels et d’investissement européens (Fonds ESI), l’UE s’engage juridiquement à mettre en œuvre ces actions en adoptant les programmes opérationnels.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B05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Accord interinstitutionnel</w:t>
            </w:r>
          </w:p>
        </w:tc>
        <w:tc>
          <w:tcPr>
            <w:tcW w:w="7336" w:type="dxa"/>
          </w:tcPr>
          <w:p w:rsidR="00FB0C75" w:rsidRPr="00DC0FC5" w:rsidRDefault="00525E53" w:rsidP="00FB0C75">
            <w:pPr>
              <w:jc w:val="both"/>
              <w:rPr>
                <w:rFonts w:ascii="Verdana" w:hAnsi="Verdana"/>
                <w:sz w:val="18"/>
                <w:szCs w:val="18"/>
              </w:rPr>
            </w:pPr>
            <w:r>
              <w:rPr>
                <w:rFonts w:ascii="Verdana" w:hAnsi="Verdana"/>
                <w:sz w:val="18"/>
              </w:rPr>
              <w:t>Le cadre financier pluriannuel est complété par l’</w:t>
            </w:r>
            <w:r>
              <w:rPr>
                <w:rFonts w:ascii="Verdana" w:hAnsi="Verdana"/>
                <w:color w:val="016794"/>
                <w:sz w:val="18"/>
              </w:rPr>
              <w:t>accord interinstitutionnel sur la discipline budgétaire</w:t>
            </w:r>
            <w:r>
              <w:rPr>
                <w:rFonts w:ascii="Verdana" w:hAnsi="Verdana"/>
                <w:sz w:val="18"/>
              </w:rPr>
              <w:t>, la coopération en matière budgétaire et la bonne gestion financière</w:t>
            </w:r>
            <w:r>
              <w:rPr>
                <w:rStyle w:val="FootnoteReference"/>
                <w:rFonts w:ascii="Verdana" w:hAnsi="Verdana"/>
                <w:sz w:val="18"/>
              </w:rPr>
              <w:footnoteReference w:id="4"/>
            </w:r>
            <w:r>
              <w:rPr>
                <w:rFonts w:ascii="Verdana" w:hAnsi="Verdana"/>
                <w:sz w:val="18"/>
              </w:rPr>
              <w:t xml:space="preserve">, qui est un accord politique entre le Parlement européen, le Conseil et la Commission. Cet accord, </w:t>
            </w: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adopté en </w:t>
            </w:r>
            <w:r w:rsidRPr="00031A85">
              <w:rPr>
                <w:rFonts w:ascii="Verdana" w:hAnsi="Verdana"/>
                <w:sz w:val="18"/>
              </w:rPr>
              <w:t>2013</w:t>
            </w:r>
            <w:r>
              <w:rPr>
                <w:rFonts w:ascii="Verdana" w:hAnsi="Verdana"/>
                <w:sz w:val="18"/>
              </w:rPr>
              <w:t xml:space="preserve"> conformément à l’article </w:t>
            </w:r>
            <w:r w:rsidRPr="00031A85">
              <w:rPr>
                <w:rFonts w:ascii="Verdana" w:hAnsi="Verdana"/>
                <w:sz w:val="18"/>
              </w:rPr>
              <w:t>295</w:t>
            </w:r>
            <w:r>
              <w:rPr>
                <w:rFonts w:ascii="Verdana" w:hAnsi="Verdana"/>
                <w:sz w:val="18"/>
              </w:rPr>
              <w:t xml:space="preserve"> du TFUE, a pour objet de mettre en œuvre la discipline budgétaire et d'améliorer le déroulement de la procédure budgétaire annuelle et la coopération entre les institutions en matière budgétaire ainsi que d'assurer une bonne gestion financière.</w:t>
            </w: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tc>
      </w:tr>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Budget annuel</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La Commission élabore le </w:t>
            </w:r>
            <w:r>
              <w:rPr>
                <w:rFonts w:ascii="Verdana" w:hAnsi="Verdana"/>
                <w:color w:val="016794"/>
                <w:sz w:val="18"/>
              </w:rPr>
              <w:t>budget annuel</w:t>
            </w:r>
            <w:r>
              <w:rPr>
                <w:rFonts w:ascii="Verdana" w:hAnsi="Verdana"/>
                <w:sz w:val="18"/>
              </w:rPr>
              <w:t>, et le Parlement européen et le Conseil l’approuvent normalement à la mi-décembre, conformément à la procédure prévue à l’article </w:t>
            </w:r>
            <w:r w:rsidRPr="00031A85">
              <w:rPr>
                <w:rFonts w:ascii="Verdana" w:hAnsi="Verdana"/>
                <w:sz w:val="18"/>
              </w:rPr>
              <w:t>314</w:t>
            </w:r>
            <w:r>
              <w:rPr>
                <w:rFonts w:ascii="Verdana" w:hAnsi="Verdana"/>
                <w:sz w:val="18"/>
              </w:rPr>
              <w:t xml:space="preserve"> du TFUE. Selon le principe d’équilibre budgétaire, le total des recettes doit, pour un exercice financier donné, être égal au total des dépenses (crédits de paiement). </w:t>
            </w:r>
          </w:p>
        </w:tc>
      </w:tr>
    </w:tbl>
    <w:p w:rsidR="00FB0C75" w:rsidRPr="00DC0FC5" w:rsidRDefault="00525E53" w:rsidP="00FB0C75">
      <w:pPr>
        <w:pStyle w:val="DGTextstand-alone"/>
        <w:rPr>
          <w:noProof w:val="0"/>
        </w:rPr>
      </w:pPr>
      <w:r>
        <w:t xml:space="preserve">Les ressources propres, complétées par d’autres recettes, constituent la principale </w:t>
      </w:r>
      <w:r>
        <w:rPr>
          <w:noProof w:val="0"/>
          <w:color w:val="016794"/>
        </w:rPr>
        <w:t>source de financement</w:t>
      </w:r>
      <w:r>
        <w:t xml:space="preserve"> de l’UE. Il existe trois types de ressources propres: les ressources propres traditionnelles (comme les droits de douane et les cotisations «sucre»), la ressource propre fondée sur la taxe sur la valeur ajoutée (TVA) et la ressource propre fondée sur le revenu national brut (RNB). Les autres recettes découlant des activités de l’UE (par exemple les amendes pour des infractions aux règles de concurrence) représentent normalement moins de </w:t>
      </w:r>
      <w:r w:rsidRPr="00031A85">
        <w:t>10</w:t>
      </w:r>
      <w:r>
        <w:t xml:space="preserve"> % des recettes totales. Le montant total des ressources propres nécessaires au financement du budget est déterminé par le total des dépenses, déduction faite des autres recettes. Le montant total des ressources propres ne peut excéder </w:t>
      </w:r>
      <w:r w:rsidRPr="00031A85">
        <w:t>1</w:t>
      </w:r>
      <w:r>
        <w:t>,</w:t>
      </w:r>
      <w:r w:rsidRPr="00031A85">
        <w:t>23</w:t>
      </w:r>
      <w:r>
        <w:t> % de la somme des revenus nationaux bruts (RNB) des États membres.</w:t>
      </w:r>
    </w:p>
    <w:p w:rsidR="00FB0C75" w:rsidRPr="00DC0FC5" w:rsidRDefault="00525E53" w:rsidP="00FB0C75">
      <w:pPr>
        <w:pStyle w:val="DGTextstand-alone"/>
        <w:rPr>
          <w:noProof w:val="0"/>
        </w:rPr>
      </w:pPr>
      <w:r>
        <w:t>Les dépenses opérationnelles de l’UE couvrent les diverses rubriques du CFP et se présentent sous différentes formes, en fonction de la manière dont les crédits sont dépensés et gérés. Trois modes de gestion sont possibles pour l'exécution du budget de l'UE:</w:t>
      </w:r>
    </w:p>
    <w:p w:rsidR="00FB0C75" w:rsidRPr="00DC0FC5" w:rsidRDefault="00525E53" w:rsidP="00FB0C75">
      <w:pPr>
        <w:pStyle w:val="DGTextstand-alone"/>
        <w:ind w:left="720"/>
        <w:rPr>
          <w:noProof w:val="0"/>
          <w:color w:val="016794"/>
        </w:rPr>
      </w:pPr>
      <w:r>
        <w:rPr>
          <w:noProof w:val="0"/>
          <w:color w:val="016794"/>
        </w:rPr>
        <w:t>Gestion partagée:</w:t>
      </w:r>
      <w:r>
        <w:t xml:space="preserve"> méthode d’exécution du budget par laquelle les tâches sont déléguées aux États membres. Environ </w:t>
      </w:r>
      <w:r w:rsidRPr="00031A85">
        <w:t>80</w:t>
      </w:r>
      <w:r>
        <w:t> % des dépenses relèvent de ce mode de gestion, qui englobe des domaines tels que les dépenses agricoles et les actions structurelles.</w:t>
      </w:r>
    </w:p>
    <w:p w:rsidR="00FB0C75" w:rsidRPr="00DC0FC5" w:rsidRDefault="00525E53" w:rsidP="00FB0C75">
      <w:pPr>
        <w:pStyle w:val="DGTextstand-alone"/>
        <w:ind w:left="720"/>
        <w:rPr>
          <w:noProof w:val="0"/>
        </w:rPr>
      </w:pPr>
      <w:r>
        <w:rPr>
          <w:noProof w:val="0"/>
          <w:color w:val="016794"/>
        </w:rPr>
        <w:t>Gestion directe:</w:t>
      </w:r>
      <w:r>
        <w:t xml:space="preserve"> exécution directe du budget par les services de la Commission.</w:t>
      </w:r>
    </w:p>
    <w:p w:rsidR="00FB0C75" w:rsidRPr="00DC0FC5" w:rsidRDefault="00525E53" w:rsidP="00FB0C75">
      <w:pPr>
        <w:pStyle w:val="DGTextstand-alone"/>
        <w:ind w:left="720"/>
        <w:rPr>
          <w:noProof w:val="0"/>
        </w:rPr>
      </w:pPr>
      <w:r>
        <w:rPr>
          <w:noProof w:val="0"/>
          <w:color w:val="016794"/>
        </w:rPr>
        <w:t>Gestion indirecte:</w:t>
      </w:r>
      <w:r>
        <w:t xml:space="preserve"> la Commission confie certaines tâches d’exécution du budget à des organismes de droit européen ou de droit national, tels que les agences de l'UE ou des organisations internationales.</w:t>
      </w:r>
    </w:p>
    <w:p w:rsidR="00FB0C75" w:rsidRPr="00DC0FC5" w:rsidRDefault="00FB0C75" w:rsidP="00FB0C75">
      <w:pPr>
        <w:pStyle w:val="DGTextstand-alone"/>
        <w:spacing w:before="0" w:after="120"/>
        <w:ind w:left="720"/>
        <w:rPr>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Règlement financier</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Le </w:t>
            </w:r>
            <w:r>
              <w:rPr>
                <w:rFonts w:ascii="Verdana" w:hAnsi="Verdana"/>
                <w:color w:val="016794"/>
                <w:sz w:val="18"/>
              </w:rPr>
              <w:t>règlement financier</w:t>
            </w:r>
            <w:r>
              <w:rPr>
                <w:rFonts w:ascii="Verdana" w:hAnsi="Verdana"/>
                <w:sz w:val="18"/>
              </w:rPr>
              <w:t xml:space="preserve"> (RF) applicable au budget général est un acte fondamental dans l’architecture réglementaire des finances de l’UE. Il définit en effet les règles financières de l’Union et fixe les règles générales régissant son budget.</w:t>
            </w:r>
          </w:p>
          <w:p w:rsidR="00FB0C75" w:rsidRPr="00DC0FC5" w:rsidRDefault="00FB0C75" w:rsidP="00FB0C75">
            <w:pPr>
              <w:jc w:val="both"/>
              <w:rPr>
                <w:rFonts w:ascii="Verdana" w:hAnsi="Verdana"/>
                <w:sz w:val="18"/>
                <w:szCs w:val="18"/>
              </w:rPr>
            </w:pPr>
          </w:p>
        </w:tc>
      </w:tr>
      <w:tr w:rsidR="005B4EEC" w:rsidTr="00FB0C75">
        <w:tc>
          <w:tcPr>
            <w:tcW w:w="9854" w:type="dxa"/>
            <w:gridSpan w:val="2"/>
          </w:tcPr>
          <w:p w:rsidR="00FB0C75" w:rsidRPr="00DC0FC5" w:rsidRDefault="00FB0C75" w:rsidP="00FB0C75">
            <w:pPr>
              <w:jc w:val="both"/>
              <w:rPr>
                <w:rFonts w:ascii="Verdana" w:hAnsi="Verdana"/>
                <w:sz w:val="18"/>
                <w:szCs w:val="18"/>
              </w:rPr>
            </w:pPr>
          </w:p>
        </w:tc>
      </w:tr>
    </w:tbl>
    <w:p w:rsidR="00FB0C75" w:rsidRPr="00DC0FC5" w:rsidRDefault="00FB0C75">
      <w:pPr>
        <w:rPr>
          <w:rFonts w:ascii="Verdana" w:hAnsi="Verdana"/>
          <w:b/>
          <w:color w:val="016794"/>
          <w:sz w:val="32"/>
          <w:szCs w:val="32"/>
        </w:rPr>
      </w:pPr>
    </w:p>
    <w:p w:rsidR="00FB0C75" w:rsidRPr="00DC0FC5" w:rsidRDefault="00FB0C75">
      <w:pPr>
        <w:rPr>
          <w:rFonts w:ascii="Verdana" w:hAnsi="Verdana"/>
          <w:b/>
          <w:color w:val="016794"/>
          <w:sz w:val="32"/>
          <w:szCs w:val="32"/>
        </w:rPr>
      </w:pPr>
    </w:p>
    <w:p w:rsidR="00FB0C75" w:rsidRPr="00DC0FC5" w:rsidRDefault="00525E53" w:rsidP="00FB0C75">
      <w:pPr>
        <w:pStyle w:val="HEADER1Part1"/>
      </w:pPr>
      <w:r>
        <w:t>GOUVERNANCE ET OBLIGATION DE RENDRE COMPTE DANS L’UNION EUROPÉENNE</w:t>
      </w:r>
    </w:p>
    <w:p w:rsidR="00FB0C75" w:rsidRPr="00DC0FC5" w:rsidRDefault="00525E53" w:rsidP="00FB0C75">
      <w:pPr>
        <w:pStyle w:val="HEADER2Part1"/>
      </w:pPr>
      <w:r>
        <w:t>STRUCTURE INSTITUTIONNELLE</w:t>
      </w:r>
    </w:p>
    <w:p w:rsidR="00FB0C75" w:rsidRPr="00DC0FC5" w:rsidRDefault="00525E53" w:rsidP="00FB0C75">
      <w:pPr>
        <w:pStyle w:val="DGTextstand-alone"/>
        <w:rPr>
          <w:noProof w:val="0"/>
        </w:rPr>
      </w:pPr>
      <w:r>
        <w:t>La gouvernance organisationnelle de l’Union se compose d’institutions, agences et autres organes de l’UE répertoriés à la note </w:t>
      </w:r>
      <w:r w:rsidRPr="00031A85">
        <w:rPr>
          <w:b/>
          <w:noProof w:val="0"/>
        </w:rPr>
        <w:t>9</w:t>
      </w:r>
      <w:r>
        <w:t xml:space="preserve"> des annexes aux états financiers consolidés. Ses institutions principales, en ce sens qu’elles sont responsables de l’élaboration des politiques et de l’adoption des décisions, sont le Parlement européen, le Conseil européen, le Conseil et la Commission.</w:t>
      </w:r>
    </w:p>
    <w:p w:rsidR="00FB0C75" w:rsidRPr="00DC0FC5" w:rsidRDefault="00525E53" w:rsidP="00FB0C75">
      <w:pPr>
        <w:pStyle w:val="DGTextstand-alone"/>
        <w:rPr>
          <w:noProof w:val="0"/>
        </w:rPr>
      </w:pPr>
      <w:r>
        <w:t>La Commission, organe exécutif de l’Union, défend l'intérêt général. Pour ce faire, elle propose des actes législatifs, met en œuvre les politiques de l’UE, surveille la mise en œuvre correcte des traités et du droit européen, gère le budget de l’UE et représente l’Union au-delà des frontières de l’Europe.</w:t>
      </w:r>
    </w:p>
    <w:p w:rsidR="00FB0C75" w:rsidRPr="00DC0FC5" w:rsidRDefault="00525E53" w:rsidP="00FB0C75">
      <w:pPr>
        <w:pStyle w:val="DGTextstand-alone"/>
        <w:rPr>
          <w:noProof w:val="0"/>
        </w:rPr>
      </w:pPr>
      <w:r>
        <w:t>Le fonctionnement interne de la Commission repose sur plusieurs grands principes de bonne gouvernance: des rôles et responsabilités clairement définis, un engagement fort pour la gestion de la performance et le respect du cadre juridique, des mécanismes de responsabilité clairs, un cadre réglementaire inclusif et de grande qualité, l’ouverture et la transparence et des normes d’éthique rigoureuses.</w:t>
      </w:r>
    </w:p>
    <w:p w:rsidR="00FB0C75" w:rsidRPr="00DC0FC5" w:rsidRDefault="00FB0C75" w:rsidP="00FB0C75">
      <w:pPr>
        <w:pStyle w:val="DGTextstand-alone"/>
        <w:rPr>
          <w:noProof w:val="0"/>
        </w:rPr>
      </w:pPr>
    </w:p>
    <w:p w:rsidR="00FB0C75" w:rsidRPr="00DC0FC5" w:rsidRDefault="00FB0C75" w:rsidP="00FB0C75">
      <w:pPr>
        <w:pStyle w:val="DGTextstand-alone"/>
        <w:rPr>
          <w:noProof w:val="0"/>
        </w:rPr>
      </w:pPr>
    </w:p>
    <w:p w:rsidR="00FB0C75" w:rsidRPr="00DC0FC5" w:rsidRDefault="00525E53" w:rsidP="00FB0C75">
      <w:pPr>
        <w:pStyle w:val="HEADER2Part1"/>
      </w:pPr>
      <w:r>
        <w:t>LA STRUCTURE DE GOUVERNANCE DE LA COMMISSION</w:t>
      </w:r>
    </w:p>
    <w:p w:rsidR="00FB0C75" w:rsidRPr="00DC0FC5" w:rsidRDefault="00525E53" w:rsidP="00FB0C75">
      <w:pPr>
        <w:pStyle w:val="DGTextstand-alone"/>
        <w:rPr>
          <w:noProof w:val="0"/>
        </w:rPr>
      </w:pPr>
      <w:r>
        <w:t>La Commission européenne possède un système de gouvernance unique, qui établit une nette distinction entre les structures politiques et les structures de contrôle administratif et définit clairement la chaîne des responsabilités et la responsabilité financière. Ce système trouve son origine dans les traités, et la structure a évolué pour s’adapter à un environnement en mutation et pour s’aligner sur les meilleures pratiques définies dans les normes internationales en la matière</w:t>
      </w:r>
      <w:r>
        <w:rPr>
          <w:rStyle w:val="FootnoteReference"/>
          <w:noProof w:val="0"/>
        </w:rPr>
        <w:footnoteReference w:id="5"/>
      </w:r>
      <w:r>
        <w:t xml:space="preserve">. </w:t>
      </w: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Pr>
          <w:rStyle w:val="Corpsdutexte"/>
          <w:rFonts w:ascii="Verdana" w:hAnsi="Verdana"/>
          <w:sz w:val="18"/>
        </w:rPr>
        <w:t xml:space="preserve">Le </w:t>
      </w:r>
      <w:r>
        <w:rPr>
          <w:rFonts w:ascii="Verdana" w:hAnsi="Verdana"/>
          <w:color w:val="016794"/>
          <w:sz w:val="18"/>
        </w:rPr>
        <w:t>collège des commissaires</w:t>
      </w:r>
      <w:r>
        <w:rPr>
          <w:rStyle w:val="Corpsdutexte"/>
          <w:rFonts w:ascii="Verdana" w:hAnsi="Verdana"/>
          <w:sz w:val="16"/>
        </w:rPr>
        <w:t xml:space="preserve"> </w:t>
      </w:r>
      <w:r>
        <w:rPr>
          <w:rStyle w:val="Corpsdutexte"/>
          <w:rFonts w:ascii="Verdana" w:hAnsi="Verdana"/>
          <w:sz w:val="18"/>
        </w:rPr>
        <w:t>assume collectivement la responsabilité politique des travaux de la Commission. L'exécution opérationnelle du budget est déléguée aux directeurs généraux et aux chefs de service, qui sont à la tête de la structure administrative de la Commission</w:t>
      </w:r>
      <w:r>
        <w:rPr>
          <w:rStyle w:val="Corpsdutexte"/>
          <w:rFonts w:ascii="Verdana" w:hAnsi="Verdana"/>
          <w:sz w:val="18"/>
          <w:vertAlign w:val="superscript"/>
        </w:rPr>
        <w:footnoteReference w:id="6"/>
      </w:r>
      <w:r>
        <w:rPr>
          <w:rStyle w:val="Corpsdutexte"/>
          <w:rFonts w:ascii="Verdana" w:hAnsi="Verdana"/>
          <w:sz w:val="18"/>
        </w:rPr>
        <w:t xml:space="preserve">. </w:t>
      </w:r>
    </w:p>
    <w:p w:rsidR="00FB0C75" w:rsidRPr="00DC0FC5" w:rsidRDefault="00FB0C75" w:rsidP="00FB0C75">
      <w:pPr>
        <w:pStyle w:val="CommentText"/>
        <w:widowControl w:val="0"/>
        <w:ind w:left="720"/>
        <w:jc w:val="both"/>
        <w:rPr>
          <w:rStyle w:val="Corpsdutexte"/>
          <w:rFonts w:ascii="Verdana" w:hAnsi="Verdana"/>
          <w:sz w:val="18"/>
          <w:szCs w:val="18"/>
        </w:rPr>
      </w:pP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Pr>
          <w:rStyle w:val="Corpsdutexte"/>
          <w:rFonts w:ascii="Verdana" w:hAnsi="Verdana"/>
          <w:sz w:val="18"/>
        </w:rPr>
        <w:t>Le collège délègue les tâches de gestion financière aux directeurs généraux ou aux chefs de service, qui deviennent ainsi</w:t>
      </w:r>
      <w:r>
        <w:t xml:space="preserve"> </w:t>
      </w:r>
      <w:r>
        <w:rPr>
          <w:rFonts w:ascii="Verdana" w:hAnsi="Verdana"/>
          <w:color w:val="016794"/>
          <w:sz w:val="18"/>
        </w:rPr>
        <w:t xml:space="preserve">ordonnateurs </w:t>
      </w:r>
      <w:r>
        <w:rPr>
          <w:rStyle w:val="Corpsdutexte"/>
          <w:rFonts w:ascii="Verdana" w:hAnsi="Verdana"/>
          <w:sz w:val="18"/>
        </w:rPr>
        <w:t xml:space="preserve">délégués (OD). Ces derniers peuvent à leur tour déléguer des tâches aux directeurs, chefs d'unité ou autres, qui deviennent ainsi ordonnateurs subdélégués. </w:t>
      </w:r>
      <w:r>
        <w:rPr>
          <w:rFonts w:ascii="Verdana" w:hAnsi="Verdana"/>
          <w:sz w:val="18"/>
        </w:rPr>
        <w:t>La responsabilité des ordonnateurs s’étend à l’ensemble du processus de gestion, de la détermination des actions à mener pour réaliser les objectifs politiques fixés par l’institution à la gestion des activités engagées du point de vue tant opérationnel que budgétaire.</w:t>
      </w:r>
    </w:p>
    <w:p w:rsidR="00FB0C75" w:rsidRPr="00DC0FC5" w:rsidRDefault="00525E53" w:rsidP="00FB0C75">
      <w:pPr>
        <w:pStyle w:val="DGTextstand-alone"/>
        <w:rPr>
          <w:noProof w:val="0"/>
        </w:rPr>
      </w:pPr>
      <w:r>
        <w:t>Au sein de la Commission, les fonctions et responsabilités en matière de gestion financière sont donc définies et exercées de manière précise. Il s’agit d’une approche décentralisée, axée sur des responsabilités claires, visant à créer une culture administrative qui incite les fonctionnaires à assumer la responsabilité des activités qu’ils exercent et à les rendre maîtres des activités dont ils sont responsables.</w:t>
      </w:r>
    </w:p>
    <w:p w:rsidR="00FB0C75" w:rsidRPr="00DC0FC5" w:rsidRDefault="00525E53" w:rsidP="00FB0C75">
      <w:pPr>
        <w:pStyle w:val="DGTextstand-alone"/>
        <w:rPr>
          <w:rStyle w:val="Corpsdutexte"/>
          <w:noProof w:val="0"/>
        </w:rPr>
      </w:pPr>
      <w:r>
        <w:rPr>
          <w:rStyle w:val="Corpsdutexte"/>
          <w:noProof w:val="0"/>
        </w:rPr>
        <w:t xml:space="preserve">Dans le contexte du cycle de planification stratégique et de programmation de la Commission, chaque ordonnateur est tenu d’établir un «rapport annuel d’activités» (RAA) portant sur les activités et les résultats et réalisations des politiques menées au cours de l’année. Dans ce rapport, il déclare que les ressources ont été utilisées conformément au principe de bonne gestion financière et que les procédures de contrôle qu'il a mises en place offrent les garanties nécessaires quant à la légalité et la régularité des opérations sous-jacentes. Au niveau de la Commission, ces résultats sont adoptés et publiés sous une forme agrégée dans le rapport annuel sur la gestion et la performance du budget, qui est transmis </w:t>
      </w:r>
      <w:r>
        <w:t>au Parlement européen et au Conseil.</w:t>
      </w:r>
      <w:r>
        <w:rPr>
          <w:rStyle w:val="Corpsdutexte"/>
          <w:noProof w:val="0"/>
        </w:rPr>
        <w:t xml:space="preserve"> Ce rapport est le principal instrument par lequel le collège des commissaires assume la responsabilité politique de la gestion du budget.</w:t>
      </w:r>
    </w:p>
    <w:p w:rsidR="00FB0C75" w:rsidRPr="00DC0FC5" w:rsidRDefault="00525E53" w:rsidP="00FB0C75">
      <w:pPr>
        <w:pStyle w:val="DGTextstand-alone"/>
        <w:rPr>
          <w:rStyle w:val="Corpsdutexte"/>
          <w:noProof w:val="0"/>
        </w:rPr>
      </w:pPr>
      <w:r>
        <w:rPr>
          <w:rStyle w:val="Corpsdutexte"/>
          <w:noProof w:val="0"/>
        </w:rPr>
        <w:t xml:space="preserve">Le </w:t>
      </w:r>
      <w:r>
        <w:rPr>
          <w:noProof w:val="0"/>
          <w:color w:val="016794"/>
        </w:rPr>
        <w:t>comptable</w:t>
      </w:r>
      <w:r>
        <w:rPr>
          <w:rStyle w:val="Corpsdutexte"/>
          <w:noProof w:val="0"/>
        </w:rPr>
        <w:t xml:space="preserve"> de la Commission est responsable, au niveau central, de la gestion de la trésorerie, des procédures de recouvrement</w:t>
      </w:r>
      <w:r>
        <w:t>, de la définition de règles comptables sur la base des méthodes et normes comptables internationales pour le secteur public, de la validation des systèmes comptables</w:t>
      </w:r>
      <w:r>
        <w:rPr>
          <w:rStyle w:val="Corpsdutexte"/>
          <w:noProof w:val="0"/>
        </w:rPr>
        <w:t xml:space="preserve"> ainsi que de la préparation des comptes annuels de la Commission et des comptes annuels consolidés de l’Union. </w:t>
      </w:r>
      <w:r>
        <w:t xml:space="preserve">En outre, le comptable est tenu de signer les comptes annuels et de déclarer qu’ils présentent une image fidèle, dans tous les aspects significatifs, de la situation financière, des résultats des opérations et des flux de trésorerie. </w:t>
      </w:r>
      <w:r>
        <w:rPr>
          <w:rStyle w:val="Corpsdutexte"/>
          <w:noProof w:val="0"/>
        </w:rPr>
        <w:t>Le comptable exerce une fonction indépendante et assume une responsabilité essentielle dans l'information financière au sein de la Commission. L’</w:t>
      </w:r>
      <w:r>
        <w:rPr>
          <w:noProof w:val="0"/>
          <w:color w:val="016794"/>
        </w:rPr>
        <w:t>auditeur interne</w:t>
      </w:r>
      <w:r>
        <w:rPr>
          <w:rStyle w:val="Corpsdutexte"/>
          <w:noProof w:val="0"/>
        </w:rPr>
        <w:t xml:space="preserve"> de la Commission exerce lui aussi une fonction centralisée et indépendante.</w:t>
      </w:r>
    </w:p>
    <w:p w:rsidR="00FB0C75" w:rsidRPr="00DC0FC5" w:rsidRDefault="00525E53" w:rsidP="00FB0C75">
      <w:pPr>
        <w:pStyle w:val="DGTextstand-alone"/>
        <w:rPr>
          <w:rStyle w:val="Corpsdutexte"/>
          <w:noProof w:val="0"/>
        </w:rPr>
      </w:pPr>
      <w:r>
        <w:rPr>
          <w:rStyle w:val="Corpsdutexte"/>
          <w:noProof w:val="0"/>
        </w:rPr>
        <w:t xml:space="preserve">Le </w:t>
      </w:r>
      <w:r>
        <w:rPr>
          <w:noProof w:val="0"/>
          <w:color w:val="016794"/>
        </w:rPr>
        <w:t>conseil d’administration</w:t>
      </w:r>
      <w:r>
        <w:t xml:space="preserve"> </w:t>
      </w:r>
      <w:r>
        <w:rPr>
          <w:rStyle w:val="Corpsdutexte"/>
          <w:noProof w:val="0"/>
        </w:rPr>
        <w:t>joue un rôle dans la gouvernance de la Commission en assurant une surveillance et en formulant des orientations stratégiques sur les principaux aspects de la gestion institutionnelle, notamment en matière de ressources humaines et financières. Présidé par le secrétaire général, il réunit régulièrement les directeurs généraux et les cabinets chargés du budget, des ressources humaines et des TI afin de veiller à ce que les structures organisationnelles et techniques nécessaires soient en place au sein de la Commission aux fins d'une mise en œuvre efficace et efficiente des priorités politiques définies par le président.</w:t>
      </w:r>
    </w:p>
    <w:p w:rsidR="00FB0C75" w:rsidRPr="00DC0FC5" w:rsidRDefault="00FB0C75" w:rsidP="00FB0C75">
      <w:pPr>
        <w:pStyle w:val="DGTextstand-alone"/>
        <w:spacing w:after="480"/>
        <w:rPr>
          <w:noProof w:val="0"/>
        </w:rPr>
      </w:pPr>
    </w:p>
    <w:p w:rsidR="00FB0C75" w:rsidRPr="00DC0FC5" w:rsidRDefault="00525E53" w:rsidP="00FB0C75">
      <w:pPr>
        <w:pStyle w:val="HEADER2Part1"/>
      </w:pPr>
      <w:r>
        <w:t>UN CADRE DE PERFORMANCE SOLIDE</w:t>
      </w:r>
    </w:p>
    <w:p w:rsidR="00FB0C75" w:rsidRPr="00DC0FC5" w:rsidRDefault="00525E53" w:rsidP="00FB0C75">
      <w:pPr>
        <w:pStyle w:val="DGTextstand-alone"/>
        <w:rPr>
          <w:noProof w:val="0"/>
        </w:rPr>
      </w:pPr>
      <w:r>
        <w:t>La mise en place de cadres de performance solides est essentielle pour garantir une approche fortement axée sur les résultats, la création d’une valeur ajoutée par l’UE et une bonne gestion des programmes de l’Union. L’exécution du budget de l’UE doit tenir compte de la pluralité des objectifs, de la complémentarité et de la rationalisation des politiques et des programmes ainsi que du rôle clé joué par les États membres dans cette exécution. La Commission s’engage à veiller à ce que le budget de l’UE permette de produire de meilleurs résultats pour les citoyens et qu'il soutienne les priorités politiques. Par son initiative «Un budget axé sur les résultats», la Commission fait en sorte que les ressources soient allouées aux priorités et que chaque action produise des résultats significatifs et une valeur ajoutée élevée. S’appuyant sur le cadre de performance </w:t>
      </w:r>
      <w:r w:rsidRPr="00031A85">
        <w:t>2014</w:t>
      </w:r>
      <w:r>
        <w:t>-</w:t>
      </w:r>
      <w:r w:rsidRPr="00031A85">
        <w:t>2020</w:t>
      </w:r>
      <w:r>
        <w:t>, cette initiative promeut un meilleur équilibre entre conformité et performance. Les cadres de performance </w:t>
      </w:r>
      <w:r w:rsidRPr="00031A85">
        <w:t>2014</w:t>
      </w:r>
      <w:r>
        <w:t>-</w:t>
      </w:r>
      <w:r w:rsidRPr="00031A85">
        <w:t>2020</w:t>
      </w:r>
      <w:r>
        <w:t xml:space="preserve"> ont été intégrés en tant que nouvel élément obligatoire et l’un des principaux piliers du renforcement de l’orientation vers les résultats de cette période de programmation. Ils prévoient l’établissement d’objectifs, d’indicateurs et de cibles clairs et mesurables ainsi que des dispositions en matière de surveillance, de compte rendu et d'évaluation.</w:t>
      </w:r>
    </w:p>
    <w:p w:rsidR="00FB0C75" w:rsidRPr="00DC0FC5" w:rsidRDefault="00525E53" w:rsidP="00FB0C75">
      <w:pPr>
        <w:pStyle w:val="DGTextstand-alone"/>
        <w:rPr>
          <w:noProof w:val="0"/>
        </w:rPr>
      </w:pPr>
      <w:r>
        <w:t xml:space="preserve">Le </w:t>
      </w:r>
      <w:r>
        <w:rPr>
          <w:noProof w:val="0"/>
          <w:color w:val="0070C0"/>
        </w:rPr>
        <w:t>rapport annuel sur la gestion et la performance du budget</w:t>
      </w:r>
      <w:r>
        <w:t xml:space="preserve"> fait un tour d'horizon complet des performances, de la gestion et de la protection du budget de l’UE. Il décrit la façon dont le budget de l’UE soutient les priorités politiques de l’Union européenne, les résultats obtenus grâce au budget ainsi que le rôle joué par la Commission dans le contrôle du respect et la promotion des normes les plus élevées en matière de gestion budgétaire et financière.</w:t>
      </w:r>
    </w:p>
    <w:p w:rsidR="00FB0C75" w:rsidRPr="00DC0FC5" w:rsidRDefault="00FB0C75" w:rsidP="00FB0C75">
      <w:pPr>
        <w:pStyle w:val="DGTextstand-alone"/>
        <w:rPr>
          <w:noProof w:val="0"/>
        </w:rPr>
      </w:pPr>
    </w:p>
    <w:p w:rsidR="00FB0C75" w:rsidRPr="00DC0FC5" w:rsidRDefault="00525E53" w:rsidP="00FB0C75">
      <w:pPr>
        <w:pStyle w:val="HEADER2Part1"/>
      </w:pPr>
      <w:r>
        <w:t>INFORMATION FINANCIÈRE</w:t>
      </w:r>
    </w:p>
    <w:p w:rsidR="00FB0C75" w:rsidRPr="00DC0FC5" w:rsidRDefault="00525E53" w:rsidP="00FB0C75">
      <w:pPr>
        <w:pStyle w:val="DGTextstand-alone"/>
        <w:rPr>
          <w:noProof w:val="0"/>
        </w:rPr>
      </w:pPr>
      <w:r>
        <w:t>Le principal élément de l’information financière au sein de l’UE est le paquet d’information financière intégrée, qui comprend les comptes annuels consolidés de l’UE et d’autres rapports accompagnant les comptes, à savoir le rapport annuel sur la gestion et la performance du budget et le rapport sur le suivi de la décharge. Le paquet d’information financière intégrée permet au public d’avoir une vue d’ensemble de la situation financière et opérationnelle de l’Union chaque année.</w:t>
      </w:r>
    </w:p>
    <w:p w:rsidR="00FB0C75" w:rsidRPr="00DC0FC5" w:rsidRDefault="00525E53" w:rsidP="00FB0C75">
      <w:pPr>
        <w:pStyle w:val="DGTextstand-alone"/>
        <w:rPr>
          <w:noProof w:val="0"/>
        </w:rPr>
      </w:pPr>
      <w:r>
        <w:t>Les comptes annuels consolidés de l’UE apportent des informations financières sur les activités des institutions, agences et autres organes de l’UE sous l’angle du budget et de la comptabilité d’exercice. Ces comptes ne comprennent pas les comptes annuels des États membres.</w:t>
      </w:r>
    </w:p>
    <w:p w:rsidR="00FB0C75" w:rsidRPr="00DC0FC5" w:rsidRDefault="00525E53" w:rsidP="00FB0C75">
      <w:pPr>
        <w:pStyle w:val="DGTextstand-alone"/>
        <w:rPr>
          <w:noProof w:val="0"/>
        </w:rPr>
      </w:pPr>
      <w:r>
        <w:t>Les comptes annuels consolidés de l’UE comprennent deux parties distinctes mais liées:</w:t>
      </w:r>
    </w:p>
    <w:p w:rsidR="00FB0C75" w:rsidRPr="00DC0FC5" w:rsidRDefault="00525E53" w:rsidP="00FB0C75">
      <w:pPr>
        <w:pStyle w:val="DGTextstand-alone"/>
        <w:ind w:left="720"/>
        <w:rPr>
          <w:noProof w:val="0"/>
        </w:rPr>
      </w:pPr>
      <w:r>
        <w:t>a)</w:t>
      </w:r>
      <w:r>
        <w:tab/>
        <w:t>les états financiers consolidés et</w:t>
      </w:r>
    </w:p>
    <w:p w:rsidR="00FB0C75" w:rsidRPr="00DC0FC5" w:rsidRDefault="00525E53" w:rsidP="00FB0C75">
      <w:pPr>
        <w:pStyle w:val="DGTextstand-alone"/>
        <w:ind w:left="1440" w:hanging="720"/>
        <w:rPr>
          <w:noProof w:val="0"/>
        </w:rPr>
      </w:pPr>
      <w:r>
        <w:t>b)</w:t>
      </w:r>
      <w:r>
        <w:tab/>
        <w:t>les états sur l’exécution du budget, qui permettent de suivre, de manière agrégée, l’exécution budgétaire.</w:t>
      </w:r>
    </w:p>
    <w:p w:rsidR="00FB0C75" w:rsidRPr="00DC0FC5" w:rsidRDefault="00525E53" w:rsidP="00FB0C75">
      <w:pPr>
        <w:pStyle w:val="DGTextstand-alone"/>
        <w:rPr>
          <w:noProof w:val="0"/>
        </w:rPr>
      </w:pPr>
      <w:r>
        <w:t>En outre, les comptes annuels consolidés de l’UE sont accompagnés d’un examen et d'une analyse des états financiers qui résument les principales modifications et tendances concernant les états financiers et expliquent les risques et incertitudes notables auxquels l’UE a dû faire face et doit donner suite à l'avenir.</w:t>
      </w:r>
    </w:p>
    <w:p w:rsidR="00FB0C75" w:rsidRPr="00DC0FC5" w:rsidRDefault="00525E53" w:rsidP="00FB0C75">
      <w:pPr>
        <w:pStyle w:val="DGTextstand-alone"/>
        <w:rPr>
          <w:noProof w:val="0"/>
        </w:rPr>
      </w:pPr>
      <w:r>
        <w:t>Établissement de rapports et obligation de rendre compte au sein de la Commission:</w:t>
      </w:r>
    </w:p>
    <w:tbl>
      <w:tblPr>
        <w:tblStyle w:val="MediumGrid3-Accent1"/>
        <w:tblW w:w="0" w:type="auto"/>
        <w:tblLook w:val="04A0" w:firstRow="1" w:lastRow="0" w:firstColumn="1" w:lastColumn="0" w:noHBand="0" w:noVBand="1"/>
      </w:tblPr>
      <w:tblGrid>
        <w:gridCol w:w="2376"/>
        <w:gridCol w:w="7478"/>
      </w:tblGrid>
      <w:tr w:rsidR="005B4EEC" w:rsidTr="005B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B0C75" w:rsidRPr="00DC0FC5" w:rsidRDefault="00525E53" w:rsidP="00FB0C75">
            <w:pPr>
              <w:pStyle w:val="DGTextstand-alone"/>
              <w:rPr>
                <w:noProof w:val="0"/>
              </w:rPr>
            </w:pPr>
            <w:r>
              <w:t>Paquet d’information financière intégrée</w:t>
            </w:r>
          </w:p>
        </w:tc>
        <w:tc>
          <w:tcPr>
            <w:tcW w:w="7478" w:type="dxa"/>
            <w:shd w:val="clear" w:color="auto" w:fill="95B3D7" w:themeFill="accent1" w:themeFillTint="99"/>
          </w:tcPr>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Comptes annuels consolidés de l’UE</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Rapport annuel sur la gestion et la performance du budget</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Rapport sur le suivi de la décharge</w:t>
            </w:r>
          </w:p>
        </w:tc>
      </w:tr>
      <w:tr w:rsidR="005B4EEC" w:rsidTr="005B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rsidR="00FB0C75" w:rsidRPr="00DC0FC5" w:rsidRDefault="00525E53" w:rsidP="00FB0C75">
            <w:pPr>
              <w:pStyle w:val="DGTextstand-alone"/>
              <w:rPr>
                <w:noProof w:val="0"/>
              </w:rPr>
            </w:pPr>
            <w:r>
              <w:t>Autres rapports</w:t>
            </w:r>
          </w:p>
        </w:tc>
        <w:tc>
          <w:tcPr>
            <w:tcW w:w="7478" w:type="dxa"/>
          </w:tcPr>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Rapport général sur l’activité de l’Union européenne</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Rapports annuels d'activités des directions générales</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Rapport sur la gestion budgétaire et financière</w:t>
            </w:r>
          </w:p>
        </w:tc>
      </w:tr>
    </w:tbl>
    <w:p w:rsidR="00FB0C75" w:rsidRPr="00DC0FC5" w:rsidRDefault="00525E53" w:rsidP="00FB0C75">
      <w:pPr>
        <w:pStyle w:val="Textstand-alone"/>
        <w:jc w:val="left"/>
        <w:rPr>
          <w:noProof w:val="0"/>
        </w:rPr>
      </w:pPr>
      <w:r>
        <w:t xml:space="preserve"> </w:t>
      </w:r>
    </w:p>
    <w:p w:rsidR="00FB0C75" w:rsidRPr="00DC0FC5" w:rsidRDefault="00525E53" w:rsidP="00FB0C75">
      <w:pPr>
        <w:pStyle w:val="HEADER2Part1"/>
      </w:pPr>
      <w:r>
        <w:t>CONTRÔLES</w:t>
      </w:r>
    </w:p>
    <w:p w:rsidR="00FB0C75" w:rsidRPr="00DC0FC5" w:rsidRDefault="00525E53" w:rsidP="00FB0C75">
      <w:pPr>
        <w:pStyle w:val="HEADER5"/>
        <w:rPr>
          <w:b w:val="0"/>
        </w:rPr>
      </w:pPr>
      <w:r>
        <w:rPr>
          <w:b w:val="0"/>
        </w:rPr>
        <w:t>Audit externe</w:t>
      </w:r>
    </w:p>
    <w:p w:rsidR="00FB0C75" w:rsidRPr="00DC0FC5" w:rsidRDefault="00525E53" w:rsidP="00FB0C75">
      <w:pPr>
        <w:pStyle w:val="DGTextstand-alone"/>
        <w:spacing w:before="120"/>
        <w:rPr>
          <w:noProof w:val="0"/>
        </w:rPr>
      </w:pPr>
      <w:r>
        <w:t>La Cour des comptes européenne (la Cour) est l’auditeur externe des institutions (et organes) de l’UE. La mission de la Cour est de contribuer à l’amélioration de la gestion financière de l’UE, de promouvoir la responsabilisation et la transparence et d’agir en tant que gardien indépendant des intérêts financiers des citoyens de l’Union. Le rôle de la Cour, en sa qualité d’auditeur externe indépendant de l’UE, consiste à vérifier que les fonds de l’UE sont correctement comptabilisés, et perçus et dépensés conformément aux règles et règlements applicables, et que les ressources sont optimisées.</w:t>
      </w:r>
    </w:p>
    <w:p w:rsidR="00FB0C75" w:rsidRPr="00DC0FC5" w:rsidRDefault="00525E53" w:rsidP="00FB0C75">
      <w:pPr>
        <w:pStyle w:val="DGTextstand-alone"/>
        <w:spacing w:before="120"/>
        <w:rPr>
          <w:noProof w:val="0"/>
        </w:rPr>
      </w:pPr>
      <w:r>
        <w:t>Les comptes annuels de l’UE et la gestion des ressources sont contrôlés par la Cour qui, dans le cadre de ses activités, établit pour le Parlement européen et le Conseil:</w:t>
      </w:r>
    </w:p>
    <w:p w:rsidR="00FB0C75" w:rsidRPr="00DC0FC5" w:rsidRDefault="00525E53" w:rsidP="00FB0C75">
      <w:pPr>
        <w:pStyle w:val="DGTextstand-alone"/>
        <w:spacing w:after="120"/>
        <w:ind w:left="720" w:hanging="720"/>
        <w:rPr>
          <w:noProof w:val="0"/>
        </w:rPr>
      </w:pPr>
      <w:r w:rsidRPr="00031A85">
        <w:t>1</w:t>
      </w:r>
      <w:r>
        <w:t>)</w:t>
      </w:r>
      <w:r>
        <w:tab/>
        <w:t>un rapport annuel sur les activités financées par le budget général, contenant ses observations sur les comptes annuels et les opérations sous-jacentes;</w:t>
      </w:r>
    </w:p>
    <w:p w:rsidR="00FB0C75" w:rsidRPr="00DC0FC5" w:rsidRDefault="00525E53" w:rsidP="00FB0C75">
      <w:pPr>
        <w:pStyle w:val="DGTextstand-alone"/>
        <w:spacing w:before="0" w:after="120"/>
        <w:ind w:left="720" w:hanging="720"/>
        <w:rPr>
          <w:noProof w:val="0"/>
        </w:rPr>
      </w:pPr>
      <w:r w:rsidRPr="00031A85">
        <w:t>2</w:t>
      </w:r>
      <w:r>
        <w:t>)</w:t>
      </w:r>
      <w:r>
        <w:tab/>
        <w:t>un avis, fondé sur ses audits et figurant dans le rapport annuel sous forme de déclaration d’assurance, sur i) la fiabilité des comptes et ii) la légalité et la régularité des opérations sous-jacentes concernant à la fois les recettes perçues et les paiements aux bénéficiaires finals, et</w:t>
      </w:r>
    </w:p>
    <w:p w:rsidR="00FB0C75" w:rsidRPr="00DC0FC5" w:rsidRDefault="00525E53" w:rsidP="00FB0C75">
      <w:pPr>
        <w:pStyle w:val="DGTextstand-alone"/>
        <w:spacing w:before="120"/>
        <w:rPr>
          <w:noProof w:val="0"/>
        </w:rPr>
      </w:pPr>
      <w:r w:rsidRPr="00031A85">
        <w:t>3</w:t>
      </w:r>
      <w:r>
        <w:t>)</w:t>
      </w:r>
      <w:r>
        <w:tab/>
        <w:t>des rapports spéciaux dans des domaines spécifiques.</w:t>
      </w:r>
    </w:p>
    <w:p w:rsidR="00FB0C75" w:rsidRPr="00DC0FC5" w:rsidRDefault="00FB0C75" w:rsidP="00FB0C75">
      <w:pPr>
        <w:pStyle w:val="HEADER5"/>
        <w:rPr>
          <w:b w:val="0"/>
        </w:rPr>
      </w:pPr>
    </w:p>
    <w:p w:rsidR="00FB0C75" w:rsidRPr="00DC0FC5" w:rsidRDefault="00525E53" w:rsidP="00FB0C75">
      <w:pPr>
        <w:pStyle w:val="HEADER5"/>
        <w:rPr>
          <w:b w:val="0"/>
        </w:rPr>
      </w:pPr>
      <w:r>
        <w:rPr>
          <w:b w:val="0"/>
        </w:rPr>
        <w:t>Décharge</w:t>
      </w:r>
    </w:p>
    <w:p w:rsidR="00FB0C75" w:rsidRPr="00DC0FC5" w:rsidRDefault="00525E53" w:rsidP="00FB0C75">
      <w:pPr>
        <w:pStyle w:val="DGTextstand-alone"/>
        <w:rPr>
          <w:noProof w:val="0"/>
        </w:rPr>
      </w:pPr>
      <w:r>
        <w:t>La décharge du budget pour un exercice donné constitue l’étape finale d’un cycle budgétaire. Elle est donnée à la Commission et à l’ensemble des autres institutions et organes de l’UE. La décharge constitue le volet politique du contrôle externe de l’exécution budgétaire et se définit comme la décision par laquelle le Parlement européen, sur recommandation du Conseil, «libère» la Commission (et les autres organes de l’UE) pour sa gestion d’un budget donné en clôturant la vie de ce budget. Le Parlement européen est l’autorité de décharge au sein de l’UE. Autrement dit, après l’audit et la finalisation des comptes annuels, il revient au Conseil d’émettre une recommandation et ensuite au Parlement européen de donner décharge à la Commission et à d’autres organes de l’Union pour l’exécution du budget de l’UE pour un exercice donné. Cette décision est fondée sur un examen des comptes annuels, du rapport annuel de la Commission sur la gestion et la performance du budget, du rapport annuel, de l’opinion d’audit et des rapports spéciaux de la Cour ainsi que des réponses de la Commission aux questions et autres demandes d’informations qui lui sont adressées.</w:t>
      </w:r>
    </w:p>
    <w:p w:rsidR="00FB0C75" w:rsidRPr="00DC0FC5" w:rsidRDefault="00525E53" w:rsidP="00FB0C75">
      <w:pPr>
        <w:pStyle w:val="DGTextstand-alone"/>
        <w:spacing w:after="600"/>
        <w:rPr>
          <w:noProof w:val="0"/>
        </w:rPr>
      </w:pPr>
      <w:r>
        <w:t>Cette procédure de décharge peut donner lieu à trois situations: l’octroi, l’ajournement ou le refus de la décharge. Une partie intégrante de la procédure annuelle de décharge budgétaire au Parlement européen consiste en des auditions avec les commissaires, qui sont interrogés par les membres de la commission du contrôle budgétaire du Parlement sur les domaines politiques relevant de leur responsabilité. Le rapport final de décharge, assorti de recommandations spécifiques adressées à la Commission, est adopté en plénière par le Parlement européen. Les recommandations de décharge du Conseil sont adoptées par le Conseil «Affaires économiques et financières» (Ecofin). Tant le rapport de décharge du Parlement européen que les recommandations du Conseil donnent lieu à un rapport de suivi annuel dans lequel la Commission souligne les actions concrètes prises en réponse aux recommandations formulées.</w:t>
      </w:r>
    </w:p>
    <w:p w:rsidR="00FB0C75" w:rsidRPr="00DC0FC5" w:rsidRDefault="00525E53" w:rsidP="00FB0C75">
      <w:pPr>
        <w:pStyle w:val="Textstand-alone"/>
        <w:rPr>
          <w:noProof w:val="0"/>
        </w:rPr>
        <w:sectPr w:rsidR="00FB0C75" w:rsidRPr="00DC0FC5" w:rsidSect="00FB0C75">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cols w:space="708"/>
          <w:docGrid w:linePitch="360"/>
        </w:sectPr>
      </w:pPr>
      <w:r>
        <w:t xml:space="preserve"> </w:t>
      </w:r>
      <w:bookmarkEnd w:id="10"/>
    </w:p>
    <w:p w:rsidR="00FB0C75" w:rsidRPr="00DA3B33" w:rsidRDefault="00525E53" w:rsidP="00FB0C75">
      <w:pPr>
        <w:pStyle w:val="FIRSTCHAPTERPAGE"/>
      </w:pPr>
      <w:bookmarkStart w:id="11" w:name="_Toc485724165"/>
      <w:bookmarkStart w:id="12" w:name="_Toc491678757"/>
      <w:bookmarkStart w:id="13" w:name="_DMBM_8927"/>
      <w:r>
        <w:t>NOTE ACCOMPAGNANT LES COMPTES CONSOLIDÉS</w:t>
      </w:r>
      <w:bookmarkEnd w:id="11"/>
      <w:bookmarkEnd w:id="12"/>
    </w:p>
    <w:p w:rsidR="00FB0C75" w:rsidRPr="00DA3B33" w:rsidRDefault="00FB0C75" w:rsidP="00FB0C75">
      <w:pPr>
        <w:pStyle w:val="HEADERTITLE"/>
        <w:spacing w:after="0"/>
      </w:pPr>
    </w:p>
    <w:p w:rsidR="00FB0C75" w:rsidRDefault="00525E53" w:rsidP="00FB0C75">
      <w:pPr>
        <w:pStyle w:val="Textstand-alone"/>
      </w:pPr>
      <w:r>
        <w:t>Les comptes annuels consolidés de l’Union européenne relatifs à l’exercice </w:t>
      </w:r>
      <w:r w:rsidRPr="00031A85">
        <w:t>2016</w:t>
      </w:r>
      <w:r>
        <w:t xml:space="preserve"> ont été élaborés sur la base des informations fournies par les institutions et organismes conformément à l’article </w:t>
      </w:r>
      <w:r w:rsidRPr="00031A85">
        <w:t>148</w:t>
      </w:r>
      <w:r>
        <w:t>, paragraphe </w:t>
      </w:r>
      <w:r w:rsidRPr="00031A85">
        <w:t>2</w:t>
      </w:r>
      <w:r>
        <w:t>, du règlement financier applicable au budget général de l’Union européenne. Je déclare par la présente que lesdits comptes ont été établis conformément au titre IX dudit règlement financier ainsi qu’aux principes, règles et méthodes comptables exposés dans les notes annexes aux états financiers.</w:t>
      </w:r>
    </w:p>
    <w:p w:rsidR="00FB0C75" w:rsidRDefault="00525E53" w:rsidP="00FB0C75">
      <w:pPr>
        <w:pStyle w:val="Textstand-alone"/>
      </w:pPr>
      <w:r>
        <w:t>J’ai obtenu des comptables de ces institutions et organismes, qui en certifient la fiabilité, toutes les informations nécessaires à la production des comptes décrivant l’actif et le passif de l’Union européenne, ainsi que l’exécution du budget.</w:t>
      </w:r>
    </w:p>
    <w:p w:rsidR="00FB0C75" w:rsidRDefault="00525E53" w:rsidP="00FB0C75">
      <w:pPr>
        <w:pStyle w:val="Textstand-alone"/>
      </w:pPr>
      <w:r>
        <w:t>Je certifie par la présente que, sur la base de ces informations et des vérifications que j’ai jugées nécessaires pour être en mesure de signer les comptes de la Commission européenne, j’ai obtenu l’assurance raisonnable que les comptes présentent une image fidèle, dans tous les aspects significatifs, de la situation financière, des résultats des opérations et des flux de trésorerie de l’Union européenne.</w:t>
      </w:r>
    </w:p>
    <w:p w:rsidR="00FB0C75" w:rsidRDefault="00FB0C75" w:rsidP="00FB0C75">
      <w:pPr>
        <w:pStyle w:val="Textstand-alone"/>
      </w:pPr>
    </w:p>
    <w:p w:rsidR="00FB0C75" w:rsidRDefault="00FB0C75" w:rsidP="00FB0C75">
      <w:pPr>
        <w:pStyle w:val="Textstand-alone"/>
      </w:pPr>
    </w:p>
    <w:p w:rsidR="00FB0C75" w:rsidRDefault="00525E53" w:rsidP="00FB0C75">
      <w:pPr>
        <w:pStyle w:val="SignatureRightItalic0"/>
      </w:pPr>
      <w:r>
        <w:t>[signé]</w:t>
      </w:r>
    </w:p>
    <w:p w:rsidR="00FB0C75" w:rsidRDefault="00525E53" w:rsidP="00FB0C75">
      <w:pPr>
        <w:pStyle w:val="SignatureRight"/>
      </w:pPr>
      <w:r>
        <w:t>Rosa ALDEA BUSQUETS</w:t>
      </w:r>
    </w:p>
    <w:p w:rsidR="00FB0C75" w:rsidRDefault="00525E53" w:rsidP="00FB0C75">
      <w:pPr>
        <w:pStyle w:val="SignatureRightBold"/>
      </w:pPr>
      <w:r>
        <w:t>Comptable de la Commission</w:t>
      </w:r>
    </w:p>
    <w:p w:rsidR="00FB0C75" w:rsidRDefault="00120C22" w:rsidP="00FB0C75">
      <w:pPr>
        <w:pStyle w:val="SignatureRightItalic"/>
      </w:pPr>
      <w:r>
        <w:t xml:space="preserve">Le </w:t>
      </w:r>
      <w:r w:rsidRPr="00031A85">
        <w:t>23</w:t>
      </w:r>
      <w:r>
        <w:t> juin </w:t>
      </w:r>
      <w:r w:rsidRPr="00031A85">
        <w:t>2017</w:t>
      </w:r>
    </w:p>
    <w:p w:rsidR="00FB0C75" w:rsidRPr="00C96E76" w:rsidRDefault="00525E53" w:rsidP="00FB0C75">
      <w:pPr>
        <w:pStyle w:val="SignatureRightItalic"/>
        <w:sectPr w:rsidR="00FB0C75" w:rsidRPr="00C96E76" w:rsidSect="00FB0C75">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t xml:space="preserve"> </w:t>
      </w:r>
      <w:bookmarkEnd w:id="13"/>
    </w:p>
    <w:p w:rsidR="00FB0C75" w:rsidRPr="00012B40" w:rsidRDefault="00525E53" w:rsidP="00FB0C75">
      <w:pPr>
        <w:pStyle w:val="FinancialYear"/>
      </w:pPr>
      <w:bookmarkStart w:id="14" w:name="_DMBM_8940"/>
      <w:r>
        <w:t>UNION EUROPÉENNE</w:t>
      </w:r>
    </w:p>
    <w:p w:rsidR="00FB0C75" w:rsidRDefault="00525E53" w:rsidP="00FB0C75">
      <w:pPr>
        <w:pStyle w:val="FinancialYear"/>
      </w:pPr>
      <w:r>
        <w:t>EXERCICE </w:t>
      </w:r>
      <w:r w:rsidRPr="00031A85">
        <w:t>2016</w:t>
      </w: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15" w:name="_Toc485724166"/>
      <w:bookmarkStart w:id="16" w:name="_Toc491678758"/>
      <w:r>
        <w:t>ÉTATS FINANCIERS CONSOLIDÉS ET NOTES ANNEXES</w:t>
      </w:r>
      <w:bookmarkEnd w:id="15"/>
      <w:bookmarkEnd w:id="16"/>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TOPHEADERNOTE"/>
        <w:sectPr w:rsidR="00FB0C75" w:rsidSect="00FB0C75">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t>Des écarts peuvent sembler exister entre certaines données financières des tableaux ci-dessous lorsqu’elles sont additionnées car les chiffres sont arrondis au million d’euros.</w:t>
      </w:r>
      <w:bookmarkEnd w:id="14"/>
    </w:p>
    <w:p w:rsidR="00FB0C75" w:rsidRDefault="00525E53" w:rsidP="00FB0C75">
      <w:pPr>
        <w:pStyle w:val="HEADERTABLE"/>
      </w:pPr>
      <w:bookmarkStart w:id="17" w:name="_DMBM_8983"/>
      <w:r>
        <w:t>SOMMAIRE</w:t>
      </w:r>
    </w:p>
    <w:p w:rsidR="00FB0C75" w:rsidRDefault="00FB0C75" w:rsidP="00FB0C75">
      <w:pPr>
        <w:pStyle w:val="HEADERTABLE"/>
      </w:pPr>
    </w:p>
    <w:p w:rsidR="00AB10B7" w:rsidRDefault="008D1615" w:rsidP="003E248E">
      <w:pPr>
        <w:pStyle w:val="TOC1"/>
      </w:pPr>
      <w:r>
        <w:rPr>
          <w:color w:val="000000"/>
          <w:sz w:val="18"/>
          <w:szCs w:val="18"/>
          <w14:textFill>
            <w14:solidFill>
              <w14:srgbClr w14:val="000000">
                <w14:lumMod w14:val="75000"/>
              </w14:srgbClr>
            </w14:solidFill>
          </w14:textFill>
        </w:rPr>
        <w:fldChar w:fldCharType="begin"/>
      </w:r>
      <w:r w:rsidR="00525E53">
        <w:instrText xml:space="preserve"> TOC \h \z \t "FIRST CHAPTER_PAGE_1;1;HEADER 1_Part 2;2;HEADER_TITLE_1;1" </w:instrText>
      </w:r>
      <w:r>
        <w:rPr>
          <w:color w:val="000000"/>
          <w:sz w:val="18"/>
          <w:szCs w:val="18"/>
          <w14:textFill>
            <w14:solidFill>
              <w14:srgbClr w14:val="000000">
                <w14:lumMod w14:val="75000"/>
              </w14:srgbClr>
            </w14:solidFill>
          </w14:textFill>
        </w:rPr>
        <w:fldChar w:fldCharType="separate"/>
      </w:r>
      <w:hyperlink w:anchor="_Toc491678823" w:history="1">
        <w:r w:rsidR="00AB10B7" w:rsidRPr="00AA2CFF">
          <w:rPr>
            <w:rStyle w:val="Hyperlink"/>
          </w:rPr>
          <w:t>BILAN</w:t>
        </w:r>
        <w:r w:rsidR="00AB10B7">
          <w:rPr>
            <w:webHidden/>
          </w:rPr>
          <w:tab/>
        </w:r>
        <w:r w:rsidR="000C7DC9">
          <w:rPr>
            <w:webHidden/>
          </w:rPr>
          <w:tab/>
        </w:r>
        <w:r w:rsidR="00AB10B7">
          <w:rPr>
            <w:webHidden/>
          </w:rPr>
          <w:fldChar w:fldCharType="begin"/>
        </w:r>
        <w:r w:rsidR="00AB10B7">
          <w:rPr>
            <w:webHidden/>
          </w:rPr>
          <w:instrText xml:space="preserve"> PAGEREF _Toc491678823 \h </w:instrText>
        </w:r>
        <w:r w:rsidR="00AB10B7">
          <w:rPr>
            <w:webHidden/>
          </w:rPr>
        </w:r>
        <w:r w:rsidR="00AB10B7">
          <w:rPr>
            <w:webHidden/>
          </w:rPr>
          <w:fldChar w:fldCharType="separate"/>
        </w:r>
        <w:r w:rsidR="000C7DC9">
          <w:rPr>
            <w:webHidden/>
          </w:rPr>
          <w:t>14</w:t>
        </w:r>
        <w:r w:rsidR="00AB10B7">
          <w:rPr>
            <w:webHidden/>
          </w:rPr>
          <w:fldChar w:fldCharType="end"/>
        </w:r>
      </w:hyperlink>
    </w:p>
    <w:p w:rsidR="008F6C77" w:rsidRPr="008F6C77" w:rsidRDefault="008F6C77" w:rsidP="008F6C77">
      <w:pPr>
        <w:pStyle w:val="Textstand-alone"/>
        <w:spacing w:before="0" w:after="0"/>
        <w:rPr>
          <w:rFonts w:eastAsiaTheme="minorEastAsia"/>
        </w:rPr>
      </w:pPr>
    </w:p>
    <w:p w:rsidR="00AB10B7" w:rsidRDefault="00915D0A" w:rsidP="003E248E">
      <w:pPr>
        <w:pStyle w:val="TOC1"/>
      </w:pPr>
      <w:hyperlink w:anchor="_Toc491678824" w:history="1">
        <w:r w:rsidR="00AB10B7" w:rsidRPr="00AA2CFF">
          <w:rPr>
            <w:rStyle w:val="Hyperlink"/>
          </w:rPr>
          <w:t>COMPTE DE RÉSULTAT ÉCONOMIQUE</w:t>
        </w:r>
        <w:r w:rsidR="00AB10B7">
          <w:rPr>
            <w:webHidden/>
          </w:rPr>
          <w:tab/>
        </w:r>
        <w:r w:rsidR="00AB10B7">
          <w:rPr>
            <w:webHidden/>
          </w:rPr>
          <w:fldChar w:fldCharType="begin"/>
        </w:r>
        <w:r w:rsidR="00AB10B7">
          <w:rPr>
            <w:webHidden/>
          </w:rPr>
          <w:instrText xml:space="preserve"> PAGEREF _Toc491678824 \h </w:instrText>
        </w:r>
        <w:r w:rsidR="00AB10B7">
          <w:rPr>
            <w:webHidden/>
          </w:rPr>
        </w:r>
        <w:r w:rsidR="00AB10B7">
          <w:rPr>
            <w:webHidden/>
          </w:rPr>
          <w:fldChar w:fldCharType="separate"/>
        </w:r>
        <w:r w:rsidR="000C7DC9">
          <w:rPr>
            <w:webHidden/>
          </w:rPr>
          <w:t>15</w:t>
        </w:r>
        <w:r w:rsidR="00AB10B7">
          <w:rPr>
            <w:webHidden/>
          </w:rPr>
          <w:fldChar w:fldCharType="end"/>
        </w:r>
      </w:hyperlink>
    </w:p>
    <w:p w:rsidR="008F6C77" w:rsidRPr="008F6C77" w:rsidRDefault="008F6C77" w:rsidP="008F6C77">
      <w:pPr>
        <w:pStyle w:val="Textstand-alone"/>
        <w:spacing w:before="0" w:after="0"/>
        <w:rPr>
          <w:rFonts w:eastAsiaTheme="minorEastAsia"/>
        </w:rPr>
      </w:pPr>
    </w:p>
    <w:p w:rsidR="00AB10B7" w:rsidRDefault="00915D0A" w:rsidP="003E248E">
      <w:pPr>
        <w:pStyle w:val="TOC1"/>
      </w:pPr>
      <w:hyperlink w:anchor="_Toc491678825" w:history="1">
        <w:r w:rsidR="00AB10B7" w:rsidRPr="00AA2CFF">
          <w:rPr>
            <w:rStyle w:val="Hyperlink"/>
          </w:rPr>
          <w:t>TABLEAU DES FLUX DE TRÉSORERIE</w:t>
        </w:r>
        <w:r w:rsidR="00AB10B7">
          <w:rPr>
            <w:webHidden/>
          </w:rPr>
          <w:tab/>
        </w:r>
        <w:r w:rsidR="00AB10B7">
          <w:rPr>
            <w:webHidden/>
          </w:rPr>
          <w:fldChar w:fldCharType="begin"/>
        </w:r>
        <w:r w:rsidR="00AB10B7">
          <w:rPr>
            <w:webHidden/>
          </w:rPr>
          <w:instrText xml:space="preserve"> PAGEREF _Toc491678825 \h </w:instrText>
        </w:r>
        <w:r w:rsidR="00AB10B7">
          <w:rPr>
            <w:webHidden/>
          </w:rPr>
        </w:r>
        <w:r w:rsidR="00AB10B7">
          <w:rPr>
            <w:webHidden/>
          </w:rPr>
          <w:fldChar w:fldCharType="separate"/>
        </w:r>
        <w:r w:rsidR="000C7DC9">
          <w:rPr>
            <w:webHidden/>
          </w:rPr>
          <w:t>16</w:t>
        </w:r>
        <w:r w:rsidR="00AB10B7">
          <w:rPr>
            <w:webHidden/>
          </w:rPr>
          <w:fldChar w:fldCharType="end"/>
        </w:r>
      </w:hyperlink>
    </w:p>
    <w:p w:rsidR="008F6C77" w:rsidRPr="008F6C77" w:rsidRDefault="008F6C77" w:rsidP="008F6C77">
      <w:pPr>
        <w:pStyle w:val="Textstand-alone"/>
        <w:spacing w:before="0" w:after="0"/>
        <w:rPr>
          <w:rFonts w:eastAsiaTheme="minorEastAsia"/>
        </w:rPr>
      </w:pPr>
    </w:p>
    <w:p w:rsidR="00AB10B7" w:rsidRDefault="00915D0A" w:rsidP="003E248E">
      <w:pPr>
        <w:pStyle w:val="TOC1"/>
      </w:pPr>
      <w:hyperlink w:anchor="_Toc491678826" w:history="1">
        <w:r w:rsidR="00AB10B7" w:rsidRPr="00AA2CFF">
          <w:rPr>
            <w:rStyle w:val="Hyperlink"/>
          </w:rPr>
          <w:t>ÉTAT DES VARIATIONS DE L’ACTIF NET</w:t>
        </w:r>
        <w:r w:rsidR="00AB10B7">
          <w:rPr>
            <w:webHidden/>
          </w:rPr>
          <w:tab/>
        </w:r>
        <w:r w:rsidR="00AB10B7">
          <w:rPr>
            <w:webHidden/>
          </w:rPr>
          <w:fldChar w:fldCharType="begin"/>
        </w:r>
        <w:r w:rsidR="00AB10B7">
          <w:rPr>
            <w:webHidden/>
          </w:rPr>
          <w:instrText xml:space="preserve"> PAGEREF _Toc491678826 \h </w:instrText>
        </w:r>
        <w:r w:rsidR="00AB10B7">
          <w:rPr>
            <w:webHidden/>
          </w:rPr>
        </w:r>
        <w:r w:rsidR="00AB10B7">
          <w:rPr>
            <w:webHidden/>
          </w:rPr>
          <w:fldChar w:fldCharType="separate"/>
        </w:r>
        <w:r w:rsidR="000C7DC9">
          <w:rPr>
            <w:webHidden/>
          </w:rPr>
          <w:t>17</w:t>
        </w:r>
        <w:r w:rsidR="00AB10B7">
          <w:rPr>
            <w:webHidden/>
          </w:rPr>
          <w:fldChar w:fldCharType="end"/>
        </w:r>
      </w:hyperlink>
    </w:p>
    <w:p w:rsidR="008F6C77" w:rsidRPr="008F6C77" w:rsidRDefault="008F6C77" w:rsidP="008F6C77">
      <w:pPr>
        <w:pStyle w:val="Textstand-alone"/>
        <w:spacing w:before="0" w:after="0"/>
        <w:rPr>
          <w:rFonts w:eastAsiaTheme="minorEastAsia"/>
        </w:rPr>
      </w:pPr>
    </w:p>
    <w:p w:rsidR="00AB10B7" w:rsidRDefault="00915D0A" w:rsidP="003E248E">
      <w:pPr>
        <w:pStyle w:val="TOC1"/>
        <w:rPr>
          <w:rFonts w:asciiTheme="minorHAnsi" w:eastAsiaTheme="minorEastAsia" w:hAnsiTheme="minorHAnsi" w:cstheme="minorBidi"/>
          <w:color w:val="000000"/>
          <w:sz w:val="22"/>
          <w:szCs w:val="22"/>
          <w14:textFill>
            <w14:solidFill>
              <w14:srgbClr w14:val="000000">
                <w14:lumMod w14:val="75000"/>
              </w14:srgbClr>
            </w14:solidFill>
          </w14:textFill>
        </w:rPr>
      </w:pPr>
      <w:hyperlink w:anchor="_Toc491678827" w:history="1">
        <w:r w:rsidR="00AB10B7" w:rsidRPr="00AA2CFF">
          <w:rPr>
            <w:rStyle w:val="Hyperlink"/>
          </w:rPr>
          <w:t>ANNEXES AUX ÉTATS FINANCIERS</w:t>
        </w:r>
        <w:r w:rsidR="00AB10B7">
          <w:rPr>
            <w:webHidden/>
          </w:rPr>
          <w:tab/>
        </w:r>
        <w:r w:rsidR="00AB10B7">
          <w:rPr>
            <w:webHidden/>
          </w:rPr>
          <w:fldChar w:fldCharType="begin"/>
        </w:r>
        <w:r w:rsidR="00AB10B7">
          <w:rPr>
            <w:webHidden/>
          </w:rPr>
          <w:instrText xml:space="preserve"> PAGEREF _Toc491678827 \h </w:instrText>
        </w:r>
        <w:r w:rsidR="00AB10B7">
          <w:rPr>
            <w:webHidden/>
          </w:rPr>
        </w:r>
        <w:r w:rsidR="00AB10B7">
          <w:rPr>
            <w:webHidden/>
          </w:rPr>
          <w:fldChar w:fldCharType="separate"/>
        </w:r>
        <w:r w:rsidR="000C7DC9">
          <w:rPr>
            <w:webHidden/>
          </w:rPr>
          <w:t>18</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28" w:history="1">
        <w:r w:rsidR="00AB10B7" w:rsidRPr="00031A85">
          <w:rPr>
            <w:rStyle w:val="Hyperlink"/>
          </w:rPr>
          <w:t>1</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PRINCIPES COMPTABLES ESSENTIELS</w:t>
        </w:r>
        <w:r w:rsidR="00AB10B7">
          <w:rPr>
            <w:webHidden/>
          </w:rPr>
          <w:tab/>
        </w:r>
        <w:r w:rsidR="00AB10B7">
          <w:rPr>
            <w:webHidden/>
          </w:rPr>
          <w:fldChar w:fldCharType="begin"/>
        </w:r>
        <w:r w:rsidR="00AB10B7">
          <w:rPr>
            <w:webHidden/>
          </w:rPr>
          <w:instrText xml:space="preserve"> PAGEREF _Toc491678828 \h </w:instrText>
        </w:r>
        <w:r w:rsidR="00AB10B7">
          <w:rPr>
            <w:webHidden/>
          </w:rPr>
        </w:r>
        <w:r w:rsidR="00AB10B7">
          <w:rPr>
            <w:webHidden/>
          </w:rPr>
          <w:fldChar w:fldCharType="separate"/>
        </w:r>
        <w:r w:rsidR="000C7DC9">
          <w:rPr>
            <w:webHidden/>
          </w:rPr>
          <w:t>19</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29" w:history="1">
        <w:r w:rsidR="00AB10B7" w:rsidRPr="00031A85">
          <w:rPr>
            <w:rStyle w:val="Hyperlink"/>
          </w:rPr>
          <w:t>2</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NOTES ANNEXES AU BILAN</w:t>
        </w:r>
        <w:r w:rsidR="00AB10B7">
          <w:rPr>
            <w:webHidden/>
          </w:rPr>
          <w:tab/>
        </w:r>
        <w:r w:rsidR="00AB10B7">
          <w:rPr>
            <w:webHidden/>
          </w:rPr>
          <w:fldChar w:fldCharType="begin"/>
        </w:r>
        <w:r w:rsidR="00AB10B7">
          <w:rPr>
            <w:webHidden/>
          </w:rPr>
          <w:instrText xml:space="preserve"> PAGEREF _Toc491678829 \h </w:instrText>
        </w:r>
        <w:r w:rsidR="00AB10B7">
          <w:rPr>
            <w:webHidden/>
          </w:rPr>
        </w:r>
        <w:r w:rsidR="00AB10B7">
          <w:rPr>
            <w:webHidden/>
          </w:rPr>
          <w:fldChar w:fldCharType="separate"/>
        </w:r>
        <w:r w:rsidR="000C7DC9">
          <w:rPr>
            <w:webHidden/>
          </w:rPr>
          <w:t>32</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0" w:history="1">
        <w:r w:rsidR="00AB10B7" w:rsidRPr="00031A85">
          <w:rPr>
            <w:rStyle w:val="Hyperlink"/>
          </w:rPr>
          <w:t>3</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NOTES ANNEXES AU COMPTE DE RÉSULTAT ÉCONOMIQUE</w:t>
        </w:r>
        <w:r w:rsidR="00AB10B7">
          <w:rPr>
            <w:webHidden/>
          </w:rPr>
          <w:tab/>
        </w:r>
        <w:r w:rsidR="00AB10B7">
          <w:rPr>
            <w:webHidden/>
          </w:rPr>
          <w:fldChar w:fldCharType="begin"/>
        </w:r>
        <w:r w:rsidR="00AB10B7">
          <w:rPr>
            <w:webHidden/>
          </w:rPr>
          <w:instrText xml:space="preserve"> PAGEREF _Toc491678830 \h </w:instrText>
        </w:r>
        <w:r w:rsidR="00AB10B7">
          <w:rPr>
            <w:webHidden/>
          </w:rPr>
        </w:r>
        <w:r w:rsidR="00AB10B7">
          <w:rPr>
            <w:webHidden/>
          </w:rPr>
          <w:fldChar w:fldCharType="separate"/>
        </w:r>
        <w:r w:rsidR="000C7DC9">
          <w:rPr>
            <w:webHidden/>
          </w:rPr>
          <w:t>60</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1" w:history="1">
        <w:r w:rsidR="00AB10B7" w:rsidRPr="00031A85">
          <w:rPr>
            <w:rStyle w:val="Hyperlink"/>
          </w:rPr>
          <w:t>4</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ACTIF ET PASSIF ÉVENTUELS</w:t>
        </w:r>
        <w:r w:rsidR="00AB10B7">
          <w:rPr>
            <w:webHidden/>
          </w:rPr>
          <w:tab/>
        </w:r>
        <w:r w:rsidR="00AB10B7">
          <w:rPr>
            <w:webHidden/>
          </w:rPr>
          <w:fldChar w:fldCharType="begin"/>
        </w:r>
        <w:r w:rsidR="00AB10B7">
          <w:rPr>
            <w:webHidden/>
          </w:rPr>
          <w:instrText xml:space="preserve"> PAGEREF _Toc491678831 \h </w:instrText>
        </w:r>
        <w:r w:rsidR="00AB10B7">
          <w:rPr>
            <w:webHidden/>
          </w:rPr>
        </w:r>
        <w:r w:rsidR="00AB10B7">
          <w:rPr>
            <w:webHidden/>
          </w:rPr>
          <w:fldChar w:fldCharType="separate"/>
        </w:r>
        <w:r w:rsidR="000C7DC9">
          <w:rPr>
            <w:webHidden/>
          </w:rPr>
          <w:t>69</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2" w:history="1">
        <w:r w:rsidR="00AB10B7" w:rsidRPr="00031A85">
          <w:rPr>
            <w:rStyle w:val="Hyperlink"/>
          </w:rPr>
          <w:t>5</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ENGAGEMENTS BUDGÉTAIRES ET JURIDIQUES</w:t>
        </w:r>
        <w:r w:rsidR="00AB10B7">
          <w:rPr>
            <w:webHidden/>
          </w:rPr>
          <w:tab/>
        </w:r>
        <w:r w:rsidR="00AB10B7">
          <w:rPr>
            <w:webHidden/>
          </w:rPr>
          <w:fldChar w:fldCharType="begin"/>
        </w:r>
        <w:r w:rsidR="00AB10B7">
          <w:rPr>
            <w:webHidden/>
          </w:rPr>
          <w:instrText xml:space="preserve"> PAGEREF _Toc491678832 \h </w:instrText>
        </w:r>
        <w:r w:rsidR="00AB10B7">
          <w:rPr>
            <w:webHidden/>
          </w:rPr>
        </w:r>
        <w:r w:rsidR="00AB10B7">
          <w:rPr>
            <w:webHidden/>
          </w:rPr>
          <w:fldChar w:fldCharType="separate"/>
        </w:r>
        <w:r w:rsidR="000C7DC9">
          <w:rPr>
            <w:webHidden/>
          </w:rPr>
          <w:t>74</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3" w:history="1">
        <w:r w:rsidR="00AB10B7" w:rsidRPr="00031A85">
          <w:rPr>
            <w:rStyle w:val="Hyperlink"/>
          </w:rPr>
          <w:t>6</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GESTION DES RISQUES FINANCIERS</w:t>
        </w:r>
        <w:r w:rsidR="00AB10B7">
          <w:rPr>
            <w:webHidden/>
          </w:rPr>
          <w:tab/>
        </w:r>
        <w:r w:rsidR="00AB10B7">
          <w:rPr>
            <w:webHidden/>
          </w:rPr>
          <w:fldChar w:fldCharType="begin"/>
        </w:r>
        <w:r w:rsidR="00AB10B7">
          <w:rPr>
            <w:webHidden/>
          </w:rPr>
          <w:instrText xml:space="preserve"> PAGEREF _Toc491678833 \h </w:instrText>
        </w:r>
        <w:r w:rsidR="00AB10B7">
          <w:rPr>
            <w:webHidden/>
          </w:rPr>
        </w:r>
        <w:r w:rsidR="00AB10B7">
          <w:rPr>
            <w:webHidden/>
          </w:rPr>
          <w:fldChar w:fldCharType="separate"/>
        </w:r>
        <w:r w:rsidR="000C7DC9">
          <w:rPr>
            <w:webHidden/>
          </w:rPr>
          <w:t>78</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4" w:history="1">
        <w:r w:rsidR="00AB10B7" w:rsidRPr="00031A85">
          <w:rPr>
            <w:rStyle w:val="Hyperlink"/>
          </w:rPr>
          <w:t>7</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INFORMATIONS RELATIVES AUX PARTIES LIÉES</w:t>
        </w:r>
        <w:r w:rsidR="00AB10B7">
          <w:rPr>
            <w:webHidden/>
          </w:rPr>
          <w:tab/>
        </w:r>
        <w:r w:rsidR="00AB10B7">
          <w:rPr>
            <w:webHidden/>
          </w:rPr>
          <w:fldChar w:fldCharType="begin"/>
        </w:r>
        <w:r w:rsidR="00AB10B7">
          <w:rPr>
            <w:webHidden/>
          </w:rPr>
          <w:instrText xml:space="preserve"> PAGEREF _Toc491678834 \h </w:instrText>
        </w:r>
        <w:r w:rsidR="00AB10B7">
          <w:rPr>
            <w:webHidden/>
          </w:rPr>
        </w:r>
        <w:r w:rsidR="00AB10B7">
          <w:rPr>
            <w:webHidden/>
          </w:rPr>
          <w:fldChar w:fldCharType="separate"/>
        </w:r>
        <w:r w:rsidR="000C7DC9">
          <w:rPr>
            <w:webHidden/>
          </w:rPr>
          <w:t>90</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5" w:history="1">
        <w:r w:rsidR="00AB10B7" w:rsidRPr="00031A85">
          <w:rPr>
            <w:rStyle w:val="Hyperlink"/>
            <w:rFonts w:eastAsia="Calibri"/>
          </w:rPr>
          <w:t>8</w:t>
        </w:r>
        <w:r w:rsidR="00AB10B7" w:rsidRPr="00AA2CFF">
          <w:rPr>
            <w:rStyle w:val="Hyperlink"/>
            <w:rFonts w:eastAsia="Calibri"/>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ÉVÉNEMENTS POSTÉRIEURS À LA DATE DE CLÔTURE</w:t>
        </w:r>
        <w:r w:rsidR="00AB10B7">
          <w:rPr>
            <w:webHidden/>
          </w:rPr>
          <w:tab/>
        </w:r>
        <w:r w:rsidR="00AB10B7">
          <w:rPr>
            <w:webHidden/>
          </w:rPr>
          <w:fldChar w:fldCharType="begin"/>
        </w:r>
        <w:r w:rsidR="00AB10B7">
          <w:rPr>
            <w:webHidden/>
          </w:rPr>
          <w:instrText xml:space="preserve"> PAGEREF _Toc491678835 \h </w:instrText>
        </w:r>
        <w:r w:rsidR="00AB10B7">
          <w:rPr>
            <w:webHidden/>
          </w:rPr>
        </w:r>
        <w:r w:rsidR="00AB10B7">
          <w:rPr>
            <w:webHidden/>
          </w:rPr>
          <w:fldChar w:fldCharType="separate"/>
        </w:r>
        <w:r w:rsidR="000C7DC9">
          <w:rPr>
            <w:webHidden/>
          </w:rPr>
          <w:t>92</w:t>
        </w:r>
        <w:r w:rsidR="00AB10B7">
          <w:rPr>
            <w:webHidden/>
          </w:rPr>
          <w:fldChar w:fldCharType="end"/>
        </w:r>
      </w:hyperlink>
    </w:p>
    <w:p w:rsidR="00AB10B7" w:rsidRDefault="00915D0A" w:rsidP="003E248E">
      <w:pPr>
        <w:pStyle w:val="TOC2"/>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pPr>
      <w:hyperlink w:anchor="_Toc491678836" w:history="1">
        <w:r w:rsidR="00AB10B7" w:rsidRPr="00031A85">
          <w:rPr>
            <w:rStyle w:val="Hyperlink"/>
          </w:rPr>
          <w:t>9</w:t>
        </w:r>
        <w:r w:rsidR="00AB10B7" w:rsidRPr="00AA2CFF">
          <w:rPr>
            <w:rStyle w:val="Hyperlink"/>
          </w:rPr>
          <w:t>.</w:t>
        </w:r>
        <w:r w:rsidR="00AB10B7">
          <w:rPr>
            <w:rFonts w:asciiTheme="minorHAnsi" w:eastAsiaTheme="minorEastAsia" w:hAnsiTheme="minorHAnsi" w:cstheme="minorBidi"/>
            <w:color w:val="000000"/>
            <w:sz w:val="22"/>
            <w:szCs w:val="22"/>
            <w:lang w:bidi="ar-SA"/>
            <w14:textFill>
              <w14:solidFill>
                <w14:srgbClr w14:val="000000">
                  <w14:lumMod w14:val="75000"/>
                  <w14:lumOff w14:val="25000"/>
                </w14:srgbClr>
              </w14:solidFill>
            </w14:textFill>
          </w:rPr>
          <w:tab/>
        </w:r>
        <w:r w:rsidR="00AB10B7" w:rsidRPr="00AA2CFF">
          <w:rPr>
            <w:rStyle w:val="Hyperlink"/>
          </w:rPr>
          <w:t>PÉRIMÈTRE DE CONSOLIDATION</w:t>
        </w:r>
        <w:r w:rsidR="00AB10B7">
          <w:rPr>
            <w:webHidden/>
          </w:rPr>
          <w:tab/>
        </w:r>
        <w:r w:rsidR="00AB10B7">
          <w:rPr>
            <w:webHidden/>
          </w:rPr>
          <w:fldChar w:fldCharType="begin"/>
        </w:r>
        <w:r w:rsidR="00AB10B7">
          <w:rPr>
            <w:webHidden/>
          </w:rPr>
          <w:instrText xml:space="preserve"> PAGEREF _Toc491678836 \h </w:instrText>
        </w:r>
        <w:r w:rsidR="00AB10B7">
          <w:rPr>
            <w:webHidden/>
          </w:rPr>
        </w:r>
        <w:r w:rsidR="00AB10B7">
          <w:rPr>
            <w:webHidden/>
          </w:rPr>
          <w:fldChar w:fldCharType="separate"/>
        </w:r>
        <w:r w:rsidR="000C7DC9">
          <w:rPr>
            <w:webHidden/>
          </w:rPr>
          <w:t>93</w:t>
        </w:r>
        <w:r w:rsidR="00AB10B7">
          <w:rPr>
            <w:webHidden/>
          </w:rPr>
          <w:fldChar w:fldCharType="end"/>
        </w:r>
      </w:hyperlink>
    </w:p>
    <w:p w:rsidR="004E0532" w:rsidRDefault="008D1615">
      <w:pPr>
        <w:pStyle w:val="Textstand-alone"/>
        <w:sectPr w:rsidR="004E0532" w:rsidSect="00FB0C75">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cols w:space="708"/>
          <w:docGrid w:linePitch="360"/>
        </w:sectPr>
      </w:pPr>
      <w:r>
        <w:rPr>
          <w:caps/>
          <w:noProof w:val="0"/>
          <w:color w:val="016894"/>
          <w:sz w:val="20"/>
          <w:szCs w:val="24"/>
        </w:rPr>
        <w:fldChar w:fldCharType="end"/>
      </w:r>
      <w:r>
        <w:rPr>
          <w:caps/>
          <w:noProof w:val="0"/>
          <w:color w:val="016894"/>
          <w:sz w:val="20"/>
        </w:rPr>
        <w:t xml:space="preserve"> </w:t>
      </w:r>
      <w:bookmarkEnd w:id="17"/>
    </w:p>
    <w:p w:rsidR="00FB0C75" w:rsidRDefault="00525E53" w:rsidP="00FB0C75">
      <w:pPr>
        <w:pStyle w:val="HEADERTITLE1"/>
      </w:pPr>
      <w:bookmarkStart w:id="18" w:name="_Toc485724167"/>
      <w:bookmarkStart w:id="19" w:name="_Toc485724196"/>
      <w:bookmarkStart w:id="20" w:name="_Toc491678759"/>
      <w:bookmarkStart w:id="21" w:name="_Toc491678823"/>
      <w:bookmarkStart w:id="22" w:name="_DMBM_8907"/>
      <w:r>
        <w:t>BILAN</w:t>
      </w:r>
      <w:bookmarkEnd w:id="18"/>
      <w:bookmarkEnd w:id="19"/>
      <w:bookmarkEnd w:id="20"/>
      <w:bookmarkEnd w:id="21"/>
    </w:p>
    <w:p w:rsidR="00FB0C75" w:rsidRDefault="00525E53" w:rsidP="00FB0C75">
      <w:pPr>
        <w:pStyle w:val="HEADERTITLE1"/>
        <w:spacing w:after="12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 w:name="DOC_TBL00001_1_1"/>
            <w:bookmarkEnd w:id="23"/>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 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ACTIFS NON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Immobilisations incorporelles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Immobilisations corporelles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068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700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Investissements comptabilisés selon la mise en équivalence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62</w:t>
            </w:r>
            <w:r>
              <w:t xml:space="preserve"> </w:t>
            </w:r>
            <w:r w:rsidRPr="00031A85">
              <w:t>247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56</w:t>
            </w:r>
            <w:r>
              <w:t xml:space="preserve"> </w:t>
            </w:r>
            <w:r w:rsidRPr="00031A85">
              <w:t>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21</w:t>
            </w:r>
            <w:r>
              <w:t xml:space="preserve"> </w:t>
            </w:r>
            <w:r w:rsidRPr="00031A85">
              <w:t>901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29</w:t>
            </w:r>
            <w:r>
              <w:t xml:space="preserve"> </w:t>
            </w:r>
            <w:r w:rsidRPr="00031A85">
              <w:t>879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Créances à recevoir avec contrepartie directe et créances à recouvrer sans contrepartie directe</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717</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870</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95</w:t>
            </w:r>
            <w:r>
              <w:t xml:space="preserve"> </w:t>
            </w:r>
            <w:r w:rsidRPr="00031A85">
              <w:t>842</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97</w:t>
            </w:r>
            <w:r>
              <w:t xml:space="preserve"> </w:t>
            </w:r>
            <w:r w:rsidRPr="00031A85">
              <w:t>248</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ACTIFS COURANTS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673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907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23</w:t>
            </w:r>
            <w:r>
              <w:t xml:space="preserve"> </w:t>
            </w:r>
            <w:r w:rsidRPr="00031A85">
              <w:t>569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15</w:t>
            </w:r>
            <w:r>
              <w:t xml:space="preserve"> </w:t>
            </w:r>
            <w:r w:rsidRPr="00031A85">
              <w:t>277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recevoir avec contrepartie directe et créances à recouvrer sans contrepartie directe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905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454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Stocks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7</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138</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Trésorerie et équivalents de trésorerie </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8</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28</w:t>
            </w:r>
            <w:r>
              <w:t xml:space="preserve"> </w:t>
            </w:r>
            <w:r w:rsidRPr="00031A85">
              <w:t>585</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21</w:t>
            </w:r>
            <w:r>
              <w:t xml:space="preserve"> </w:t>
            </w:r>
            <w:r w:rsidRPr="00031A85">
              <w:t>671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66</w:t>
            </w:r>
            <w:r>
              <w:t xml:space="preserve"> </w:t>
            </w:r>
            <w:r w:rsidRPr="00031A85">
              <w:t>897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56</w:t>
            </w:r>
            <w:r>
              <w:t xml:space="preserve"> </w:t>
            </w:r>
            <w:r w:rsidRPr="00031A85">
              <w:t>448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 DE L’ACTIF</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162</w:t>
            </w:r>
            <w:r>
              <w:t xml:space="preserve"> </w:t>
            </w:r>
            <w:r w:rsidRPr="00031A85">
              <w:t>739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153</w:t>
            </w:r>
            <w:r>
              <w:t xml:space="preserve"> </w:t>
            </w:r>
            <w:r w:rsidRPr="00031A85">
              <w:t>696</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PASSIFS NON COURANTS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Retraites et autres avantages du personnel</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9</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67</w:t>
            </w:r>
            <w:r>
              <w:t xml:space="preserve"> </w:t>
            </w:r>
            <w:r w:rsidRPr="00031A85">
              <w:t>231</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63</w:t>
            </w:r>
            <w:r>
              <w:t xml:space="preserve"> </w:t>
            </w:r>
            <w:r w:rsidRPr="00031A85">
              <w:t>814</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Provisions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936</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716</w:t>
            </w:r>
            <w:r>
              <w:t>)</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Passifs financiers</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55</w:t>
            </w:r>
            <w:r>
              <w:t xml:space="preserve"> </w:t>
            </w:r>
            <w:r w:rsidRPr="00031A85">
              <w:t>067</w:t>
            </w:r>
            <w:r>
              <w:t>)</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51</w:t>
            </w:r>
            <w:r>
              <w:t xml:space="preserve"> </w:t>
            </w:r>
            <w:r w:rsidRPr="00031A85">
              <w:t>764</w:t>
            </w:r>
            <w:r>
              <w:t>)</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r w:rsidRPr="00031A85">
              <w:t>124</w:t>
            </w:r>
            <w:r>
              <w:t xml:space="preserve"> </w:t>
            </w:r>
            <w:r w:rsidRPr="00031A85">
              <w:t>234</w:t>
            </w:r>
            <w:r>
              <w:t>)</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r w:rsidRPr="00031A85">
              <w:t>117</w:t>
            </w:r>
            <w:r>
              <w:t xml:space="preserve"> </w:t>
            </w:r>
            <w:r w:rsidRPr="00031A85">
              <w:t>293</w:t>
            </w:r>
            <w:r>
              <w:t>)</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PASSIFS COURANTS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Provisions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675</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314</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financiers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2</w:t>
            </w:r>
            <w:r>
              <w:t xml:space="preserve"> </w:t>
            </w:r>
            <w:r w:rsidRPr="00031A85">
              <w:t>284</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7</w:t>
            </w:r>
            <w:r>
              <w:t xml:space="preserve"> </w:t>
            </w:r>
            <w:r w:rsidRPr="00031A85">
              <w:t>939</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Sommes à payer</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40</w:t>
            </w:r>
            <w:r>
              <w:t xml:space="preserve"> </w:t>
            </w:r>
            <w:r w:rsidRPr="00031A85">
              <w:t>005</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32</w:t>
            </w:r>
            <w:r>
              <w:t xml:space="preserve"> </w:t>
            </w:r>
            <w:r w:rsidRPr="00031A85">
              <w:t>191</w:t>
            </w:r>
            <w:r>
              <w:t>)</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Charges à payer et produits à reporter</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13</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67</w:t>
            </w:r>
            <w:r>
              <w:t xml:space="preserve"> </w:t>
            </w:r>
            <w:r w:rsidRPr="00031A85">
              <w:t>580</w:t>
            </w:r>
            <w:r>
              <w:t>)</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68</w:t>
            </w:r>
            <w:r>
              <w:t xml:space="preserve"> </w:t>
            </w:r>
            <w:r w:rsidRPr="00031A85">
              <w:t>402</w:t>
            </w:r>
            <w:r>
              <w:t>)</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w:t>
            </w:r>
            <w:r w:rsidRPr="00031A85">
              <w:t>110</w:t>
            </w:r>
            <w:r>
              <w:t xml:space="preserve"> </w:t>
            </w:r>
            <w:r w:rsidRPr="00031A85">
              <w:t>544</w:t>
            </w:r>
            <w:r>
              <w:t>)</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w:t>
            </w:r>
            <w:r w:rsidRPr="00031A85">
              <w:t>108</w:t>
            </w:r>
            <w:r>
              <w:t xml:space="preserve"> </w:t>
            </w:r>
            <w:r w:rsidRPr="00031A85">
              <w:t>846</w:t>
            </w: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 DU PASSIF</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234</w:t>
            </w:r>
            <w:r>
              <w:t xml:space="preserve"> </w:t>
            </w:r>
            <w:r w:rsidRPr="00031A85">
              <w:t>778</w:t>
            </w:r>
            <w:r>
              <w:t>)</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226</w:t>
            </w:r>
            <w:r>
              <w:t xml:space="preserve"> </w:t>
            </w:r>
            <w:r w:rsidRPr="00031A85">
              <w:t>139</w:t>
            </w:r>
            <w:r>
              <w:t>)</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040</w:t>
            </w:r>
            <w:r>
              <w:t>)</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442</w:t>
            </w:r>
            <w:r>
              <w:t>)</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Réserves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841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682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Montants à appeler auprès des États membres*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76</w:t>
            </w:r>
            <w:r>
              <w:t xml:space="preserve"> </w:t>
            </w:r>
            <w:r w:rsidRPr="00031A85">
              <w:t>881</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77</w:t>
            </w:r>
            <w:r>
              <w:t xml:space="preserve"> </w:t>
            </w:r>
            <w:r w:rsidRPr="00031A85">
              <w:t>124</w:t>
            </w: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ACTIF NET</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040</w:t>
            </w:r>
            <w:r>
              <w:t>)</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442</w:t>
            </w:r>
            <w:r>
              <w:t>)</w:t>
            </w:r>
          </w:p>
        </w:tc>
      </w:tr>
    </w:tbl>
    <w:p w:rsidR="00FB0C75" w:rsidRPr="0038630F" w:rsidRDefault="00525E53" w:rsidP="00FB0C75">
      <w:pPr>
        <w:pStyle w:val="Textstand-alone"/>
        <w:tabs>
          <w:tab w:val="left" w:pos="284"/>
        </w:tabs>
        <w:spacing w:before="60"/>
        <w:ind w:left="284" w:hanging="284"/>
        <w:rPr>
          <w:i/>
          <w:sz w:val="14"/>
        </w:rPr>
      </w:pPr>
      <w:r>
        <w:rPr>
          <w:i/>
          <w:sz w:val="14"/>
          <w:bdr w:val="nil"/>
        </w:rPr>
        <w:t>*</w:t>
      </w:r>
      <w:r>
        <w:tab/>
      </w:r>
      <w:r>
        <w:rPr>
          <w:i/>
          <w:sz w:val="14"/>
          <w:bdr w:val="nil"/>
        </w:rPr>
        <w:t xml:space="preserve">Le Parlement européen a adopté, le </w:t>
      </w:r>
      <w:r w:rsidRPr="00031A85">
        <w:rPr>
          <w:i/>
          <w:sz w:val="14"/>
          <w:bdr w:val="nil"/>
        </w:rPr>
        <w:t>1</w:t>
      </w:r>
      <w:r>
        <w:rPr>
          <w:i/>
          <w:sz w:val="14"/>
          <w:bdr w:val="nil"/>
          <w:vertAlign w:val="superscript"/>
        </w:rPr>
        <w:t>er</w:t>
      </w:r>
      <w:r>
        <w:rPr>
          <w:i/>
          <w:sz w:val="14"/>
          <w:bdr w:val="nil"/>
        </w:rPr>
        <w:t> décembre </w:t>
      </w:r>
      <w:r w:rsidRPr="00031A85">
        <w:rPr>
          <w:i/>
          <w:sz w:val="14"/>
          <w:bdr w:val="nil"/>
        </w:rPr>
        <w:t>2016</w:t>
      </w:r>
      <w:r>
        <w:rPr>
          <w:i/>
          <w:sz w:val="14"/>
          <w:bdr w:val="nil"/>
        </w:rPr>
        <w:t>, un budget prévoyant que le paiement des dettes à court terme de l’Union doit être assuré sur des ressources propres à percevoir par les États membres ou à appeler auprès de ceux-ci en </w:t>
      </w:r>
      <w:r w:rsidRPr="00031A85">
        <w:rPr>
          <w:i/>
          <w:sz w:val="14"/>
          <w:bdr w:val="nil"/>
        </w:rPr>
        <w:t>2017</w:t>
      </w:r>
      <w:r>
        <w:rPr>
          <w:i/>
          <w:sz w:val="14"/>
          <w:bdr w:val="nil"/>
        </w:rPr>
        <w:t xml:space="preserve">. En vertu de l’article </w:t>
      </w:r>
      <w:r w:rsidRPr="00031A85">
        <w:rPr>
          <w:i/>
          <w:sz w:val="14"/>
          <w:bdr w:val="nil"/>
        </w:rPr>
        <w:t>83</w:t>
      </w:r>
      <w:r>
        <w:rPr>
          <w:i/>
          <w:sz w:val="14"/>
          <w:bdr w:val="nil"/>
        </w:rPr>
        <w:t xml:space="preserve"> du statut [règlement (CEE, Euratom, CECA) n° </w:t>
      </w:r>
      <w:r w:rsidRPr="00031A85">
        <w:rPr>
          <w:i/>
          <w:sz w:val="14"/>
          <w:bdr w:val="nil"/>
        </w:rPr>
        <w:t>259</w:t>
      </w:r>
      <w:r>
        <w:rPr>
          <w:i/>
          <w:sz w:val="14"/>
          <w:bdr w:val="nil"/>
        </w:rPr>
        <w:t>/</w:t>
      </w:r>
      <w:r w:rsidRPr="00031A85">
        <w:rPr>
          <w:i/>
          <w:sz w:val="14"/>
          <w:bdr w:val="nil"/>
        </w:rPr>
        <w:t>68</w:t>
      </w:r>
      <w:r>
        <w:rPr>
          <w:i/>
          <w:sz w:val="14"/>
          <w:bdr w:val="nil"/>
        </w:rPr>
        <w:t xml:space="preserve"> du Conseil du </w:t>
      </w:r>
      <w:r w:rsidRPr="00031A85">
        <w:rPr>
          <w:i/>
          <w:sz w:val="14"/>
          <w:bdr w:val="nil"/>
        </w:rPr>
        <w:t>29</w:t>
      </w:r>
      <w:r>
        <w:rPr>
          <w:i/>
          <w:sz w:val="14"/>
          <w:bdr w:val="nil"/>
        </w:rPr>
        <w:t xml:space="preserve"> février </w:t>
      </w:r>
      <w:r w:rsidRPr="00031A85">
        <w:rPr>
          <w:i/>
          <w:sz w:val="14"/>
          <w:bdr w:val="nil"/>
        </w:rPr>
        <w:t>1968</w:t>
      </w:r>
      <w:r>
        <w:rPr>
          <w:i/>
          <w:sz w:val="14"/>
          <w:bdr w:val="nil"/>
        </w:rPr>
        <w:t xml:space="preserve"> tel que modifié], les États membres garantissent collectivement le paiement des prestations de pension.</w:t>
      </w:r>
    </w:p>
    <w:p w:rsidR="00FB0C75" w:rsidRPr="006A3072" w:rsidRDefault="00525E53" w:rsidP="00FB0C75">
      <w:pPr>
        <w:pStyle w:val="Textstand-alone"/>
        <w:rPr>
          <w:i/>
        </w:rPr>
        <w:sectPr w:rsidR="00FB0C75" w:rsidRPr="006A3072" w:rsidSect="00FB0C75">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134" w:left="1134" w:header="709" w:footer="709" w:gutter="0"/>
          <w:cols w:space="708"/>
          <w:docGrid w:linePitch="360"/>
        </w:sectPr>
      </w:pPr>
      <w:r>
        <w:rPr>
          <w:i/>
        </w:rPr>
        <w:t xml:space="preserve"> </w:t>
      </w:r>
      <w:bookmarkEnd w:id="22"/>
    </w:p>
    <w:p w:rsidR="00FB0C75" w:rsidRPr="00983EF6" w:rsidRDefault="00525E53" w:rsidP="00FB0C75">
      <w:pPr>
        <w:pStyle w:val="HEADERTITLE1"/>
        <w:spacing w:after="120"/>
        <w:rPr>
          <w:bCs/>
        </w:rPr>
      </w:pPr>
      <w:bookmarkStart w:id="24" w:name="_Toc485724168"/>
      <w:bookmarkStart w:id="25" w:name="_Toc485724197"/>
      <w:bookmarkStart w:id="26" w:name="_Toc491678760"/>
      <w:bookmarkStart w:id="27" w:name="_Toc491678824"/>
      <w:bookmarkStart w:id="28" w:name="_DMBM_8989"/>
      <w:r>
        <w:t>COMPTE DE RÉSULTAT ÉCONOMIQUE</w:t>
      </w:r>
      <w:bookmarkEnd w:id="24"/>
      <w:bookmarkEnd w:id="25"/>
      <w:bookmarkEnd w:id="26"/>
      <w:bookmarkEnd w:id="27"/>
    </w:p>
    <w:p w:rsidR="00FB0C75" w:rsidRPr="00983EF6" w:rsidRDefault="00525E53" w:rsidP="00FB0C75">
      <w:pPr>
        <w:pStyle w:val="HEADERTITLE1"/>
        <w:spacing w:after="120"/>
        <w:rPr>
          <w:bCs/>
        </w:rPr>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861"/>
        <w:gridCol w:w="1862"/>
        <w:gridCol w:w="1862"/>
      </w:tblGrid>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29" w:name="DOC_TBL00002_1_1"/>
            <w:bookmarkEnd w:id="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bookmarkStart w:id="30" w:name="DOC_TBL00002_1_2"/>
            <w:bookmarkEnd w:id="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bookmarkStart w:id="31" w:name="DOC_TBL00002_1_3"/>
            <w:bookmarkEnd w:id="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bookmarkStart w:id="32" w:name="DOC_TBL00002_1_4"/>
            <w:r>
              <w:t>en Mio EUR</w:t>
            </w:r>
            <w:bookmarkEnd w:id="32"/>
          </w:p>
        </w:tc>
      </w:tr>
      <w:tr w:rsidR="005B4EEC" w:rsidTr="00FB0C75">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bookmarkStart w:id="33" w:name="DOC_TBL00002_2_1"/>
            <w:bookmarkEnd w:id="33"/>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4" w:name="DOC_TBL00002_2_2"/>
            <w:r>
              <w:t>Note</w:t>
            </w:r>
            <w:bookmarkEnd w:id="34"/>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5" w:name="DOC_TBL00002_2_3"/>
            <w:r w:rsidRPr="00031A85">
              <w:t>2016</w:t>
            </w:r>
            <w:bookmarkEnd w:id="35"/>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6" w:name="DOC_TBL00002_2_4"/>
            <w:r w:rsidRPr="00031A85">
              <w:t>2015</w:t>
            </w:r>
            <w:r>
              <w:t xml:space="preserve">     </w:t>
            </w:r>
            <w:bookmarkEnd w:id="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37" w:name="DOC_TBL00002_3_1"/>
            <w:r>
              <w:t>PRODUITS</w:t>
            </w:r>
            <w:bookmarkEnd w:id="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38" w:name="DOC_TBL00002_3_2"/>
            <w:bookmarkEnd w:id="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39" w:name="DOC_TBL00002_3_3"/>
            <w:bookmarkEnd w:id="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0" w:name="DOC_TBL00002_3_4"/>
            <w:bookmarkEnd w:id="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41" w:name="DOC_TBL00002_4_1"/>
            <w:r>
              <w:t>Produits des opérations sans contrepartie directe</w:t>
            </w:r>
            <w:bookmarkEnd w:id="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2" w:name="DOC_TBL00002_4_2"/>
            <w:bookmarkEnd w:id="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3" w:name="DOC_TBL00002_4_3"/>
            <w:bookmarkEnd w:id="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4" w:name="DOC_TBL00002_4_4"/>
            <w:bookmarkEnd w:id="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45" w:name="DOC_TBL00002_5_1"/>
            <w:r>
              <w:t>Ressources RNB</w:t>
            </w:r>
            <w:bookmarkEnd w:id="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46" w:name="DOC_TBL00002_5_2"/>
            <w:r w:rsidRPr="00031A85">
              <w:t>3</w:t>
            </w:r>
            <w:r>
              <w:t>.</w:t>
            </w:r>
            <w:r w:rsidRPr="00031A85">
              <w:t>1</w:t>
            </w:r>
            <w:bookmarkEnd w:id="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47" w:name="DOC_TBL00002_5_3"/>
            <w:r w:rsidRPr="00031A85">
              <w:t>95</w:t>
            </w:r>
            <w:r>
              <w:t xml:space="preserve"> </w:t>
            </w:r>
            <w:r w:rsidRPr="00031A85">
              <w:t>578</w:t>
            </w:r>
            <w:bookmarkEnd w:id="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48" w:name="DOC_TBL00002_5_4"/>
            <w:r w:rsidRPr="00031A85">
              <w:t>95</w:t>
            </w:r>
            <w:r>
              <w:t xml:space="preserve"> </w:t>
            </w:r>
            <w:r w:rsidRPr="00031A85">
              <w:t>355</w:t>
            </w:r>
            <w:bookmarkEnd w:id="4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49" w:name="DOC_TBL00002_6_1"/>
            <w:r>
              <w:t>Ressources propres traditionnelles</w:t>
            </w:r>
            <w:bookmarkEnd w:id="4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0" w:name="DOC_TBL00002_6_2"/>
            <w:r w:rsidRPr="00031A85">
              <w:t>3</w:t>
            </w:r>
            <w:r>
              <w:t>.</w:t>
            </w:r>
            <w:r w:rsidRPr="00031A85">
              <w:t>2</w:t>
            </w:r>
            <w:bookmarkEnd w:id="5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1" w:name="DOC_TBL00002_6_3"/>
            <w:r w:rsidRPr="00031A85">
              <w:t>20</w:t>
            </w:r>
            <w:r>
              <w:t xml:space="preserve"> </w:t>
            </w:r>
            <w:r w:rsidRPr="00031A85">
              <w:t>439</w:t>
            </w:r>
            <w:bookmarkEnd w:id="5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2" w:name="DOC_TBL00002_6_4"/>
            <w:r w:rsidRPr="00031A85">
              <w:t>18</w:t>
            </w:r>
            <w:r>
              <w:t xml:space="preserve"> </w:t>
            </w:r>
            <w:r w:rsidRPr="00031A85">
              <w:t>649</w:t>
            </w:r>
            <w:bookmarkEnd w:id="5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53" w:name="DOC_TBL00002_7_1"/>
            <w:r>
              <w:t>Ressources TVA</w:t>
            </w:r>
            <w:bookmarkEnd w:id="5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4" w:name="DOC_TBL00002_7_2"/>
            <w:r w:rsidRPr="00031A85">
              <w:t>3</w:t>
            </w:r>
            <w:r>
              <w:t>.</w:t>
            </w:r>
            <w:r w:rsidRPr="00031A85">
              <w:t>3</w:t>
            </w:r>
            <w:bookmarkEnd w:id="5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5" w:name="DOC_TBL00002_7_3"/>
            <w:r w:rsidRPr="00031A85">
              <w:t>15</w:t>
            </w:r>
            <w:r>
              <w:t xml:space="preserve"> </w:t>
            </w:r>
            <w:r w:rsidRPr="00031A85">
              <w:t>859</w:t>
            </w:r>
            <w:bookmarkEnd w:id="5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6" w:name="DOC_TBL00002_7_4"/>
            <w:r w:rsidRPr="00031A85">
              <w:t>18</w:t>
            </w:r>
            <w:r>
              <w:t xml:space="preserve"> </w:t>
            </w:r>
            <w:r w:rsidRPr="00031A85">
              <w:t>328</w:t>
            </w:r>
            <w:bookmarkEnd w:id="5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57" w:name="DOC_TBL00002_8_1"/>
            <w:r>
              <w:t>Amendes</w:t>
            </w:r>
            <w:bookmarkEnd w:id="5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8" w:name="DOC_TBL00002_8_2"/>
            <w:r w:rsidRPr="00031A85">
              <w:t>3</w:t>
            </w:r>
            <w:r>
              <w:t>.</w:t>
            </w:r>
            <w:r w:rsidRPr="00031A85">
              <w:t>4</w:t>
            </w:r>
            <w:bookmarkEnd w:id="5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9" w:name="DOC_TBL00002_8_3"/>
            <w:r w:rsidRPr="00031A85">
              <w:t>3</w:t>
            </w:r>
            <w:r>
              <w:t xml:space="preserve"> </w:t>
            </w:r>
            <w:r w:rsidRPr="00031A85">
              <w:t>858</w:t>
            </w:r>
            <w:bookmarkEnd w:id="5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0" w:name="DOC_TBL00002_8_4"/>
            <w:r>
              <w:t xml:space="preserve"> </w:t>
            </w:r>
            <w:r w:rsidRPr="00031A85">
              <w:t>531</w:t>
            </w:r>
            <w:bookmarkEnd w:id="6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61" w:name="DOC_TBL00002_9_1"/>
            <w:r>
              <w:t>Récupération de dépenses</w:t>
            </w:r>
            <w:bookmarkEnd w:id="6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62" w:name="DOC_TBL00002_9_2"/>
            <w:r w:rsidRPr="00031A85">
              <w:t>3</w:t>
            </w:r>
            <w:r>
              <w:t>.</w:t>
            </w:r>
            <w:r w:rsidRPr="00031A85">
              <w:t>5</w:t>
            </w:r>
            <w:bookmarkEnd w:id="6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3" w:name="DOC_TBL00002_9_3"/>
            <w:r w:rsidRPr="00031A85">
              <w:t>1</w:t>
            </w:r>
            <w:r>
              <w:t xml:space="preserve"> </w:t>
            </w:r>
            <w:r w:rsidRPr="00031A85">
              <w:t>947</w:t>
            </w:r>
            <w:bookmarkEnd w:id="6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4" w:name="DOC_TBL00002_9_4"/>
            <w:r w:rsidRPr="00031A85">
              <w:t>1</w:t>
            </w:r>
            <w:r>
              <w:t xml:space="preserve"> </w:t>
            </w:r>
            <w:r w:rsidRPr="00031A85">
              <w:t>547</w:t>
            </w:r>
            <w:bookmarkEnd w:id="6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65" w:name="DOC_TBL00002_10_1"/>
            <w:r>
              <w:t>Autres</w:t>
            </w:r>
            <w:bookmarkEnd w:id="6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66" w:name="DOC_TBL00002_10_2"/>
            <w:r w:rsidRPr="00031A85">
              <w:t>3</w:t>
            </w:r>
            <w:r>
              <w:t>.</w:t>
            </w:r>
            <w:r w:rsidRPr="00031A85">
              <w:t>6</w:t>
            </w:r>
            <w:bookmarkEnd w:id="6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7" w:name="DOC_TBL00002_10_3"/>
            <w:r w:rsidRPr="00031A85">
              <w:t>5</w:t>
            </w:r>
            <w:r>
              <w:t xml:space="preserve"> </w:t>
            </w:r>
            <w:r w:rsidRPr="00031A85">
              <w:t>740</w:t>
            </w:r>
            <w:bookmarkEnd w:id="6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8" w:name="DOC_TBL00002_10_4"/>
            <w:r w:rsidRPr="00031A85">
              <w:t>5</w:t>
            </w:r>
            <w:r>
              <w:t xml:space="preserve"> </w:t>
            </w:r>
            <w:r w:rsidRPr="00031A85">
              <w:t>067</w:t>
            </w:r>
            <w:bookmarkEnd w:id="6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rPr>
            </w:pPr>
            <w:bookmarkStart w:id="69" w:name="DOC_TBL00002_11_1"/>
            <w:bookmarkEnd w:id="6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0" w:name="DOC_TBL00002_11_2"/>
            <w:bookmarkEnd w:id="7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rPr>
            </w:pPr>
            <w:bookmarkStart w:id="71" w:name="DOC_TBL00002_11_3"/>
            <w:r w:rsidRPr="00031A85">
              <w:rPr>
                <w:b/>
                <w:i w:val="0"/>
              </w:rPr>
              <w:t>143</w:t>
            </w:r>
            <w:r>
              <w:rPr>
                <w:b/>
                <w:i w:val="0"/>
              </w:rPr>
              <w:t xml:space="preserve"> </w:t>
            </w:r>
            <w:r w:rsidRPr="00031A85">
              <w:rPr>
                <w:b/>
                <w:i w:val="0"/>
              </w:rPr>
              <w:t>422</w:t>
            </w:r>
            <w:bookmarkEnd w:id="7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rPr>
            </w:pPr>
            <w:bookmarkStart w:id="72" w:name="DOC_TBL00002_11_4"/>
            <w:r w:rsidRPr="00031A85">
              <w:rPr>
                <w:b/>
                <w:i w:val="0"/>
              </w:rPr>
              <w:t>139</w:t>
            </w:r>
            <w:r>
              <w:rPr>
                <w:b/>
                <w:i w:val="0"/>
              </w:rPr>
              <w:t xml:space="preserve"> </w:t>
            </w:r>
            <w:r w:rsidRPr="00031A85">
              <w:rPr>
                <w:b/>
                <w:i w:val="0"/>
              </w:rPr>
              <w:t>478</w:t>
            </w:r>
            <w:bookmarkEnd w:id="72"/>
          </w:p>
        </w:tc>
      </w:tr>
      <w:tr w:rsidR="005B4EEC" w:rsidTr="00FB0C75">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bookmarkStart w:id="73" w:name="DOC_TBL00002_12_1"/>
            <w:bookmarkEnd w:id="7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rPr>
            </w:pPr>
            <w:bookmarkStart w:id="74" w:name="DOC_TBL00002_12_2"/>
            <w:bookmarkEnd w:id="7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bookmarkStart w:id="75" w:name="DOC_TBL00002_12_3"/>
            <w:bookmarkEnd w:id="7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bookmarkStart w:id="76" w:name="DOC_TBL00002_12_4"/>
            <w:bookmarkEnd w:id="7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77" w:name="DOC_TBL00002_13_1"/>
            <w:r>
              <w:t>Produits des opérations avec contrepartie directe</w:t>
            </w:r>
            <w:bookmarkEnd w:id="7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8" w:name="DOC_TBL00002_13_2"/>
            <w:bookmarkEnd w:id="7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9" w:name="DOC_TBL00002_13_3"/>
            <w:bookmarkEnd w:id="7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80" w:name="DOC_TBL00002_13_4"/>
            <w:bookmarkEnd w:id="8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81" w:name="DOC_TBL00002_14_1"/>
            <w:r>
              <w:t>Produit financier</w:t>
            </w:r>
            <w:bookmarkEnd w:id="8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82" w:name="DOC_TBL00002_14_2"/>
            <w:r w:rsidRPr="00031A85">
              <w:t>3</w:t>
            </w:r>
            <w:r>
              <w:t>.</w:t>
            </w:r>
            <w:r w:rsidRPr="00031A85">
              <w:t>7</w:t>
            </w:r>
            <w:bookmarkEnd w:id="8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3" w:name="DOC_TBL00002_14_3"/>
            <w:r w:rsidRPr="00031A85">
              <w:t>1</w:t>
            </w:r>
            <w:r>
              <w:t xml:space="preserve"> </w:t>
            </w:r>
            <w:r w:rsidRPr="00031A85">
              <w:t>769</w:t>
            </w:r>
            <w:bookmarkEnd w:id="8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4" w:name="DOC_TBL00002_14_4"/>
            <w:r w:rsidRPr="00031A85">
              <w:t>1</w:t>
            </w:r>
            <w:r>
              <w:t xml:space="preserve"> </w:t>
            </w:r>
            <w:r w:rsidRPr="00031A85">
              <w:t>846</w:t>
            </w:r>
            <w:bookmarkEnd w:id="8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85" w:name="DOC_TBL00002_15_1"/>
            <w:r>
              <w:t>Autres</w:t>
            </w:r>
            <w:bookmarkEnd w:id="8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86" w:name="DOC_TBL00002_15_2"/>
            <w:r w:rsidRPr="00031A85">
              <w:t>3</w:t>
            </w:r>
            <w:r>
              <w:t>.</w:t>
            </w:r>
            <w:r w:rsidRPr="00031A85">
              <w:t>8</w:t>
            </w:r>
            <w:bookmarkEnd w:id="8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7" w:name="DOC_TBL00002_15_3"/>
            <w:r>
              <w:t xml:space="preserve"> </w:t>
            </w:r>
            <w:r w:rsidRPr="00031A85">
              <w:t>996</w:t>
            </w:r>
            <w:bookmarkEnd w:id="8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8" w:name="DOC_TBL00002_15_4"/>
            <w:r w:rsidRPr="00031A85">
              <w:t>1</w:t>
            </w:r>
            <w:r>
              <w:t xml:space="preserve"> </w:t>
            </w:r>
            <w:r w:rsidRPr="00031A85">
              <w:t>562</w:t>
            </w:r>
            <w:bookmarkEnd w:id="88"/>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rPr>
            </w:pPr>
            <w:bookmarkStart w:id="89" w:name="DOC_TBL00002_16_1"/>
            <w:bookmarkEnd w:id="89"/>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rPr>
            </w:pPr>
            <w:bookmarkStart w:id="90" w:name="DOC_TBL00002_16_2"/>
            <w:bookmarkEnd w:id="90"/>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1" w:name="DOC_TBL00002_16_3"/>
            <w:r w:rsidRPr="00031A85">
              <w:t>2</w:t>
            </w:r>
            <w:r>
              <w:t xml:space="preserve"> </w:t>
            </w:r>
            <w:r w:rsidRPr="00031A85">
              <w:t>765</w:t>
            </w:r>
            <w:bookmarkEnd w:id="91"/>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2" w:name="DOC_TBL00002_16_4"/>
            <w:r w:rsidRPr="00031A85">
              <w:t>3</w:t>
            </w:r>
            <w:r>
              <w:t xml:space="preserve"> </w:t>
            </w:r>
            <w:r w:rsidRPr="00031A85">
              <w:t>408</w:t>
            </w:r>
            <w:bookmarkEnd w:id="92"/>
          </w:p>
        </w:tc>
      </w:tr>
      <w:tr w:rsidR="005B4EEC" w:rsidTr="00FB0C75">
        <w:trPr>
          <w:cantSplit/>
          <w:trHeight w:val="268"/>
        </w:trPr>
        <w:tc>
          <w:tcPr>
            <w:tcW w:w="2673"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93" w:name="DOC_TBL00002_17_1"/>
            <w:r>
              <w:t>Recettes totales</w:t>
            </w:r>
            <w:bookmarkEnd w:id="93"/>
          </w:p>
        </w:tc>
        <w:tc>
          <w:tcPr>
            <w:tcW w:w="437"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rPr>
            </w:pPr>
            <w:bookmarkStart w:id="94" w:name="DOC_TBL00002_17_2"/>
            <w:bookmarkEnd w:id="94"/>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5" w:name="DOC_TBL00002_17_3"/>
            <w:r w:rsidRPr="00031A85">
              <w:t>146</w:t>
            </w:r>
            <w:r>
              <w:t xml:space="preserve"> </w:t>
            </w:r>
            <w:r w:rsidRPr="00031A85">
              <w:t>187</w:t>
            </w:r>
            <w:bookmarkEnd w:id="95"/>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6" w:name="DOC_TBL00002_17_4"/>
            <w:r w:rsidRPr="00031A85">
              <w:t>142</w:t>
            </w:r>
            <w:r>
              <w:t xml:space="preserve"> </w:t>
            </w:r>
            <w:r w:rsidRPr="00031A85">
              <w:t>886</w:t>
            </w:r>
            <w:bookmarkEnd w:id="96"/>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97" w:name="DOC_TBL00002_18_1"/>
            <w:r>
              <w:t>DÉPENSES</w:t>
            </w:r>
            <w:bookmarkEnd w:id="97"/>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98" w:name="DOC_TBL00002_18_2"/>
            <w:bookmarkEnd w:id="98"/>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99" w:name="DOC_TBL00002_18_3"/>
            <w:bookmarkEnd w:id="99"/>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100" w:name="DOC_TBL00002_18_4"/>
            <w:bookmarkEnd w:id="10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01" w:name="DOC_TBL00002_19_1"/>
            <w:r>
              <w:t>Exécution par les États membres</w:t>
            </w:r>
            <w:bookmarkEnd w:id="10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02" w:name="DOC_TBL00002_19_2"/>
            <w:r w:rsidRPr="00031A85">
              <w:t>3</w:t>
            </w:r>
            <w:r>
              <w:t>.</w:t>
            </w:r>
            <w:r w:rsidRPr="00031A85">
              <w:t>9</w:t>
            </w:r>
            <w:bookmarkEnd w:id="10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bookmarkStart w:id="103" w:name="DOC_TBL00002_19_3"/>
            <w:bookmarkEnd w:id="10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bookmarkStart w:id="104" w:name="DOC_TBL00002_19_4"/>
            <w:bookmarkEnd w:id="10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05" w:name="DOC_TBL00002_20_1"/>
            <w:r>
              <w:t>Fonds européen agricole de garantie</w:t>
            </w:r>
            <w:bookmarkEnd w:id="10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06" w:name="DOC_TBL00002_20_2"/>
            <w:bookmarkEnd w:id="10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07" w:name="DOC_TBL00002_20_3"/>
            <w:r>
              <w:t>(</w:t>
            </w:r>
            <w:r w:rsidRPr="00031A85">
              <w:t>44</w:t>
            </w:r>
            <w:r>
              <w:t xml:space="preserve"> </w:t>
            </w:r>
            <w:r w:rsidRPr="00031A85">
              <w:t>152</w:t>
            </w:r>
            <w:r>
              <w:t>)</w:t>
            </w:r>
            <w:bookmarkEnd w:id="10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08" w:name="DOC_TBL00002_20_4"/>
            <w:r>
              <w:t>(</w:t>
            </w:r>
            <w:r w:rsidRPr="00031A85">
              <w:t>45</w:t>
            </w:r>
            <w:r>
              <w:t xml:space="preserve"> </w:t>
            </w:r>
            <w:r w:rsidRPr="00031A85">
              <w:t>032</w:t>
            </w:r>
            <w:r>
              <w:t>)</w:t>
            </w:r>
            <w:bookmarkEnd w:id="10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09" w:name="DOC_TBL00002_21_1"/>
            <w:r>
              <w:t>Fonds européen agricole pour le développement rural et autres instruments de développement rural</w:t>
            </w:r>
            <w:bookmarkEnd w:id="10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0" w:name="DOC_TBL00002_21_2"/>
            <w:bookmarkEnd w:id="11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1" w:name="DOC_TBL00002_21_3"/>
            <w:r>
              <w:t>(</w:t>
            </w:r>
            <w:r w:rsidRPr="00031A85">
              <w:t>12</w:t>
            </w:r>
            <w:r>
              <w:t xml:space="preserve"> </w:t>
            </w:r>
            <w:r w:rsidRPr="00031A85">
              <w:t>604</w:t>
            </w:r>
            <w:r>
              <w:t>)</w:t>
            </w:r>
            <w:bookmarkEnd w:id="11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2" w:name="DOC_TBL00002_21_4"/>
            <w:r>
              <w:t>(</w:t>
            </w:r>
            <w:r w:rsidRPr="00031A85">
              <w:t>16</w:t>
            </w:r>
            <w:r>
              <w:t xml:space="preserve"> </w:t>
            </w:r>
            <w:r w:rsidRPr="00031A85">
              <w:t>376</w:t>
            </w:r>
            <w:r>
              <w:t>)</w:t>
            </w:r>
            <w:bookmarkEnd w:id="11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13" w:name="DOC_TBL00002_22_1"/>
            <w:r>
              <w:t>Fonds européen de développement régional et Fonds de cohésion</w:t>
            </w:r>
            <w:bookmarkEnd w:id="11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4" w:name="DOC_TBL00002_22_2"/>
            <w:bookmarkEnd w:id="11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5" w:name="DOC_TBL00002_22_3"/>
            <w:r>
              <w:t>(</w:t>
            </w:r>
            <w:r w:rsidRPr="00031A85">
              <w:t>35</w:t>
            </w:r>
            <w:r>
              <w:t xml:space="preserve"> </w:t>
            </w:r>
            <w:r w:rsidRPr="00031A85">
              <w:t>045</w:t>
            </w:r>
            <w:r>
              <w:t>)</w:t>
            </w:r>
            <w:bookmarkEnd w:id="11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6" w:name="DOC_TBL00002_22_4"/>
            <w:r>
              <w:t>(</w:t>
            </w:r>
            <w:r w:rsidRPr="00031A85">
              <w:t>38</w:t>
            </w:r>
            <w:r>
              <w:t xml:space="preserve"> </w:t>
            </w:r>
            <w:r w:rsidRPr="00031A85">
              <w:t>745</w:t>
            </w:r>
            <w:r>
              <w:t>)</w:t>
            </w:r>
            <w:bookmarkEnd w:id="11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17" w:name="DOC_TBL00002_23_1"/>
            <w:r>
              <w:t>Fonds social européen</w:t>
            </w:r>
            <w:bookmarkEnd w:id="11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8" w:name="DOC_TBL00002_23_2"/>
            <w:bookmarkEnd w:id="11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9" w:name="DOC_TBL00002_23_3"/>
            <w:r>
              <w:t>(</w:t>
            </w:r>
            <w:r w:rsidRPr="00031A85">
              <w:t>9</w:t>
            </w:r>
            <w:r>
              <w:t xml:space="preserve"> </w:t>
            </w:r>
            <w:r w:rsidRPr="00031A85">
              <w:t>366</w:t>
            </w:r>
            <w:r>
              <w:t>)</w:t>
            </w:r>
            <w:bookmarkEnd w:id="11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0" w:name="DOC_TBL00002_23_4"/>
            <w:r>
              <w:t>(</w:t>
            </w:r>
            <w:r w:rsidRPr="00031A85">
              <w:t>9</w:t>
            </w:r>
            <w:r>
              <w:t xml:space="preserve"> </w:t>
            </w:r>
            <w:r w:rsidRPr="00031A85">
              <w:t>849</w:t>
            </w:r>
            <w:r>
              <w:t>)</w:t>
            </w:r>
            <w:bookmarkEnd w:id="12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21" w:name="DOC_TBL00002_24_1"/>
            <w:r>
              <w:t>Autres</w:t>
            </w:r>
            <w:bookmarkEnd w:id="12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22" w:name="DOC_TBL00002_24_2"/>
            <w:bookmarkEnd w:id="12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3" w:name="DOC_TBL00002_24_3"/>
            <w:r>
              <w:t>(</w:t>
            </w:r>
            <w:r w:rsidRPr="00031A85">
              <w:t>1</w:t>
            </w:r>
            <w:r>
              <w:t xml:space="preserve"> </w:t>
            </w:r>
            <w:r w:rsidRPr="00031A85">
              <w:t>606</w:t>
            </w:r>
            <w:r>
              <w:t>)</w:t>
            </w:r>
            <w:bookmarkEnd w:id="12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4" w:name="DOC_TBL00002_24_4"/>
            <w:r>
              <w:t>(</w:t>
            </w:r>
            <w:r w:rsidRPr="00031A85">
              <w:t>2</w:t>
            </w:r>
            <w:r>
              <w:t xml:space="preserve"> </w:t>
            </w:r>
            <w:r w:rsidRPr="00031A85">
              <w:t>380</w:t>
            </w:r>
            <w:r>
              <w:t>)</w:t>
            </w:r>
            <w:bookmarkEnd w:id="12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25" w:name="DOC_TBL00002_25_1"/>
            <w:r>
              <w:t>Exécution par la Commission, des agences exécutives et des fonds fiduciaires</w:t>
            </w:r>
            <w:bookmarkEnd w:id="12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26" w:name="DOC_TBL00002_25_2"/>
            <w:r w:rsidRPr="00031A85">
              <w:t>3</w:t>
            </w:r>
            <w:r>
              <w:t>.</w:t>
            </w:r>
            <w:r w:rsidRPr="00031A85">
              <w:t>10</w:t>
            </w:r>
            <w:bookmarkEnd w:id="12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7" w:name="DOC_TBL00002_25_3"/>
            <w:r>
              <w:t>(</w:t>
            </w:r>
            <w:r w:rsidRPr="00031A85">
              <w:t>15</w:t>
            </w:r>
            <w:r>
              <w:t xml:space="preserve"> </w:t>
            </w:r>
            <w:r w:rsidRPr="00031A85">
              <w:t>610</w:t>
            </w:r>
            <w:r>
              <w:t>)</w:t>
            </w:r>
            <w:bookmarkEnd w:id="12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8" w:name="DOC_TBL00002_25_4"/>
            <w:r>
              <w:t>(</w:t>
            </w:r>
            <w:r w:rsidRPr="00031A85">
              <w:t>15</w:t>
            </w:r>
            <w:r>
              <w:t xml:space="preserve"> </w:t>
            </w:r>
            <w:r w:rsidRPr="00031A85">
              <w:t>626</w:t>
            </w:r>
            <w:r>
              <w:t>)</w:t>
            </w:r>
            <w:bookmarkEnd w:id="12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29" w:name="DOC_TBL00002_26_1"/>
            <w:r>
              <w:t>Exécution par d’autres agences et organes de l’UE</w:t>
            </w:r>
            <w:bookmarkEnd w:id="1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0" w:name="DOC_TBL00002_26_2"/>
            <w:r w:rsidRPr="00031A85">
              <w:t>3</w:t>
            </w:r>
            <w:r>
              <w:t>.</w:t>
            </w:r>
            <w:r w:rsidRPr="00031A85">
              <w:t>11</w:t>
            </w:r>
            <w:bookmarkEnd w:id="1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1" w:name="DOC_TBL00002_26_3"/>
            <w:r>
              <w:t>(</w:t>
            </w:r>
            <w:r w:rsidRPr="00031A85">
              <w:t>2</w:t>
            </w:r>
            <w:r>
              <w:t xml:space="preserve"> </w:t>
            </w:r>
            <w:r w:rsidRPr="00031A85">
              <w:t>547</w:t>
            </w:r>
            <w:r>
              <w:t>)</w:t>
            </w:r>
            <w:bookmarkEnd w:id="1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2" w:name="DOC_TBL00002_26_4"/>
            <w:r>
              <w:t>(</w:t>
            </w:r>
            <w:r w:rsidRPr="00031A85">
              <w:t>1</w:t>
            </w:r>
            <w:r>
              <w:t xml:space="preserve"> </w:t>
            </w:r>
            <w:r w:rsidRPr="00031A85">
              <w:t>209</w:t>
            </w:r>
            <w:r>
              <w:t>)</w:t>
            </w:r>
            <w:bookmarkEnd w:id="13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33" w:name="DOC_TBL00002_27_1"/>
            <w:r>
              <w:t>Exécution par des pays tiers et des organisations internationales</w:t>
            </w:r>
            <w:bookmarkEnd w:id="13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4" w:name="DOC_TBL00002_27_2"/>
            <w:r w:rsidRPr="00031A85">
              <w:t>3</w:t>
            </w:r>
            <w:r>
              <w:t>.</w:t>
            </w:r>
            <w:r w:rsidRPr="00031A85">
              <w:t>11</w:t>
            </w:r>
            <w:bookmarkEnd w:id="13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5" w:name="DOC_TBL00002_27_3"/>
            <w:r>
              <w:t>(</w:t>
            </w:r>
            <w:r w:rsidRPr="00031A85">
              <w:t>3</w:t>
            </w:r>
            <w:r>
              <w:t xml:space="preserve"> </w:t>
            </w:r>
            <w:r w:rsidRPr="00031A85">
              <w:t>258</w:t>
            </w:r>
            <w:r>
              <w:t>)</w:t>
            </w:r>
            <w:bookmarkEnd w:id="13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6" w:name="DOC_TBL00002_27_4"/>
            <w:r>
              <w:t>(</w:t>
            </w:r>
            <w:r w:rsidRPr="00031A85">
              <w:t>3</w:t>
            </w:r>
            <w:r>
              <w:t xml:space="preserve"> </w:t>
            </w:r>
            <w:r w:rsidRPr="00031A85">
              <w:t>031</w:t>
            </w:r>
            <w:r>
              <w:t>)</w:t>
            </w:r>
            <w:bookmarkEnd w:id="1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37" w:name="DOC_TBL00002_28_1"/>
            <w:r>
              <w:t>Exécution par d’autres entités</w:t>
            </w:r>
            <w:bookmarkEnd w:id="1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8" w:name="DOC_TBL00002_28_2"/>
            <w:r w:rsidRPr="00031A85">
              <w:t>3</w:t>
            </w:r>
            <w:r>
              <w:t>.</w:t>
            </w:r>
            <w:r w:rsidRPr="00031A85">
              <w:t>11</w:t>
            </w:r>
            <w:bookmarkEnd w:id="1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9" w:name="DOC_TBL00002_28_3"/>
            <w:r>
              <w:t>(</w:t>
            </w:r>
            <w:r w:rsidRPr="00031A85">
              <w:t>2</w:t>
            </w:r>
            <w:r>
              <w:t xml:space="preserve"> </w:t>
            </w:r>
            <w:r w:rsidRPr="00031A85">
              <w:t>035</w:t>
            </w:r>
            <w:r>
              <w:t>)</w:t>
            </w:r>
            <w:bookmarkEnd w:id="1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0" w:name="DOC_TBL00002_28_4"/>
            <w:r>
              <w:t>(</w:t>
            </w:r>
            <w:r w:rsidRPr="00031A85">
              <w:t>2</w:t>
            </w:r>
            <w:r>
              <w:t xml:space="preserve"> </w:t>
            </w:r>
            <w:r w:rsidRPr="00031A85">
              <w:t>107</w:t>
            </w:r>
            <w:r>
              <w:t>)</w:t>
            </w:r>
            <w:bookmarkEnd w:id="1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1" w:name="DOC_TBL00002_29_1"/>
            <w:r>
              <w:t>Coûts du personnel et des pensions</w:t>
            </w:r>
            <w:bookmarkEnd w:id="1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42" w:name="DOC_TBL00002_29_2"/>
            <w:r w:rsidRPr="00031A85">
              <w:t>3</w:t>
            </w:r>
            <w:r>
              <w:t>.</w:t>
            </w:r>
            <w:r w:rsidRPr="00031A85">
              <w:t>12</w:t>
            </w:r>
            <w:bookmarkEnd w:id="1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3" w:name="DOC_TBL00002_29_3"/>
            <w:r>
              <w:t>(</w:t>
            </w:r>
            <w:r w:rsidRPr="00031A85">
              <w:t>9</w:t>
            </w:r>
            <w:r>
              <w:t xml:space="preserve"> </w:t>
            </w:r>
            <w:r w:rsidRPr="00031A85">
              <w:t>776</w:t>
            </w:r>
            <w:r>
              <w:t>)</w:t>
            </w:r>
            <w:bookmarkEnd w:id="1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4" w:name="DOC_TBL00002_29_4"/>
            <w:r>
              <w:t>(</w:t>
            </w:r>
            <w:r w:rsidRPr="00031A85">
              <w:t>10</w:t>
            </w:r>
            <w:r>
              <w:t xml:space="preserve"> </w:t>
            </w:r>
            <w:r w:rsidRPr="00031A85">
              <w:t>273</w:t>
            </w:r>
            <w:r>
              <w:t>)</w:t>
            </w:r>
            <w:bookmarkEnd w:id="1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5" w:name="DOC_TBL00002_30_1"/>
            <w:r>
              <w:t>Modifications des hypothèses actuarielles relatives aux avantages du personnel</w:t>
            </w:r>
            <w:bookmarkEnd w:id="1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46" w:name="DOC_TBL00002_30_2"/>
            <w:r w:rsidRPr="00031A85">
              <w:t>3</w:t>
            </w:r>
            <w:r>
              <w:t>.</w:t>
            </w:r>
            <w:r w:rsidRPr="00031A85">
              <w:t>13</w:t>
            </w:r>
            <w:bookmarkEnd w:id="1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7" w:name="DOC_TBL00002_30_3"/>
            <w:r>
              <w:t>(</w:t>
            </w:r>
            <w:r w:rsidRPr="00031A85">
              <w:t>1</w:t>
            </w:r>
            <w:r>
              <w:t xml:space="preserve"> </w:t>
            </w:r>
            <w:r w:rsidRPr="00031A85">
              <w:t>068</w:t>
            </w:r>
            <w:r>
              <w:t>)</w:t>
            </w:r>
            <w:bookmarkEnd w:id="1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8" w:name="DOC_TBL00002_30_4"/>
            <w:r>
              <w:t>(</w:t>
            </w:r>
            <w:r w:rsidRPr="00031A85">
              <w:t>2</w:t>
            </w:r>
            <w:r>
              <w:t xml:space="preserve"> </w:t>
            </w:r>
            <w:r w:rsidRPr="00031A85">
              <w:t>040</w:t>
            </w:r>
            <w:r>
              <w:t>)</w:t>
            </w:r>
            <w:bookmarkEnd w:id="14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9" w:name="DOC_TBL00002_31_1"/>
            <w:r>
              <w:t>Charges financières</w:t>
            </w:r>
            <w:bookmarkEnd w:id="14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0" w:name="DOC_TBL00002_31_2"/>
            <w:r w:rsidRPr="00031A85">
              <w:t>3</w:t>
            </w:r>
            <w:r>
              <w:t>.</w:t>
            </w:r>
            <w:r w:rsidRPr="00031A85">
              <w:t>14</w:t>
            </w:r>
            <w:bookmarkEnd w:id="15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1" w:name="DOC_TBL00002_31_3"/>
            <w:r>
              <w:t>(</w:t>
            </w:r>
            <w:r w:rsidRPr="00031A85">
              <w:t>1</w:t>
            </w:r>
            <w:r>
              <w:t xml:space="preserve"> </w:t>
            </w:r>
            <w:r w:rsidRPr="00031A85">
              <w:t>904</w:t>
            </w:r>
            <w:r>
              <w:t>)</w:t>
            </w:r>
            <w:bookmarkEnd w:id="15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2" w:name="DOC_TBL00002_31_4"/>
            <w:r>
              <w:t>(</w:t>
            </w:r>
            <w:r w:rsidRPr="00031A85">
              <w:t>1</w:t>
            </w:r>
            <w:r>
              <w:t xml:space="preserve"> </w:t>
            </w:r>
            <w:r w:rsidRPr="00031A85">
              <w:t>986</w:t>
            </w:r>
            <w:r>
              <w:t>)</w:t>
            </w:r>
            <w:bookmarkEnd w:id="15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53" w:name="DOC_TBL00002_32_1"/>
            <w:r>
              <w:t>Part du résultat des entités associées et coentreprises</w:t>
            </w:r>
            <w:bookmarkEnd w:id="15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4" w:name="DOC_TBL00002_32_2"/>
            <w:r w:rsidRPr="00031A85">
              <w:t>3</w:t>
            </w:r>
            <w:r>
              <w:t>.</w:t>
            </w:r>
            <w:r w:rsidRPr="00031A85">
              <w:t>15</w:t>
            </w:r>
            <w:bookmarkEnd w:id="15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5" w:name="DOC_TBL00002_32_3"/>
            <w:r>
              <w:t xml:space="preserve"> </w:t>
            </w:r>
            <w:r w:rsidRPr="00031A85">
              <w:t>2</w:t>
            </w:r>
            <w:bookmarkEnd w:id="15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6" w:name="DOC_TBL00002_32_4"/>
            <w:r>
              <w:t xml:space="preserve"> (</w:t>
            </w:r>
            <w:r w:rsidRPr="00031A85">
              <w:t>641</w:t>
            </w:r>
            <w:r>
              <w:t>)</w:t>
            </w:r>
            <w:bookmarkEnd w:id="156"/>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57" w:name="DOC_TBL00002_33_1"/>
            <w:r>
              <w:t>Autres dépenses</w:t>
            </w:r>
            <w:bookmarkEnd w:id="157"/>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8" w:name="DOC_TBL00002_33_2"/>
            <w:r w:rsidRPr="00031A85">
              <w:t>3</w:t>
            </w:r>
            <w:r>
              <w:t>.</w:t>
            </w:r>
            <w:r w:rsidRPr="00031A85">
              <w:t>16</w:t>
            </w:r>
            <w:bookmarkEnd w:id="158"/>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9" w:name="DOC_TBL00002_33_3"/>
            <w:r>
              <w:t>(</w:t>
            </w:r>
            <w:r w:rsidRPr="00031A85">
              <w:t>5</w:t>
            </w:r>
            <w:r>
              <w:t xml:space="preserve"> </w:t>
            </w:r>
            <w:r w:rsidRPr="00031A85">
              <w:t>486</w:t>
            </w:r>
            <w:r>
              <w:t>)</w:t>
            </w:r>
            <w:bookmarkEnd w:id="159"/>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60" w:name="DOC_TBL00002_33_4"/>
            <w:r>
              <w:t>(</w:t>
            </w:r>
            <w:r w:rsidRPr="00031A85">
              <w:t>6</w:t>
            </w:r>
            <w:r>
              <w:t xml:space="preserve"> </w:t>
            </w:r>
            <w:r w:rsidRPr="00031A85">
              <w:t>623</w:t>
            </w:r>
            <w:r>
              <w:t>)</w:t>
            </w:r>
            <w:bookmarkEnd w:id="160"/>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161" w:name="DOC_TBL00002_34_1"/>
            <w:r>
              <w:t>Dépenses totales</w:t>
            </w:r>
            <w:bookmarkEnd w:id="161"/>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rPr>
            </w:pPr>
            <w:bookmarkStart w:id="162" w:name="DOC_TBL00002_34_2"/>
            <w:bookmarkEnd w:id="162"/>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163" w:name="DOC_TBL00002_34_3"/>
            <w:r>
              <w:t>(</w:t>
            </w:r>
            <w:r w:rsidRPr="00031A85">
              <w:t>144</w:t>
            </w:r>
            <w:r>
              <w:t xml:space="preserve"> </w:t>
            </w:r>
            <w:r w:rsidRPr="00031A85">
              <w:t>454</w:t>
            </w:r>
            <w:r>
              <w:t>)</w:t>
            </w:r>
            <w:bookmarkEnd w:id="163"/>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164" w:name="DOC_TBL00002_34_4"/>
            <w:r>
              <w:t>(</w:t>
            </w:r>
            <w:r w:rsidRPr="00031A85">
              <w:t>155</w:t>
            </w:r>
            <w:r>
              <w:t xml:space="preserve"> </w:t>
            </w:r>
            <w:r w:rsidRPr="00031A85">
              <w:t>919</w:t>
            </w:r>
            <w:r>
              <w:t>)</w:t>
            </w:r>
            <w:bookmarkEnd w:id="164"/>
          </w:p>
        </w:tc>
      </w:tr>
      <w:tr w:rsidR="005B4EEC" w:rsidTr="00FB0C7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bookmarkStart w:id="165" w:name="DOC_TBL00002_35_1"/>
            <w:r>
              <w:t>RÉSULTAT ÉCONOMIQUE DE L’EXERCICE</w:t>
            </w:r>
            <w:bookmarkEnd w:id="165"/>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eastAsia="Verdana" w:cs="Verdana"/>
                <w:i w:val="0"/>
              </w:rPr>
            </w:pPr>
            <w:bookmarkStart w:id="166" w:name="DOC_TBL00002_35_2"/>
            <w:bookmarkEnd w:id="166"/>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bookmarkStart w:id="167" w:name="DOC_TBL00002_35_3"/>
            <w:r w:rsidRPr="00031A85">
              <w:t>1</w:t>
            </w:r>
            <w:r>
              <w:t xml:space="preserve"> </w:t>
            </w:r>
            <w:r w:rsidRPr="00031A85">
              <w:t>733</w:t>
            </w:r>
            <w:bookmarkEnd w:id="167"/>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bookmarkStart w:id="168" w:name="DOC_TBL00002_35_4"/>
            <w:r>
              <w:t>(</w:t>
            </w:r>
            <w:r w:rsidRPr="00031A85">
              <w:t>13</w:t>
            </w:r>
            <w:r>
              <w:t xml:space="preserve"> </w:t>
            </w:r>
            <w:r w:rsidRPr="00031A85">
              <w:t>033</w:t>
            </w:r>
            <w:r>
              <w:t>)</w:t>
            </w:r>
            <w:bookmarkEnd w:id="168"/>
          </w:p>
        </w:tc>
      </w:tr>
    </w:tbl>
    <w:p w:rsidR="00FB0C75" w:rsidRDefault="00FB0C75" w:rsidP="00FB0C75">
      <w:pPr>
        <w:pStyle w:val="Textstand-alone"/>
      </w:pPr>
    </w:p>
    <w:p w:rsidR="00FB0C75" w:rsidRPr="001C5771" w:rsidRDefault="00525E53" w:rsidP="00FB0C75">
      <w:pPr>
        <w:pStyle w:val="Text9pItalicLeft3p"/>
        <w:sectPr w:rsidR="00FB0C75" w:rsidRPr="001C5771" w:rsidSect="00FB0C75">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134" w:left="1134" w:header="709" w:footer="709" w:gutter="0"/>
          <w:cols w:space="708"/>
          <w:docGrid w:linePitch="360"/>
        </w:sectPr>
      </w:pPr>
      <w:r>
        <w:t xml:space="preserve"> </w:t>
      </w:r>
      <w:bookmarkEnd w:id="28"/>
    </w:p>
    <w:p w:rsidR="00FB0C75" w:rsidRDefault="00525E53" w:rsidP="00FB0C75">
      <w:pPr>
        <w:pStyle w:val="HEADERTITLE1"/>
      </w:pPr>
      <w:bookmarkStart w:id="169" w:name="_Toc485724169"/>
      <w:bookmarkStart w:id="170" w:name="_Toc485724198"/>
      <w:bookmarkStart w:id="171" w:name="_Toc491678761"/>
      <w:bookmarkStart w:id="172" w:name="_Toc491678825"/>
      <w:bookmarkStart w:id="173" w:name="_DMBM_8923"/>
      <w:r>
        <w:t>TABLEAU DES FLUX DE TRÉSORERIE</w:t>
      </w:r>
      <w:bookmarkEnd w:id="169"/>
      <w:bookmarkEnd w:id="170"/>
      <w:bookmarkEnd w:id="171"/>
      <w:bookmarkEnd w:id="172"/>
    </w:p>
    <w:p w:rsidR="00FB0C75" w:rsidRDefault="00525E53" w:rsidP="00FB0C75">
      <w:pPr>
        <w:pStyle w:val="HEADERTITLE1"/>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74" w:name="DOC_TBL00003_1_1"/>
            <w:bookmarkEnd w:id="17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Résultat économique de l’exercice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733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13</w:t>
            </w:r>
            <w:r>
              <w:t xml:space="preserve"> </w:t>
            </w:r>
            <w:r w:rsidRPr="00031A85">
              <w:t>033</w:t>
            </w: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Activités d’exploitation</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Amortissements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Dépréciations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489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prêts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774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591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préfinancements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314</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439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 xml:space="preserve">(Augmentation)/diminution des créances à recevoir avec contrepartie directe et </w:t>
            </w:r>
            <w:r>
              <w:br/>
              <w:t>des créances à recouvrer sans contrepartie directe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w:t>
            </w:r>
            <w:r w:rsidRPr="00031A85">
              <w:t>1</w:t>
            </w:r>
            <w:r>
              <w:t xml:space="preserve"> </w:t>
            </w:r>
            <w:r w:rsidRPr="00031A85">
              <w:t>297</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5</w:t>
            </w:r>
            <w:r>
              <w:t xml:space="preserve"> </w:t>
            </w:r>
            <w:r w:rsidRPr="00031A85">
              <w:t>253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stocks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26</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r>
              <w:t>)</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62547D">
            <w:pPr>
              <w:pStyle w:val="Text9pItalicCentered"/>
              <w:jc w:val="left"/>
              <w:rPr>
                <w:rFonts w:cs="Verdana"/>
              </w:rPr>
            </w:pPr>
            <w:r>
              <w:t>Augmentation/(diminution) du passif lié aux retraites et avantages du personnel</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3</w:t>
            </w:r>
            <w:r>
              <w:t xml:space="preserve"> </w:t>
            </w:r>
            <w:r w:rsidRPr="00031A85">
              <w:t>417</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5</w:t>
            </w:r>
            <w:r>
              <w:t xml:space="preserve"> </w:t>
            </w:r>
            <w:r w:rsidRPr="00031A85">
              <w:t>198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253</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passifs financiers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2</w:t>
            </w:r>
            <w:r>
              <w:t xml:space="preserve"> </w:t>
            </w:r>
            <w:r w:rsidRPr="00031A85">
              <w:t>351</w:t>
            </w: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977</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sommes à payer</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813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10</w:t>
            </w:r>
            <w:r>
              <w:t xml:space="preserve"> </w:t>
            </w:r>
            <w:r w:rsidRPr="00031A85">
              <w:t>989</w:t>
            </w:r>
            <w:r>
              <w:t>)</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100380">
            <w:pPr>
              <w:pStyle w:val="Text9pItalicCentered"/>
              <w:jc w:val="left"/>
              <w:rPr>
                <w:rFonts w:cs="Verdana"/>
              </w:rPr>
            </w:pPr>
            <w:r>
              <w:t>Augmentation/(diminution) des charges à payer et produits à reporter</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w:t>
            </w:r>
            <w:r w:rsidRPr="00031A85">
              <w:t>821</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12</w:t>
            </w:r>
            <w:r>
              <w:t xml:space="preserve"> </w:t>
            </w:r>
            <w:r w:rsidRPr="00031A85">
              <w:t>429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Excédent budgétaire de l’exercice précédent comptabilisé comme produit hors trésorerie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w:t>
            </w:r>
            <w:r w:rsidRPr="00031A85">
              <w:t>1</w:t>
            </w:r>
            <w:r>
              <w:t xml:space="preserve"> </w:t>
            </w:r>
            <w:r w:rsidRPr="00031A85">
              <w:t>349</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w:t>
            </w:r>
            <w:r w:rsidRPr="00031A85">
              <w:t>1</w:t>
            </w:r>
            <w:r>
              <w:t xml:space="preserve"> </w:t>
            </w:r>
            <w:r w:rsidRPr="00031A85">
              <w:t>435</w:t>
            </w: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mouvements hors trésorerie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Activités d’investissement</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 xml:space="preserve">(Augmentation)/diminution des immobilisations incorporelles et corporelles </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w:t>
            </w:r>
            <w:r w:rsidRPr="00031A85">
              <w:t>2</w:t>
            </w:r>
            <w:r>
              <w:t xml:space="preserve"> </w:t>
            </w:r>
            <w:r w:rsidRPr="00031A85">
              <w:t>073</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w:t>
            </w:r>
            <w:r w:rsidRPr="00031A85">
              <w:t>1</w:t>
            </w:r>
            <w:r>
              <w:t xml:space="preserve"> </w:t>
            </w:r>
            <w:r w:rsidRPr="00031A85">
              <w:t>381</w:t>
            </w:r>
            <w:r>
              <w:t>)</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 xml:space="preserve">(Augmentation)/diminution des investissements comptabilisés selon la </w:t>
            </w:r>
            <w:r>
              <w:br/>
              <w:t>méthode de la mise en équivalence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w:t>
            </w:r>
            <w:r w:rsidRPr="00031A85">
              <w:t>31</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w:t>
            </w:r>
            <w:r w:rsidRPr="00031A85">
              <w:t>87</w:t>
            </w:r>
            <w:r>
              <w:t>)</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(Augmentation)/diminution des actifs financiers disponibles à la vente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w:t>
            </w:r>
            <w:r w:rsidRPr="00031A85">
              <w:t>822</w:t>
            </w:r>
            <w:r>
              <w:t>)</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w:t>
            </w:r>
            <w:r w:rsidRPr="00031A85">
              <w:t>213</w:t>
            </w:r>
            <w:r>
              <w:t>)</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des actifs financiers à la juste valeur par le biais de l’excédent ou du déficit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i w:val="0"/>
              </w:rPr>
              <w:t xml:space="preserve"> (</w:t>
            </w:r>
            <w:r w:rsidRPr="00031A85">
              <w:rPr>
                <w:i w:val="0"/>
              </w:rPr>
              <w:t>0</w:t>
            </w:r>
            <w:r>
              <w:rPr>
                <w:i w:val="0"/>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i w:val="0"/>
              </w:rP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FLUX DE TRÉSORERIE NETS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914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126</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nette de la trésorerie et des équivalents de trésorerie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914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126</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Valeurs disponibles en début d’exercice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21</w:t>
            </w:r>
            <w:r>
              <w:t xml:space="preserve"> </w:t>
            </w:r>
            <w:r w:rsidRPr="00031A85">
              <w:t>671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sidRPr="00031A85">
              <w:t>17</w:t>
            </w:r>
            <w:r>
              <w:t xml:space="preserve"> </w:t>
            </w:r>
            <w:r w:rsidRPr="00031A85">
              <w:t>545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Valeurs disponibles en fin d’exercice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28</w:t>
            </w:r>
            <w:r>
              <w:t xml:space="preserve"> </w:t>
            </w:r>
            <w:r w:rsidRPr="00031A85">
              <w:t>585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21</w:t>
            </w:r>
            <w:r>
              <w:t xml:space="preserve"> </w:t>
            </w:r>
            <w:r w:rsidRPr="00031A85">
              <w:t>671</w:t>
            </w:r>
          </w:p>
        </w:tc>
      </w:tr>
      <w:bookmarkEnd w:id="173"/>
    </w:tbl>
    <w:p w:rsidR="00FB0C75" w:rsidRPr="00130838" w:rsidRDefault="00FB0C75" w:rsidP="00FB0C75">
      <w:pPr>
        <w:pStyle w:val="HEADERTITLE1"/>
        <w:sectPr w:rsidR="00FB0C75" w:rsidRPr="00130838" w:rsidSect="00FB0C75">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p>
    <w:p w:rsidR="00FB0C75" w:rsidRDefault="00525E53" w:rsidP="00FB0C75">
      <w:pPr>
        <w:pStyle w:val="HEADERTITLE1"/>
        <w:spacing w:after="0"/>
      </w:pPr>
      <w:bookmarkStart w:id="175" w:name="_Toc485724170"/>
      <w:bookmarkStart w:id="176" w:name="_Toc485724199"/>
      <w:bookmarkStart w:id="177" w:name="_Toc491678762"/>
      <w:bookmarkStart w:id="178" w:name="_Toc491678826"/>
      <w:bookmarkStart w:id="179" w:name="_DMBM_8906"/>
      <w:r>
        <w:t>ÉTAT DES VARIATIONS DE L’ACTIF NET</w:t>
      </w:r>
      <w:bookmarkEnd w:id="175"/>
      <w:bookmarkEnd w:id="176"/>
      <w:bookmarkEnd w:id="177"/>
      <w:bookmarkEnd w:id="178"/>
    </w:p>
    <w:p w:rsidR="00FB0C75" w:rsidRDefault="00525E53" w:rsidP="00FB0C75">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843"/>
        <w:gridCol w:w="1701"/>
        <w:gridCol w:w="1843"/>
        <w:gridCol w:w="1701"/>
        <w:gridCol w:w="1559"/>
      </w:tblGrid>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80" w:name="DOC_TBL00004_1_1"/>
            <w:bookmarkEnd w:id="180"/>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1559"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8pItalicRight025EUR"/>
              <w:rPr>
                <w:rFonts w:cs="Verdana"/>
              </w:rPr>
            </w:pPr>
            <w:r>
              <w:t>en Mio EUR</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Réserves (A)</w:t>
            </w: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Montants à appeler auprès des États membres (B)</w:t>
            </w:r>
          </w:p>
        </w:tc>
        <w:tc>
          <w:tcPr>
            <w:tcW w:w="1559" w:type="dxa"/>
            <w:vMerge w:val="restart"/>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Actif net = (A) + (B)</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Réserve de juste valeur</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Autres réserves</w:t>
            </w: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Excédent/(déficit) cumulé</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Résultat économique de l’exercice</w:t>
            </w:r>
          </w:p>
        </w:tc>
        <w:tc>
          <w:tcPr>
            <w:tcW w:w="1559" w:type="dxa"/>
            <w:vMerge/>
            <w:tcBorders>
              <w:top w:val="nil"/>
              <w:left w:val="nil"/>
              <w:bottom w:val="nil"/>
              <w:right w:val="nil"/>
            </w:tcBorders>
            <w:shd w:val="clear" w:color="auto" w:fill="3486A9"/>
            <w:tcMar>
              <w:top w:w="0" w:type="dxa"/>
              <w:left w:w="108" w:type="dxa"/>
              <w:bottom w:w="0" w:type="dxa"/>
              <w:right w:w="108" w:type="dxa"/>
            </w:tcMar>
          </w:tcPr>
          <w:p w:rsidR="00FB0C75" w:rsidRDefault="00FB0C75" w:rsidP="00FB0C75">
            <w:pPr>
              <w:pStyle w:val="Heading9pNormalCentered"/>
              <w:rPr>
                <w:rFonts w:cs="Verdana"/>
              </w:rPr>
            </w:pP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SOLDE AU </w:t>
            </w:r>
            <w:r w:rsidRPr="00031A85">
              <w:t>31</w:t>
            </w:r>
            <w:r>
              <w:t>.</w:t>
            </w:r>
            <w:r w:rsidRPr="00031A85">
              <w:t>12</w:t>
            </w:r>
            <w:r>
              <w:t>.</w:t>
            </w:r>
            <w:r w:rsidRPr="00031A85">
              <w:t>2014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238</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197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51</w:t>
            </w:r>
            <w:r>
              <w:t xml:space="preserve"> </w:t>
            </w:r>
            <w:r w:rsidRPr="00031A85">
              <w:t>161</w:t>
            </w:r>
            <w:r>
              <w:t>)</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11</w:t>
            </w:r>
            <w:r>
              <w:t xml:space="preserve"> </w:t>
            </w:r>
            <w:r w:rsidRPr="00031A85">
              <w:t>280</w:t>
            </w: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58</w:t>
            </w:r>
            <w:r>
              <w:t xml:space="preserve"> </w:t>
            </w:r>
            <w:r w:rsidRPr="00031A85">
              <w:t>006</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réserve du Fonds de garantie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189</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juste valeur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54</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Affectation du résultat économique </w:t>
            </w:r>
            <w:r w:rsidRPr="00031A85">
              <w:t>2014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11</w:t>
            </w:r>
            <w:r>
              <w:t xml:space="preserve"> </w:t>
            </w:r>
            <w:r w:rsidRPr="00031A85">
              <w:t>283</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11</w:t>
            </w:r>
            <w:r>
              <w:t xml:space="preserve"> </w:t>
            </w:r>
            <w:r w:rsidRPr="00031A85">
              <w:t>280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Résultat de l’exécution budgétaire </w:t>
            </w:r>
            <w:r w:rsidRPr="00031A85">
              <w:t>2014</w:t>
            </w:r>
            <w:r>
              <w:t xml:space="preserve"> crédité aux États membres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435</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435</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Résultat économique de l’exercice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13</w:t>
            </w:r>
            <w:r>
              <w:t xml:space="preserve"> </w:t>
            </w:r>
            <w:r w:rsidRPr="00031A85">
              <w:t>033</w:t>
            </w: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13</w:t>
            </w:r>
            <w:r>
              <w:t xml:space="preserve"> </w:t>
            </w:r>
            <w:r w:rsidRPr="00031A85">
              <w:t>033</w:t>
            </w:r>
            <w:r>
              <w:t>)</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SOLDE AU </w:t>
            </w:r>
            <w:r w:rsidRPr="00031A85">
              <w:t>31</w:t>
            </w:r>
            <w:r>
              <w:t>.</w:t>
            </w:r>
            <w:r w:rsidRPr="00031A85">
              <w:t>12</w:t>
            </w:r>
            <w:r>
              <w:t>.</w:t>
            </w:r>
            <w:r w:rsidRPr="00031A85">
              <w:t>2015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292</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390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64</w:t>
            </w:r>
            <w:r>
              <w:t xml:space="preserve"> </w:t>
            </w:r>
            <w:r w:rsidRPr="00031A85">
              <w:t>091</w:t>
            </w:r>
            <w:r>
              <w:t>)</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13</w:t>
            </w:r>
            <w:r>
              <w:t xml:space="preserve"> </w:t>
            </w:r>
            <w:r w:rsidRPr="00031A85">
              <w:t>033</w:t>
            </w:r>
            <w:r>
              <w:t>)</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442</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réserve du Fonds de garantie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82</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juste valeur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54</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15</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Affectation du résultat économique </w:t>
            </w:r>
            <w:r w:rsidRPr="00031A85">
              <w:t>2015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13</w:t>
            </w:r>
            <w:r>
              <w:t xml:space="preserve"> </w:t>
            </w:r>
            <w:r w:rsidRPr="00031A85">
              <w:t>038</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13</w:t>
            </w:r>
            <w:r>
              <w:t xml:space="preserve"> </w:t>
            </w:r>
            <w:r w:rsidRPr="00031A85">
              <w:t>033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Résultat de l’exécution budgétaire </w:t>
            </w:r>
            <w:r w:rsidRPr="00031A85">
              <w:t>2015</w:t>
            </w:r>
            <w:r>
              <w:t xml:space="preserve"> crédité aux États membres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349</w:t>
            </w: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349</w:t>
            </w: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Résultat économique de l’exercice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733</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SOLDE AU </w:t>
            </w:r>
            <w:r w:rsidRPr="00031A85">
              <w:t>31</w:t>
            </w:r>
            <w:r>
              <w:t>.</w:t>
            </w:r>
            <w:r w:rsidRPr="00031A85">
              <w:t>12</w:t>
            </w:r>
            <w:r>
              <w:t>.</w:t>
            </w:r>
            <w:r w:rsidRPr="00031A85">
              <w:t>2016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325</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516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78</w:t>
            </w:r>
            <w:r>
              <w:t xml:space="preserve"> </w:t>
            </w:r>
            <w:r w:rsidRPr="00031A85">
              <w:t>614</w:t>
            </w:r>
            <w:r>
              <w:t>)</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733</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w:t>
            </w:r>
            <w:r w:rsidRPr="00031A85">
              <w:t>72</w:t>
            </w:r>
            <w:r>
              <w:t xml:space="preserve"> </w:t>
            </w:r>
            <w:r w:rsidRPr="00031A85">
              <w:t>040</w:t>
            </w:r>
            <w:r>
              <w:t>)</w:t>
            </w:r>
          </w:p>
        </w:tc>
      </w:tr>
    </w:tbl>
    <w:p w:rsidR="00FB0C75" w:rsidRDefault="00525E53" w:rsidP="00FB0C75">
      <w:pPr>
        <w:pStyle w:val="Textstand-alone"/>
        <w:sectPr w:rsidR="00FB0C75" w:rsidSect="00FB0C75">
          <w:headerReference w:type="even" r:id="rId88"/>
          <w:headerReference w:type="default" r:id="rId89"/>
          <w:footerReference w:type="even" r:id="rId90"/>
          <w:footerReference w:type="default" r:id="rId91"/>
          <w:headerReference w:type="first" r:id="rId92"/>
          <w:footerReference w:type="first" r:id="rId93"/>
          <w:pgSz w:w="16838" w:h="11906" w:orient="landscape"/>
          <w:pgMar w:top="1134" w:right="1134" w:bottom="1134" w:left="1134" w:header="708" w:footer="708" w:gutter="0"/>
          <w:cols w:space="708"/>
          <w:docGrid w:linePitch="360"/>
        </w:sectPr>
      </w:pPr>
      <w:r>
        <w:t xml:space="preserve"> </w:t>
      </w:r>
      <w:bookmarkEnd w:id="179"/>
    </w:p>
    <w:p w:rsidR="00FB0C75" w:rsidRDefault="00FB0C75" w:rsidP="00FB0C75">
      <w:pPr>
        <w:pStyle w:val="FIRSTCHAPTERPAGE1"/>
      </w:pPr>
      <w:bookmarkStart w:id="181" w:name="_DMBM_8987"/>
    </w:p>
    <w:p w:rsidR="00FB0C75" w:rsidRDefault="00FB0C75" w:rsidP="00FB0C75">
      <w:pPr>
        <w:pStyle w:val="FIRSTCHAPTERPAGE1"/>
      </w:pPr>
    </w:p>
    <w:p w:rsidR="00FB0C75" w:rsidRDefault="00FB0C75" w:rsidP="00FB0C75">
      <w:pPr>
        <w:pStyle w:val="FIRSTCHAPTERPAGE1"/>
      </w:pPr>
    </w:p>
    <w:p w:rsidR="00FB0C75" w:rsidRDefault="00FB0C75" w:rsidP="00FB0C75">
      <w:pPr>
        <w:pStyle w:val="FIRSTCHAPTERPAGE1"/>
      </w:pPr>
    </w:p>
    <w:p w:rsidR="00FB0C75" w:rsidRPr="00BD3E09" w:rsidRDefault="00525E53" w:rsidP="00FB0C75">
      <w:pPr>
        <w:pStyle w:val="HEADERTITLE1"/>
        <w:spacing w:after="0" w:line="276" w:lineRule="auto"/>
        <w:rPr>
          <w:rFonts w:eastAsia="Calibri"/>
        </w:rPr>
      </w:pPr>
      <w:bookmarkStart w:id="182" w:name="_Toc485724171"/>
      <w:bookmarkStart w:id="183" w:name="_Toc485724200"/>
      <w:bookmarkStart w:id="184" w:name="_Toc491678763"/>
      <w:bookmarkStart w:id="185" w:name="_Toc491678827"/>
      <w:r>
        <w:t>ANNEXES AUX ÉTATS FINANCIERS</w:t>
      </w:r>
      <w:bookmarkEnd w:id="182"/>
      <w:bookmarkEnd w:id="183"/>
      <w:bookmarkEnd w:id="184"/>
      <w:bookmarkEnd w:id="185"/>
    </w:p>
    <w:p w:rsidR="00FB0C75" w:rsidRDefault="00FB0C75" w:rsidP="00FB0C75">
      <w:pPr>
        <w:pStyle w:val="FIRSTCHAPTERPAGE1"/>
      </w:pPr>
    </w:p>
    <w:p w:rsidR="00FB0C75" w:rsidRDefault="00FB0C75" w:rsidP="00FB0C75">
      <w:pPr>
        <w:pStyle w:val="FIRSTCHAPTERPAGE1"/>
      </w:pPr>
    </w:p>
    <w:p w:rsidR="00FB0C75" w:rsidRDefault="00FB0C75" w:rsidP="00FB0C75">
      <w:pPr>
        <w:pStyle w:val="FIRSTCHAPTERPAGE1"/>
      </w:pPr>
    </w:p>
    <w:p w:rsidR="00FB0C75" w:rsidRPr="00A5463E" w:rsidRDefault="00525E53" w:rsidP="00FB0C75">
      <w:pPr>
        <w:pStyle w:val="FIRSTCHAPTERPAGE1"/>
        <w:sectPr w:rsidR="00FB0C75" w:rsidRPr="00A5463E" w:rsidSect="00FB0C75">
          <w:headerReference w:type="even" r:id="rId94"/>
          <w:headerReference w:type="default" r:id="rId95"/>
          <w:footerReference w:type="even" r:id="rId96"/>
          <w:footerReference w:type="default" r:id="rId97"/>
          <w:headerReference w:type="first" r:id="rId98"/>
          <w:footerReference w:type="first" r:id="rId99"/>
          <w:pgSz w:w="11906" w:h="16838"/>
          <w:pgMar w:top="1134" w:right="1134" w:bottom="1134" w:left="1134" w:header="709" w:footer="709" w:gutter="0"/>
          <w:cols w:space="708"/>
          <w:docGrid w:linePitch="360"/>
        </w:sectPr>
      </w:pPr>
      <w:r>
        <w:t xml:space="preserve"> </w:t>
      </w:r>
      <w:bookmarkEnd w:id="181"/>
    </w:p>
    <w:p w:rsidR="00FB0C75" w:rsidRDefault="00525E53" w:rsidP="00FB0C75">
      <w:pPr>
        <w:pStyle w:val="HEADER1Part2"/>
      </w:pPr>
      <w:bookmarkStart w:id="186" w:name="_Toc485724201"/>
      <w:bookmarkStart w:id="187" w:name="_Toc491678828"/>
      <w:bookmarkStart w:id="188" w:name="_DMBM_9086"/>
      <w:r>
        <w:t>PRINCIPES COMPTABLES ESSENTIELS</w:t>
      </w:r>
      <w:bookmarkEnd w:id="186"/>
      <w:bookmarkEnd w:id="187"/>
    </w:p>
    <w:p w:rsidR="00FB0C75" w:rsidRPr="00F9658A" w:rsidRDefault="00525E53" w:rsidP="00FB0C75">
      <w:pPr>
        <w:pStyle w:val="Textstand-alone"/>
        <w:spacing w:before="0" w:after="0"/>
        <w:sectPr w:rsidR="00FB0C75" w:rsidRPr="00F9658A" w:rsidSect="00FB0C75">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bookmarkStart w:id="189" w:name="DOC_TBL00002_1_1_0"/>
      <w:bookmarkStart w:id="190" w:name="DOC_TBL00001_1_1_0"/>
      <w:bookmarkEnd w:id="189"/>
      <w:bookmarkEnd w:id="190"/>
      <w:r>
        <w:t xml:space="preserve"> </w:t>
      </w:r>
      <w:bookmarkEnd w:id="188"/>
    </w:p>
    <w:p w:rsidR="00FB0C75" w:rsidRDefault="00525E53" w:rsidP="00FB0C75">
      <w:pPr>
        <w:pStyle w:val="HEADER2Part2"/>
      </w:pPr>
      <w:bookmarkStart w:id="191" w:name="_DMBM_8952"/>
      <w:r>
        <w:t>BASE LÉGALE ET RÈGLES COMPTABLES</w:t>
      </w:r>
    </w:p>
    <w:p w:rsidR="00FB0C75" w:rsidRPr="0083395B" w:rsidRDefault="00525E53" w:rsidP="00FB0C75">
      <w:pPr>
        <w:pStyle w:val="DGTextstand-alone"/>
      </w:pPr>
      <w:r>
        <w:t>La comptabilité de l’Union européenne est tenue conformément aux dispositions du règlement (UE, Euratom) nº </w:t>
      </w:r>
      <w:r w:rsidRPr="00031A85">
        <w:t>966</w:t>
      </w:r>
      <w:r>
        <w:t>/</w:t>
      </w:r>
      <w:r w:rsidRPr="00031A85">
        <w:t>2012</w:t>
      </w:r>
      <w:r>
        <w:t xml:space="preserve"> du Parlement européen et du Conseil du </w:t>
      </w:r>
      <w:r w:rsidRPr="00031A85">
        <w:t>25</w:t>
      </w:r>
      <w:r>
        <w:t> octobre </w:t>
      </w:r>
      <w:r w:rsidRPr="00031A85">
        <w:t>2012</w:t>
      </w:r>
      <w:r>
        <w:t xml:space="preserve"> relatif aux règles financières applicables au budget général de l’Union et abrogeant le règlement (CE, Euratom) nº </w:t>
      </w:r>
      <w:r w:rsidRPr="00031A85">
        <w:t>1605</w:t>
      </w:r>
      <w:r>
        <w:t>/</w:t>
      </w:r>
      <w:r w:rsidRPr="00031A85">
        <w:t>2002</w:t>
      </w:r>
      <w:r>
        <w:t xml:space="preserve"> du Conseil (JO L </w:t>
      </w:r>
      <w:r w:rsidRPr="00031A85">
        <w:t>298</w:t>
      </w:r>
      <w:r>
        <w:t xml:space="preserve"> du </w:t>
      </w:r>
      <w:r w:rsidRPr="00031A85">
        <w:t>26</w:t>
      </w:r>
      <w:r>
        <w:t>.</w:t>
      </w:r>
      <w:r w:rsidRPr="00031A85">
        <w:t>10</w:t>
      </w:r>
      <w:r>
        <w:t>.</w:t>
      </w:r>
      <w:r w:rsidRPr="00031A85">
        <w:t>2012</w:t>
      </w:r>
      <w:r>
        <w:t>, p. </w:t>
      </w:r>
      <w:r w:rsidRPr="00031A85">
        <w:t>1</w:t>
      </w:r>
      <w:r>
        <w:t>), ci-après le «règlement financier», et du règlement délégué (UE) nº </w:t>
      </w:r>
      <w:r w:rsidRPr="00031A85">
        <w:t>1268</w:t>
      </w:r>
      <w:r>
        <w:t>/</w:t>
      </w:r>
      <w:r w:rsidRPr="00031A85">
        <w:t>2012</w:t>
      </w:r>
      <w:r>
        <w:t xml:space="preserve"> de la Commission du </w:t>
      </w:r>
      <w:r w:rsidRPr="00031A85">
        <w:t>29</w:t>
      </w:r>
      <w:r>
        <w:t> octobre </w:t>
      </w:r>
      <w:r w:rsidRPr="00031A85">
        <w:t>2012</w:t>
      </w:r>
      <w:r>
        <w:t xml:space="preserve"> (JO L </w:t>
      </w:r>
      <w:r w:rsidRPr="00031A85">
        <w:t>362</w:t>
      </w:r>
      <w:r>
        <w:t xml:space="preserve"> du </w:t>
      </w:r>
      <w:r w:rsidRPr="00031A85">
        <w:t>31</w:t>
      </w:r>
      <w:r>
        <w:t>.</w:t>
      </w:r>
      <w:r w:rsidRPr="00031A85">
        <w:t>12</w:t>
      </w:r>
      <w:r>
        <w:t>.</w:t>
      </w:r>
      <w:r w:rsidRPr="00031A85">
        <w:t>2012</w:t>
      </w:r>
      <w:r>
        <w:t>, p. </w:t>
      </w:r>
      <w:r w:rsidRPr="00031A85">
        <w:t>1</w:t>
      </w:r>
      <w:r>
        <w:t>) relatif aux règles d’application dudit règlement financier.</w:t>
      </w:r>
    </w:p>
    <w:p w:rsidR="00FB0C75" w:rsidRDefault="00525E53" w:rsidP="00FB0C75">
      <w:pPr>
        <w:pStyle w:val="DGTextstand-alone"/>
      </w:pPr>
      <w:r>
        <w:t xml:space="preserve">En vertu de l’article </w:t>
      </w:r>
      <w:r w:rsidRPr="00031A85">
        <w:t>143</w:t>
      </w:r>
      <w:r>
        <w:t xml:space="preserve"> du règlement financier, l’Union européenne prépare ses états financiers selon les règles de comptabilité d’exercice inspirées des normes comptables admises au niveau international pour le secteur public (IPSAS). Ces normes comptables, adoptées par le comptable de la Commission, doivent être appliquées par l’ensemble des institutions et organes de l’UE rentrant dans le périmètre de consolidation afin de disposer d’un jeu uniforme de règles de comptabilisation, de valorisation et de présentation des comptes propre à assurer l’harmonisation du processus d’établissement des états financiers et de consolidation.</w:t>
      </w:r>
    </w:p>
    <w:p w:rsidR="00342FE4" w:rsidRDefault="00342FE4" w:rsidP="00FB0C75">
      <w:pPr>
        <w:pStyle w:val="DGTextstand-alone"/>
      </w:pPr>
    </w:p>
    <w:p w:rsidR="00FB0C75" w:rsidRPr="003B6C5C" w:rsidRDefault="00525E53" w:rsidP="00FB0C75">
      <w:pPr>
        <w:pStyle w:val="HEADER2Part2"/>
      </w:pPr>
      <w:r>
        <w:t>PRINCIPES COMPTABLES</w:t>
      </w:r>
    </w:p>
    <w:p w:rsidR="00FB0C75" w:rsidRDefault="00525E53" w:rsidP="00FB0C75">
      <w:pPr>
        <w:pStyle w:val="DGTextstand-alone"/>
      </w:pPr>
      <w:r>
        <w:t xml:space="preserve">Les états financiers ont pour objectif de fournir des informations sur la situation financière, le résultat et les flux de trésorerie d’une entité utiles à tout un éventail d’utilisateurs. Pour l’UE en tant que secteur public, les objectifs sont plus spécifiquement de procurer des informations servant à la prise de décisions et de permettre à l’entité de rendre des comptes quant à l’utilisation des ressources placées sous sa responsabilité. C’est dans ce cadre qu’est établi le présent document. </w:t>
      </w:r>
    </w:p>
    <w:p w:rsidR="00FB0C75" w:rsidRDefault="00525E53" w:rsidP="00FB0C75">
      <w:pPr>
        <w:pStyle w:val="DGTextstand-alone"/>
      </w:pPr>
      <w:r>
        <w:t>Les considérations générales (principes comptables) à suivre lors de l'élaboration des états financiers sont exposées dans la règle comptable </w:t>
      </w:r>
      <w:r w:rsidRPr="00031A85">
        <w:t>1</w:t>
      </w:r>
      <w:r>
        <w:t xml:space="preserve"> de l’UE «</w:t>
      </w:r>
      <w:r>
        <w:rPr>
          <w:i/>
        </w:rPr>
        <w:t>Financial Statements</w:t>
      </w:r>
      <w:r>
        <w:t>» (États financiers) et sont identiques à celles décrites dans IPSAS </w:t>
      </w:r>
      <w:r w:rsidRPr="00031A85">
        <w:t>1</w:t>
      </w:r>
      <w:r>
        <w:t xml:space="preserve">: image fidèle, comptabilité d’exercice, continuité d'activité, cohérence de la présentation, importance relative, regroupement, compensation et comparabilité des informations. Les caractéristiques qualitatives du rapport financier selon l’article </w:t>
      </w:r>
      <w:r w:rsidRPr="00031A85">
        <w:t>144</w:t>
      </w:r>
      <w:r>
        <w:t xml:space="preserve"> du règlement financier sont la pertinence, la fiabilité, la clarté et la comparabilité.</w:t>
      </w:r>
    </w:p>
    <w:p w:rsidR="00342FE4" w:rsidRDefault="00342FE4" w:rsidP="00FB0C75">
      <w:pPr>
        <w:pStyle w:val="DGTextstand-alone"/>
      </w:pPr>
    </w:p>
    <w:p w:rsidR="00FB0C75" w:rsidRPr="003B6C5C" w:rsidRDefault="00525E53" w:rsidP="00FB0C75">
      <w:pPr>
        <w:pStyle w:val="HEADER2Part2"/>
      </w:pPr>
      <w:r>
        <w:t>CONSOLIDATION</w:t>
      </w:r>
    </w:p>
    <w:p w:rsidR="00BD1908" w:rsidRDefault="00BD1908" w:rsidP="00FB0C75">
      <w:pPr>
        <w:pStyle w:val="HEADER5"/>
        <w:rPr>
          <w:b w:val="0"/>
        </w:rPr>
      </w:pPr>
    </w:p>
    <w:p w:rsidR="00FB0C75" w:rsidRPr="00677A47" w:rsidRDefault="00525E53" w:rsidP="00FB0C75">
      <w:pPr>
        <w:pStyle w:val="HEADER5"/>
        <w:rPr>
          <w:b w:val="0"/>
        </w:rPr>
      </w:pPr>
      <w:r>
        <w:rPr>
          <w:b w:val="0"/>
        </w:rPr>
        <w:t>Périmètre de consolidation</w:t>
      </w:r>
    </w:p>
    <w:p w:rsidR="00FB0C75" w:rsidRPr="007977BB" w:rsidRDefault="00525E53" w:rsidP="00FB0C75">
      <w:pPr>
        <w:pStyle w:val="DGTextstand-alone"/>
        <w:rPr>
          <w:noProof w:val="0"/>
        </w:rPr>
      </w:pPr>
      <w:r>
        <w:t>Les états financiers consolidés de l’UE englobent l’ensemble des grandes entités contrôlées (à savoir les institutions de l’UE, dont la Commission, et les agences de l’UE), entités associées et coentreprises. La liste exhaustive des entités consolidées figure dans la note </w:t>
      </w:r>
      <w:r w:rsidRPr="00031A85">
        <w:rPr>
          <w:b/>
        </w:rPr>
        <w:t>9</w:t>
      </w:r>
      <w:r>
        <w:t xml:space="preserve"> des états financiers de l’UE. Elle comprend désormais </w:t>
      </w:r>
      <w:r w:rsidRPr="00031A85">
        <w:t>52</w:t>
      </w:r>
      <w:r>
        <w:t xml:space="preserve"> entités contrôlées et </w:t>
      </w:r>
      <w:r w:rsidRPr="00031A85">
        <w:t>1</w:t>
      </w:r>
      <w:r>
        <w:t> entité associée. Les entités qui relèvent du périmètre de consolidation mais qui ne sont pas significatives pour les états financiers consolidés de l’UE dans leur ensemble ne doivent être ni consolidées ni comptabilisées au moyen de la méthode de la mise en équivalence lorsque cela entraînerait une perte excessive de temps ou d’argent pour l’UE. Ces entités sont désignées sous le nom d’«entités mineures» et sont répertoriées séparément à la note </w:t>
      </w:r>
      <w:r w:rsidRPr="00031A85">
        <w:rPr>
          <w:b/>
          <w:noProof w:val="0"/>
        </w:rPr>
        <w:t>9</w:t>
      </w:r>
      <w:r>
        <w:t xml:space="preserve">. En </w:t>
      </w:r>
      <w:r w:rsidRPr="00031A85">
        <w:t>2016</w:t>
      </w:r>
      <w:r>
        <w:t xml:space="preserve">, </w:t>
      </w:r>
      <w:r w:rsidRPr="00031A85">
        <w:t>7</w:t>
      </w:r>
      <w:r>
        <w:t> entités ont été classées comme entités mineures.</w:t>
      </w:r>
    </w:p>
    <w:p w:rsidR="00FB0C75" w:rsidRPr="00677A47" w:rsidRDefault="00525E53" w:rsidP="00FB0C75">
      <w:pPr>
        <w:pStyle w:val="HEADER5"/>
        <w:rPr>
          <w:b w:val="0"/>
        </w:rPr>
      </w:pPr>
      <w:r>
        <w:rPr>
          <w:b w:val="0"/>
        </w:rPr>
        <w:t>Entités contrôlées</w:t>
      </w:r>
    </w:p>
    <w:p w:rsidR="00FB0C75" w:rsidRDefault="00525E53" w:rsidP="00FB0C75">
      <w:pPr>
        <w:pStyle w:val="DGTextstand-alone"/>
      </w:pPr>
      <w:r>
        <w:t>La décision d’intégrer une entité dans le périmètre de consolidation est fondée sur le concept du contrôle. Les entités contrôlées sont toutes des entités pour lesquelles l’Union européenne est confrontée ou peut prétendre à des avantages variables de son engagement et peut modifier la nature ou la quantité de ces avantages grâce au pouvoir dont elle dispose sur l’autre entité. Ce pouvoir doit être actuellement exerçable et porter sur les activités pertinentes de cette entité. Les entités contrôlées sont pleinement consolidées. La consolidation débute à la date du premier contrôle et s’achève au terme desdits contrôles.</w:t>
      </w:r>
    </w:p>
    <w:p w:rsidR="00FB0C75" w:rsidRDefault="00525E53" w:rsidP="00FB0C75">
      <w:pPr>
        <w:pStyle w:val="DGTextstand-alone"/>
      </w:pPr>
      <w:r>
        <w:t>Les indicateurs de contrôle les plus communs au sein de l’UE sont: la création de l’entité par des traités constitutifs ou actes de droit dérivé, le financement de l’entité par le budget de l’UE, l’existence de droits de vote au sein des organes directeurs, la vérification des comptes par la Cour des comptes européenne et la décharge par le Parlement européen. Une évaluation individuelle est effectuée au niveau de chaque entité afin de déterminer si un ou tous les critères susmentionnés suffisent à donner lieu au contrôle.</w:t>
      </w:r>
    </w:p>
    <w:p w:rsidR="00FB0C75" w:rsidRDefault="00525E53" w:rsidP="00FB0C75">
      <w:pPr>
        <w:pStyle w:val="DGTextstand-alone"/>
      </w:pPr>
      <w:r>
        <w:t xml:space="preserve">Selon cette approche, les institutions (excepté la Banque centrale européenne) et agences de l’UE (hormis les agences de l’ancien deuxième pilier) sont considérées comme étant sous le contrôle exclusif de l’UE et sont donc également incluses dans le périmètre de consolidation. Par ailleurs, la Communauté européenne du charbon et de l’acier (CECA) en liquidation est également considérée comme une entité contrôlée. </w:t>
      </w:r>
    </w:p>
    <w:p w:rsidR="00FB0C75" w:rsidRDefault="00525E53" w:rsidP="00FB0C75">
      <w:pPr>
        <w:pStyle w:val="DGTextstand-alone"/>
      </w:pPr>
      <w:r>
        <w:t>Tous les «soldes et transactions réciproques» entre entités contrôlées de l’UE sont éliminés, tandis que les gains et pertes non réalisés liés à de telles transactions, étant non significatifs, n’ont pas été éliminés.</w:t>
      </w:r>
    </w:p>
    <w:p w:rsidR="00FB0C75" w:rsidRPr="00677A47" w:rsidRDefault="00525E53" w:rsidP="00FB0C75">
      <w:pPr>
        <w:pStyle w:val="HEADER5"/>
        <w:rPr>
          <w:b w:val="0"/>
        </w:rPr>
      </w:pPr>
      <w:r>
        <w:rPr>
          <w:b w:val="0"/>
        </w:rPr>
        <w:t>Partenariats</w:t>
      </w:r>
    </w:p>
    <w:p w:rsidR="00FB0C75" w:rsidRDefault="00525E53" w:rsidP="00FB0C75">
      <w:pPr>
        <w:pStyle w:val="DGTextstand-alone"/>
      </w:pPr>
      <w:r>
        <w:t>Un partenariat est une opération sur laquelle l’UE et deux parties ou plus exercent un contrôle conjoint. Le contrôle conjoint est le partage contractuellement convenu du contrôle exercé sur une opération, qui n’existe que dans le cas où les décisions concernant les activités pertinentes requièrent le consentement unanime des parties partageant le contrôle. Un partenariat est soit une activité conjointe, soit une coentreprise. Lorsqu’un partenariat est structuré sous forme de véhicule distinct et que les parties ont des droits sur l’actif net de l’opération, ce partenariat est considéré comme une coentreprise. Les participations dans les coentreprises sont comptabilisées selon la méthode de la mise en équivalence (voir la note</w:t>
      </w:r>
      <w:r>
        <w:rPr>
          <w:b/>
        </w:rPr>
        <w:t> </w:t>
      </w:r>
      <w:r w:rsidRPr="00031A85">
        <w:rPr>
          <w:b/>
        </w:rPr>
        <w:t>1</w:t>
      </w:r>
      <w:r>
        <w:rPr>
          <w:b/>
        </w:rPr>
        <w:t>.</w:t>
      </w:r>
      <w:r w:rsidRPr="00031A85">
        <w:rPr>
          <w:b/>
        </w:rPr>
        <w:t>5</w:t>
      </w:r>
      <w:r>
        <w:rPr>
          <w:b/>
        </w:rPr>
        <w:t>.</w:t>
      </w:r>
      <w:r w:rsidRPr="00031A85">
        <w:rPr>
          <w:b/>
        </w:rPr>
        <w:t>4</w:t>
      </w:r>
      <w:r>
        <w:t>). Lorsque les parties ont des droits sur les actifs, et des obligations au titre des passifs, relatifs à l’opération, ce partenariat est considéré comme une activité conjointe. En lien avec ses intérêts dans des activités conjointes, l’UE reconnaît dans ses états financiers: ses actifs et passifs, ses recettes et dépenses ainsi que sa part des actifs, passifs, recettes et dépenses détenus ou encourus conjointement.</w:t>
      </w:r>
    </w:p>
    <w:p w:rsidR="00FB0C75" w:rsidRPr="00677A47" w:rsidRDefault="00525E53" w:rsidP="00FB0C75">
      <w:pPr>
        <w:pStyle w:val="HEADER5"/>
        <w:rPr>
          <w:b w:val="0"/>
        </w:rPr>
      </w:pPr>
      <w:r>
        <w:rPr>
          <w:b w:val="0"/>
        </w:rPr>
        <w:t>Entités associées</w:t>
      </w:r>
    </w:p>
    <w:p w:rsidR="00FB0C75" w:rsidRDefault="00525E53" w:rsidP="00FB0C75">
      <w:pPr>
        <w:pStyle w:val="DGTextstand-alone"/>
      </w:pPr>
      <w:r>
        <w:t xml:space="preserve">Les entités associées sont des entités sur lesquelles l’UE détient directement ou indirectement une influence notable, sans pouvoir de contrôle. On parle d’influence notable lorsque l’UE détient, directement ou indirectement, au moins </w:t>
      </w:r>
      <w:r w:rsidRPr="00031A85">
        <w:t>20</w:t>
      </w:r>
      <w:r>
        <w:t> % des droits de vote. Les participations dans les coentreprises sont comptabilisées selon la méthode de la mise en équivalence (voir la note</w:t>
      </w:r>
      <w:r>
        <w:rPr>
          <w:b/>
        </w:rPr>
        <w:t> </w:t>
      </w:r>
      <w:r w:rsidRPr="00031A85">
        <w:rPr>
          <w:b/>
        </w:rPr>
        <w:t>1</w:t>
      </w:r>
      <w:r>
        <w:rPr>
          <w:b/>
        </w:rPr>
        <w:t>.</w:t>
      </w:r>
      <w:r w:rsidRPr="00031A85">
        <w:rPr>
          <w:b/>
        </w:rPr>
        <w:t>5</w:t>
      </w:r>
      <w:r>
        <w:rPr>
          <w:b/>
        </w:rPr>
        <w:t>.</w:t>
      </w:r>
      <w:r w:rsidRPr="00031A85">
        <w:rPr>
          <w:b/>
        </w:rPr>
        <w:t>4</w:t>
      </w:r>
      <w:r>
        <w:t>).</w:t>
      </w:r>
    </w:p>
    <w:p w:rsidR="00FB0C75" w:rsidRPr="00677A47" w:rsidRDefault="00525E53" w:rsidP="00FB0C75">
      <w:pPr>
        <w:pStyle w:val="HEADER5"/>
        <w:rPr>
          <w:b w:val="0"/>
        </w:rPr>
      </w:pPr>
      <w:r>
        <w:rPr>
          <w:b w:val="0"/>
        </w:rPr>
        <w:t>Entités non consolidées dont les fonds sont gérés par la Commission</w:t>
      </w:r>
    </w:p>
    <w:p w:rsidR="00FB0C75" w:rsidRDefault="00525E53" w:rsidP="00FB0C75">
      <w:pPr>
        <w:pStyle w:val="DGTextstand-alone"/>
      </w:pPr>
      <w:r>
        <w:t>Le fonds du régime commun d’assurance-maladie pour le personnel de l’UE, le Fonds européen de développement et le Fonds de garantie des participants sont gérés par la Commission en leur nom. Cependant, puisque ces entités ne sont pas contrôlées par l’UE, elles ne sont pas consolidées dans ses états financiers.</w:t>
      </w:r>
    </w:p>
    <w:p w:rsidR="00342FE4" w:rsidRDefault="00342FE4" w:rsidP="00FB0C75">
      <w:pPr>
        <w:pStyle w:val="DGTextstand-alone"/>
      </w:pPr>
    </w:p>
    <w:p w:rsidR="00FB0C75" w:rsidRPr="003B6C5C" w:rsidRDefault="00525E53" w:rsidP="00FB0C75">
      <w:pPr>
        <w:pStyle w:val="HEADER2Part2"/>
      </w:pPr>
      <w:r>
        <w:t>BASE DE PRÉPARATION</w:t>
      </w:r>
    </w:p>
    <w:p w:rsidR="00FB0C75" w:rsidRDefault="00525E53" w:rsidP="00FB0C75">
      <w:pPr>
        <w:pStyle w:val="DGTextstand-alone"/>
      </w:pPr>
      <w:r>
        <w:t xml:space="preserve">Les états financiers sont présentés chaque année. L’exercice financier débute le </w:t>
      </w:r>
      <w:r w:rsidRPr="00031A85">
        <w:t>1</w:t>
      </w:r>
      <w:r>
        <w:rPr>
          <w:vertAlign w:val="superscript"/>
        </w:rPr>
        <w:t>er</w:t>
      </w:r>
      <w:r>
        <w:t xml:space="preserve"> janvier et se termine le </w:t>
      </w:r>
      <w:r w:rsidRPr="00031A85">
        <w:t>31</w:t>
      </w:r>
      <w:r>
        <w:t> décembre.</w:t>
      </w:r>
    </w:p>
    <w:p w:rsidR="00FB0C75" w:rsidRPr="005D15F9" w:rsidRDefault="00525E53" w:rsidP="00FB0C75">
      <w:pPr>
        <w:pStyle w:val="HEADER3Part2"/>
      </w:pPr>
      <w:r>
        <w:t>Monnaies et base de conversion</w:t>
      </w:r>
    </w:p>
    <w:p w:rsidR="00FB0C75" w:rsidRPr="00677A47" w:rsidRDefault="00525E53" w:rsidP="00FB0C75">
      <w:pPr>
        <w:pStyle w:val="HEADER5"/>
        <w:rPr>
          <w:b w:val="0"/>
        </w:rPr>
      </w:pPr>
      <w:r>
        <w:rPr>
          <w:b w:val="0"/>
        </w:rPr>
        <w:t>Monnaie fonctionnelle et de présentation</w:t>
      </w:r>
    </w:p>
    <w:p w:rsidR="00FB0C75" w:rsidRDefault="00525E53" w:rsidP="00FB0C75">
      <w:pPr>
        <w:pStyle w:val="DGTextstand-alone"/>
      </w:pPr>
      <w:r>
        <w:t>Sauf indication contraire, les états financiers sont présentés en millions d’euros, l’euro étant la monnaie fonctionnelle et de présentation de l’UE.</w:t>
      </w:r>
    </w:p>
    <w:p w:rsidR="00FB0C75" w:rsidRPr="00677A47" w:rsidRDefault="00525E53" w:rsidP="00FB0C75">
      <w:pPr>
        <w:pStyle w:val="HEADER5"/>
        <w:rPr>
          <w:b w:val="0"/>
        </w:rPr>
      </w:pPr>
      <w:r>
        <w:rPr>
          <w:b w:val="0"/>
        </w:rPr>
        <w:t>Transactions et soldes</w:t>
      </w:r>
    </w:p>
    <w:p w:rsidR="00FB0C75" w:rsidRDefault="00525E53" w:rsidP="00FB0C75">
      <w:pPr>
        <w:pStyle w:val="DGTextstand-alone"/>
      </w:pPr>
      <w:r>
        <w:t>Les transactions en devises sont converties en euros sur la base des taux de change applicables à la date à laquelle elles sont réalisées. Les gains et pertes de change liés au règlement de transactions en devises et à la reconversion, aux taux de change de fin d’exercice, des actifs et passifs monétaires libellés en devises sont portés au compte de résultat économique. Les écarts de conversion relatifs à des instruments financiers non monétaires classés comme actifs financiers disponibles à la vente sont comptabilisés dans la réserve de juste valeur.</w:t>
      </w:r>
    </w:p>
    <w:p w:rsidR="00FB0C75" w:rsidRDefault="00525E53" w:rsidP="00FB0C75">
      <w:pPr>
        <w:pStyle w:val="DGTextstand-alone"/>
      </w:pPr>
      <w:r>
        <w:t>Des méthodes de conversion différentes s’appliquent aux immobilisations corporelles et incorporelles, qui conservent leur valeur en euros au cours en vigueur à la date de leur acquisition.</w:t>
      </w:r>
    </w:p>
    <w:p w:rsidR="00FB0C75" w:rsidRDefault="00525E53" w:rsidP="00FB0C75">
      <w:pPr>
        <w:pStyle w:val="DGTextstand-alone"/>
      </w:pPr>
      <w:r>
        <w:t xml:space="preserve">Les soldes de fin d’exercice des actifs et passifs monétaires libellés en devises étrangères sont convertis en euros sur la base des taux de change de la Banque centrale européenne (BCE) en vigueur au </w:t>
      </w:r>
      <w:r w:rsidRPr="00031A85">
        <w:t>31</w:t>
      </w:r>
      <w:r>
        <w:t> décembre:</w:t>
      </w:r>
    </w:p>
    <w:p w:rsidR="00FB0C75" w:rsidRDefault="00525E53" w:rsidP="00FB0C75">
      <w:pPr>
        <w:pStyle w:val="HEADER5"/>
        <w:rPr>
          <w:b w:val="0"/>
        </w:rPr>
      </w:pPr>
      <w:r>
        <w:rPr>
          <w:b w:val="0"/>
        </w:rPr>
        <w:t>Taux de change de l’euro:</w:t>
      </w:r>
    </w:p>
    <w:p w:rsidR="00FB0C75" w:rsidRDefault="00525E53" w:rsidP="00FB0C75">
      <w:pPr>
        <w:pStyle w:val="HEADER5"/>
        <w:rPr>
          <w:b w:val="0"/>
        </w:rPr>
      </w:pPr>
      <w:r>
        <w:rPr>
          <w:b w:val="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5B4EE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192" w:name="DOC_TBL00005_1_1"/>
            <w:bookmarkEnd w:id="192"/>
            <w:r>
              <w:t>Monnaie</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31</w:t>
            </w:r>
            <w:r>
              <w:t>.</w:t>
            </w:r>
            <w:r w:rsidRPr="00031A85">
              <w:t>12</w:t>
            </w:r>
            <w:r>
              <w:t>.</w:t>
            </w:r>
            <w:r w:rsidRPr="00031A85">
              <w:t>2016</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31</w:t>
            </w:r>
            <w:r>
              <w:t>.</w:t>
            </w:r>
            <w:r w:rsidRPr="00031A85">
              <w:t>12</w:t>
            </w:r>
            <w:r>
              <w:t>.</w:t>
            </w:r>
            <w:r w:rsidRPr="00031A85">
              <w:t>2015</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Monnaie</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31</w:t>
            </w:r>
            <w:r>
              <w:t>.</w:t>
            </w:r>
            <w:r w:rsidRPr="00031A85">
              <w:t>12</w:t>
            </w:r>
            <w:r>
              <w:t>.</w:t>
            </w:r>
            <w:r w:rsidRPr="00031A85">
              <w:t>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31</w:t>
            </w:r>
            <w:r>
              <w:t>.</w:t>
            </w:r>
            <w:r w:rsidRPr="00031A85">
              <w:t>12</w:t>
            </w:r>
            <w:r>
              <w:t>.</w:t>
            </w:r>
            <w:r w:rsidRPr="00031A85">
              <w:t>2015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w:t>
            </w:r>
            <w:r w:rsidRPr="00031A85">
              <w:t>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w:t>
            </w:r>
            <w:r>
              <w:t>,</w:t>
            </w:r>
            <w:r w:rsidRPr="00031A85">
              <w:t>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4</w:t>
            </w:r>
            <w:r>
              <w:t>,</w:t>
            </w:r>
            <w:r w:rsidRPr="00031A85">
              <w:t>4103</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w:t>
            </w:r>
            <w:r>
              <w:t>,</w:t>
            </w:r>
            <w:r w:rsidRPr="00031A85">
              <w:t>2639</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27</w:t>
            </w:r>
            <w:r>
              <w:t>,</w:t>
            </w:r>
            <w:r w:rsidRPr="00031A85">
              <w:t>0210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27</w:t>
            </w:r>
            <w:r>
              <w:t>,</w:t>
            </w:r>
            <w:r w:rsidRPr="00031A85">
              <w:t>0230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4</w:t>
            </w:r>
            <w:r>
              <w:t>,</w:t>
            </w:r>
            <w:r w:rsidRPr="00031A85">
              <w:t>5390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w:t>
            </w:r>
            <w:r>
              <w:t>,</w:t>
            </w:r>
            <w:r w:rsidRPr="00031A85">
              <w:t>5240</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7</w:t>
            </w:r>
            <w:r>
              <w:t>,</w:t>
            </w:r>
            <w:r w:rsidRPr="00031A85">
              <w:t>4344</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7</w:t>
            </w:r>
            <w:r>
              <w:t>,</w:t>
            </w:r>
            <w:r w:rsidRPr="00031A85">
              <w:t>4626</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9</w:t>
            </w:r>
            <w:r>
              <w:t>,</w:t>
            </w:r>
            <w:r w:rsidRPr="00031A85">
              <w:t>5525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9</w:t>
            </w:r>
            <w:r>
              <w:t>,</w:t>
            </w:r>
            <w:r w:rsidRPr="00031A85">
              <w:t>1895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0</w:t>
            </w:r>
            <w:r>
              <w:t>,</w:t>
            </w:r>
            <w:r w:rsidRPr="00031A85">
              <w:t>8562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0</w:t>
            </w:r>
            <w:r>
              <w:t>,</w:t>
            </w:r>
            <w:r w:rsidRPr="00031A85">
              <w:t>7340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w:t>
            </w:r>
            <w:r w:rsidRPr="00031A85">
              <w:t>0739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w:t>
            </w:r>
            <w:r>
              <w:t>,</w:t>
            </w:r>
            <w:r w:rsidRPr="00031A85">
              <w:t>0835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7</w:t>
            </w:r>
            <w:r>
              <w:t>,</w:t>
            </w:r>
            <w:r w:rsidRPr="00031A85">
              <w:t>5597</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7</w:t>
            </w:r>
            <w:r>
              <w:t>,</w:t>
            </w:r>
            <w:r w:rsidRPr="00031A85">
              <w:t>6380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123</w:t>
            </w:r>
            <w:r>
              <w:t>,</w:t>
            </w:r>
            <w:r w:rsidRPr="00031A85">
              <w:t>4000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131</w:t>
            </w:r>
            <w:r>
              <w:t>,</w:t>
            </w:r>
            <w:r w:rsidRPr="00031A85">
              <w:t>0700</w:t>
            </w:r>
          </w:p>
        </w:tc>
      </w:tr>
      <w:tr w:rsidR="005B4EE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309</w:t>
            </w:r>
            <w:r>
              <w:t>,</w:t>
            </w:r>
            <w:r w:rsidRPr="00031A85">
              <w:t>8300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315</w:t>
            </w:r>
            <w:r>
              <w:t>,</w:t>
            </w:r>
            <w:r w:rsidRPr="00031A85">
              <w:t>9800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w:t>
            </w:r>
            <w:r w:rsidRPr="00031A85">
              <w:t>0541</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w:t>
            </w:r>
            <w:r>
              <w:t>,</w:t>
            </w:r>
            <w:r w:rsidRPr="00031A85">
              <w:t>0887</w:t>
            </w:r>
          </w:p>
        </w:tc>
      </w:tr>
    </w:tbl>
    <w:p w:rsidR="00FB0C75" w:rsidRDefault="00FB0C75" w:rsidP="00FB0C75">
      <w:pPr>
        <w:pStyle w:val="HEADER5"/>
        <w:rPr>
          <w:b w:val="0"/>
        </w:rPr>
      </w:pPr>
    </w:p>
    <w:p w:rsidR="00FB0C75" w:rsidRPr="00B34731" w:rsidRDefault="00525E53" w:rsidP="00FB0C75">
      <w:pPr>
        <w:pStyle w:val="HEADER3Part2"/>
      </w:pPr>
      <w:r>
        <w:t>Utilisation d’estimations</w:t>
      </w:r>
    </w:p>
    <w:p w:rsidR="00FB0C75" w:rsidRDefault="00525E53" w:rsidP="00FB0C75">
      <w:pPr>
        <w:pStyle w:val="DGTextstand-alone"/>
      </w:pPr>
      <w:r>
        <w:t>Conformément aux IPSAS et aux principes comptables généralement admis, les états financiers incluent nécessairement des montants basés sur des estimations et des hypothèses formulées par la direction sur la base des informations les plus fiables dont elle dispose. Les principales estimations portent notamment sur le passif au titre des avantages du personnel, les provisions, les risques financiers liés aux stocks et créances, les charges à payer et produits à recevoir, les actifs et passifs éventuels, le degré de dépréciation des immobilisations corporelles et incorporelles et les montants indiqués dans les annexes relatives aux instruments financiers. Les résultats réels peuvent s’écarter de ces estimations. Les changements d’estimations sont pris en compte sur l’exercice au cours duquel ils sont connus.</w:t>
      </w:r>
    </w:p>
    <w:p w:rsidR="00342FE4" w:rsidRDefault="00342FE4" w:rsidP="00FB0C75">
      <w:pPr>
        <w:pStyle w:val="DGTextstand-alone"/>
      </w:pPr>
    </w:p>
    <w:p w:rsidR="00FB0C75" w:rsidRPr="003B6C5C" w:rsidRDefault="00525E53" w:rsidP="00FB0C75">
      <w:pPr>
        <w:pStyle w:val="HEADER2Part2"/>
      </w:pPr>
      <w:r>
        <w:t>BILAN</w:t>
      </w:r>
    </w:p>
    <w:p w:rsidR="00FB0C75" w:rsidRPr="003B6C5C" w:rsidRDefault="00525E53" w:rsidP="00FB0C75">
      <w:pPr>
        <w:pStyle w:val="HEADER3Part2"/>
      </w:pPr>
      <w:r>
        <w:t>Immobilisations incorporelles</w:t>
      </w:r>
    </w:p>
    <w:p w:rsidR="00FB0C75" w:rsidRDefault="00525E53" w:rsidP="00FB0C75">
      <w:pPr>
        <w:pStyle w:val="DGTextstand-alone"/>
      </w:pPr>
      <w:r>
        <w:t>Les licences sur logiciels informatiques sont comptabilisées au coût historique, diminué des amortissements et pertes de valeurs cumulés. Ces actifs sont amortis linéairement sur leur durée de vie utile estimée (</w:t>
      </w:r>
      <w:r w:rsidRPr="00031A85">
        <w:t>3</w:t>
      </w:r>
      <w:r>
        <w:t xml:space="preserve"> à </w:t>
      </w:r>
      <w:r w:rsidRPr="00031A85">
        <w:t>11</w:t>
      </w:r>
      <w:r>
        <w:t> ans). Celle-ci dépend de leur durée de vie économique spécifique ou de leur durée de vie légale déterminée par un accord. Les immobilisations incorporelles développées au niveau interne sont capitalisées lorsque les critères pertinents des règles comptables de l’UE sont remplis et ne concernent que la phase de développement de l’actif. Les coûts capitalisables comprennent tous les coûts directement imputables qui sont nécessaires pour créer, produire et préparer l’immobilisation afin qu’elle puisse être exploitée de la manière prévue par la direction. Les coûts associés aux activités de recherche, les coûts de développement non capitalisables et les coûts d’entretien sont passés en charges à mesure qu’ils sont encourus.</w:t>
      </w:r>
      <w:r>
        <w:tab/>
      </w:r>
    </w:p>
    <w:p w:rsidR="00FB0C75" w:rsidRPr="00B34731" w:rsidRDefault="00525E53" w:rsidP="00FB0C75">
      <w:pPr>
        <w:pStyle w:val="HEADER3Part2"/>
      </w:pPr>
      <w:r>
        <w:t>Immobilisations corporelles</w:t>
      </w:r>
    </w:p>
    <w:p w:rsidR="00FB0C75" w:rsidRDefault="00525E53" w:rsidP="00FB0C75">
      <w:pPr>
        <w:pStyle w:val="DGTextstand-alone"/>
      </w:pPr>
      <w:r>
        <w:t>Toutes les immobilisations corporelles sont comptabilisées au coût historique diminué des amortissements et des pertes de valeur. Le coût comprend toute dépense directement imputable à l’acquisition, la construction ou la cession d’une immobilisation.</w:t>
      </w:r>
    </w:p>
    <w:p w:rsidR="00FB0C75" w:rsidRDefault="00525E53" w:rsidP="00FB0C75">
      <w:pPr>
        <w:pStyle w:val="DGTextstand-alone"/>
      </w:pPr>
      <w:r>
        <w:t>Les coûts ultérieurs sont inclus dans la valeur comptable de l’actif ou comptabilisés comme un actif distinct le cas échéant, uniquement s’il est probable que les avantages économiques ou le potentiel de service futur(s) associé(s) à cet actif iront à l’UE et si le coût de cet actif peut être évalué de façon fiable. Les coûts de réparation et d’entretien sont portés au compte de résultat économique de l’exercice au cours duquel ils sont encourus.</w:t>
      </w:r>
    </w:p>
    <w:p w:rsidR="00FB0C75" w:rsidRDefault="00525E53" w:rsidP="00FB0C75">
      <w:pPr>
        <w:pStyle w:val="DGTextstand-alone"/>
      </w:pPr>
      <w:r>
        <w:t>Les terrains et les œuvres d’art ne sont pas amortis, leur durée d’utilité étant considérée comme indéfinie. Les immobilisations en cours ne sont pas amorties, puisqu’elles ne sont pas encore disponibles pour utilisation. L’amortissement des autres actifs est calculé selon la méthode linéaire, de manière à imputer leur coût diminué de leur valeur résiduelle sur leur durée de vie utile estimée, comme suit: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5B4EEC">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193" w:name="DOC_TBL00006_1_1"/>
            <w:bookmarkEnd w:id="193"/>
            <w:r>
              <w:t>Catégorie d’actif</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Taux d’amortissement linéaire</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Bâtiments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4</w:t>
            </w:r>
            <w:r>
              <w:t xml:space="preserve"> % à </w:t>
            </w:r>
            <w:r w:rsidRPr="00031A85">
              <w:t>10</w:t>
            </w:r>
            <w:r>
              <w:t>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Actifs spatiaux</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8</w:t>
            </w:r>
            <w:r>
              <w:t xml:space="preserve"> % à </w:t>
            </w:r>
            <w:r w:rsidRPr="00031A85">
              <w:t>20</w:t>
            </w:r>
            <w:r>
              <w:t>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Installations de production</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10</w:t>
            </w:r>
            <w:r>
              <w:t xml:space="preserve"> % à </w:t>
            </w:r>
            <w:r w:rsidRPr="00031A85">
              <w:t>25</w:t>
            </w:r>
            <w:r>
              <w:t xml:space="preserve">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Mobilier et véhicules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10</w:t>
            </w:r>
            <w:r>
              <w:t xml:space="preserve"> % à </w:t>
            </w:r>
            <w:r w:rsidRPr="00031A85">
              <w:t>25</w:t>
            </w:r>
            <w:r>
              <w:t xml:space="preserve">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Matériel informatique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25</w:t>
            </w:r>
            <w:r>
              <w:t xml:space="preserve"> % à </w:t>
            </w:r>
            <w:r w:rsidRPr="00031A85">
              <w:t>33</w:t>
            </w:r>
            <w:r>
              <w:t> %</w:t>
            </w:r>
          </w:p>
        </w:tc>
      </w:tr>
      <w:tr w:rsidR="005B4EEC">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Autres</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rsidRPr="00031A85">
              <w:t>10</w:t>
            </w:r>
            <w:r>
              <w:t xml:space="preserve"> % à </w:t>
            </w:r>
            <w:r w:rsidRPr="00031A85">
              <w:t>33</w:t>
            </w:r>
            <w:r>
              <w:t> %</w:t>
            </w:r>
          </w:p>
        </w:tc>
      </w:tr>
    </w:tbl>
    <w:p w:rsidR="00FB0C75" w:rsidRDefault="00525E53" w:rsidP="00FB0C75">
      <w:pPr>
        <w:pStyle w:val="DGTextstand-alone"/>
      </w:pPr>
      <w:r>
        <w:t>Les plus-values et moins-values de cession sont déterminées en comparant le produit de la cession diminué des frais de cession à la valeur comptable du bien et sont incluses dans le compte de résultat économique.</w:t>
      </w:r>
    </w:p>
    <w:p w:rsidR="00FB0C75" w:rsidRPr="00677A47" w:rsidRDefault="00525E53" w:rsidP="00FB0C75">
      <w:pPr>
        <w:pStyle w:val="HEADER5"/>
        <w:keepNext/>
        <w:rPr>
          <w:b w:val="0"/>
        </w:rPr>
      </w:pPr>
      <w:r>
        <w:rPr>
          <w:b w:val="0"/>
        </w:rPr>
        <w:t>Contrats de location</w:t>
      </w:r>
    </w:p>
    <w:p w:rsidR="00FB0C75" w:rsidRDefault="00525E53" w:rsidP="00FB0C75">
      <w:pPr>
        <w:pStyle w:val="DGTextstand-alone"/>
      </w:pPr>
      <w:r>
        <w:t>Les contrats de location d’immobilisations corporelles dans le cadre desquels la quasi-totalité des risques et avantages inhérents à la propriété incombe à l’UE sont classés comme contrats de location-financement. Les contrats de location-financement sont inscrits à l’actif du bilan dès le commencement de la location, à la plus faible des deux valeurs suivantes: la juste valeur de l’actif loué ou la valeur actualisée des paiements minimaux au titre de la location. La partie d’intérêts des paiements au titre de la location-financement est comptabilisée en charges sur la durée du contrat de location à un taux constant par rapport au solde restant dû. Les obligations locatives, nettes de charges financières, sont comptabilisées aux passifs financiers (courants et non courants). La partie d’intérêts de la charge financière est portée au compte de résultat économique sur la période de location de manière à obtenir un taux d’intérêt périodique constant sur le solde restant dû au passif au titre de chaque période. Les actifs détenus dans le cadre de contrats de location-financement sont amortis sur la plus courte des deux durées suivantes: la durée du contrat de location ou la durée de vie utile.</w:t>
      </w:r>
    </w:p>
    <w:p w:rsidR="00FB0C75" w:rsidRDefault="00525E53" w:rsidP="00FB0C75">
      <w:pPr>
        <w:pStyle w:val="DGTextstand-alone"/>
      </w:pPr>
      <w:r>
        <w:t>Les contrats de location dans le cadre desquels une part importante des risques et avantages inhérents à la propriété incombe au bailleur sont considérés comme des contrats de location simple. Les paiements au titre de contrats de location simple sont comptabilisés en charges dans le compte de résultat économique et répartis linéairement sur toute la durée du contrat de location.</w:t>
      </w:r>
    </w:p>
    <w:p w:rsidR="00FB0C75" w:rsidRPr="00B34731" w:rsidRDefault="00525E53" w:rsidP="00FB0C75">
      <w:pPr>
        <w:pStyle w:val="HEADER3Part2"/>
      </w:pPr>
      <w:r>
        <w:t>Dépréciation d’actifs non financiers</w:t>
      </w:r>
    </w:p>
    <w:p w:rsidR="00FB0C75" w:rsidRDefault="00525E53" w:rsidP="00FB0C75">
      <w:pPr>
        <w:pStyle w:val="DGTextstand-alone"/>
      </w:pPr>
      <w:r>
        <w:t>Les actifs qui ont une durée d’utilité indéfinie ne font pas l’objet d’un amortissement/une dépréciation et subissent chaque année un test de dépréciation. Les actifs faisant l’objet d’un amortissement/une dépréciation sont soumis à un test de dépréciation chaque fois qu’un événement ou un changement de circonstances donne à penser que la valeur comptable pourrait ne pas être recouvrable. Une perte de valeur est comptabilisée à raison de l’excédent de la valeur comptable d’un actif sur sa valeur (de service) recouvrable. La valeur (de service) recouvrable est la plus élevée de la juste valeur de l’actif, diminuée des frais de vente, et de sa valeur d’utilité.</w:t>
      </w:r>
    </w:p>
    <w:p w:rsidR="00FB0C75" w:rsidRDefault="00525E53" w:rsidP="00FB0C75">
      <w:pPr>
        <w:pStyle w:val="DGTextstand-alone"/>
      </w:pPr>
      <w:r>
        <w:t>Les valeurs résiduelles des immobilisations incorporelles et des immobilisations corporelles et leur durée de vie utile sont examinées et ajustées au besoin au minimum une fois par an. Si la valeur (de service) recouvrable estimée d’un actif est inférieure à sa valeur comptable, la valeur comptable de l’actif doit être ramenée immédiatement à sa valeur (de service) recouvrable. Si les raisons justifiant les pertes de valeur comptabilisées lors des précédents exercices ne s’appliquent plus, ces pertes de valeur sont alors reprises en conséquence.</w:t>
      </w:r>
    </w:p>
    <w:p w:rsidR="00FB0C75" w:rsidRPr="00B34731" w:rsidRDefault="00525E53" w:rsidP="00FB0C75">
      <w:pPr>
        <w:pStyle w:val="HEADER3Part2"/>
      </w:pPr>
      <w:r>
        <w:t>Investissements comptabilisés selon la méthode de la mise en équivalence</w:t>
      </w:r>
    </w:p>
    <w:p w:rsidR="00FB0C75" w:rsidRPr="00677A47" w:rsidRDefault="00525E53" w:rsidP="00FB0C75">
      <w:pPr>
        <w:pStyle w:val="HEADER5"/>
        <w:rPr>
          <w:b w:val="0"/>
        </w:rPr>
      </w:pPr>
      <w:r>
        <w:rPr>
          <w:b w:val="0"/>
        </w:rPr>
        <w:t>Participations dans des entités associées et coentreprises</w:t>
      </w:r>
    </w:p>
    <w:p w:rsidR="00FB0C75" w:rsidRPr="007977BB" w:rsidRDefault="00525E53" w:rsidP="00FB0C75">
      <w:pPr>
        <w:pStyle w:val="DGTextstand-alone"/>
        <w:rPr>
          <w:noProof w:val="0"/>
        </w:rPr>
      </w:pPr>
      <w:r>
        <w:t>Les investissements comptabilisés selon la méthode de la mise en équivalence sont initialement comptabilisés à leur coût. La quote-part de l’UE dans ces investissements est comptabilisée dans le compte de résultat économique et sa quote-part dans les variations des réserves est comptabilisée dans la réserve de juste valeur en actifs nets. Le coût initial augmenté de tous les mouvements (contributions supplémentaires, part de résultats économiques et variations de la réserve, pertes de valeur et dividendes) donne la valeur comptable de l’investissement dans les états financiers de l’UE à la date de clôture du bilan. Les distributions reçues de l’investissement réduisent la valeur comptable de l’actif.</w:t>
      </w:r>
    </w:p>
    <w:p w:rsidR="00FB0C75" w:rsidRPr="007977BB" w:rsidRDefault="00525E53" w:rsidP="00FB0C75">
      <w:pPr>
        <w:pStyle w:val="DGTextstand-alone"/>
        <w:rPr>
          <w:noProof w:val="0"/>
        </w:rPr>
      </w:pPr>
      <w:r>
        <w:t>Si la quote-part de l’UE dans les déficits d’un investissement comptabilisé à l’aide de la méthode de la mise en équivalence est égale ou supérieure à sa participation dans celui-ci, l’Union cesse de comptabiliser sa quote-part dans les pertes ultérieures («pertes non comptabilisées»). Lorsque la quote-part de l’UE est ramenée à zéro, les pertes supplémentaires font l'objet d'une provision, et un passif est comptabilisé, mais seulement dans la mesure où l’Union a contracté une obligation légale ou implicite ou effectué des paiements au nom de l’entité.</w:t>
      </w:r>
    </w:p>
    <w:p w:rsidR="00FB0C75" w:rsidRPr="007977BB" w:rsidRDefault="00525E53" w:rsidP="00FB0C75">
      <w:pPr>
        <w:pStyle w:val="DGTextstand-alone"/>
        <w:rPr>
          <w:noProof w:val="0"/>
        </w:rPr>
      </w:pPr>
      <w:r>
        <w:t>S’il y a des indices de dépréciation, les valeurs sont, le cas échéant, réduites à la valeur recouvrable inférieure. La valeur recouvrable est définie conformément à la description fournie dans la note </w:t>
      </w:r>
      <w:r w:rsidRPr="00031A85">
        <w:rPr>
          <w:b/>
          <w:noProof w:val="0"/>
        </w:rPr>
        <w:t>1</w:t>
      </w:r>
      <w:r>
        <w:rPr>
          <w:b/>
          <w:noProof w:val="0"/>
        </w:rPr>
        <w:t>.</w:t>
      </w:r>
      <w:r w:rsidRPr="00031A85">
        <w:rPr>
          <w:b/>
          <w:noProof w:val="0"/>
        </w:rPr>
        <w:t>5</w:t>
      </w:r>
      <w:r>
        <w:rPr>
          <w:b/>
          <w:noProof w:val="0"/>
        </w:rPr>
        <w:t>.</w:t>
      </w:r>
      <w:r w:rsidRPr="00031A85">
        <w:rPr>
          <w:b/>
          <w:noProof w:val="0"/>
        </w:rPr>
        <w:t>3</w:t>
      </w:r>
      <w:r>
        <w:t>. Si la raison expliquant les pertes de valeur cesse de s’appliquer à une date ultérieure, la perte de valeur est reprise sur la valeur comptable qui aurait été déterminée si aucune perte de valeur n’avait été comptabilisée.</w:t>
      </w:r>
    </w:p>
    <w:p w:rsidR="00FB0C75" w:rsidRPr="007977BB" w:rsidRDefault="00525E53" w:rsidP="00FB0C75">
      <w:pPr>
        <w:pStyle w:val="DGTextstand-alone"/>
        <w:rPr>
          <w:noProof w:val="0"/>
        </w:rPr>
      </w:pPr>
      <w:r>
        <w:t xml:space="preserve">Lorsque l’UE détient </w:t>
      </w:r>
      <w:r w:rsidRPr="00031A85">
        <w:t>20</w:t>
      </w:r>
      <w:r>
        <w:t> % ou plus d’un fonds de capital-risque, elle ne cherche pas à exercer une influence notable. Ces fonds sont donc considérés comme des instruments financiers et classés comme étant disponibles à la vente.</w:t>
      </w:r>
    </w:p>
    <w:p w:rsidR="00FB0C75" w:rsidRDefault="00525E53" w:rsidP="00FB0C75">
      <w:pPr>
        <w:pStyle w:val="DGTextstand-alone"/>
      </w:pPr>
      <w:r>
        <w:t xml:space="preserve">Les entités associées et coentreprises classées comme entités mineures ne sont pas comptabilisées selon la méthode de la mise en équivalence. Les contributions de l’UE à ces entités sont comptabilisées en charges de l’exercice. </w:t>
      </w:r>
    </w:p>
    <w:p w:rsidR="00FB0C75" w:rsidRPr="00B34731" w:rsidRDefault="00525E53" w:rsidP="00FB0C75">
      <w:pPr>
        <w:pStyle w:val="HEADER3Part2"/>
      </w:pPr>
      <w:r>
        <w:t>Actifs financiers</w:t>
      </w:r>
    </w:p>
    <w:p w:rsidR="00FB0C75" w:rsidRPr="00677A47" w:rsidRDefault="00525E53" w:rsidP="00FB0C75">
      <w:pPr>
        <w:pStyle w:val="HEADER5"/>
        <w:rPr>
          <w:b w:val="0"/>
        </w:rPr>
      </w:pPr>
      <w:r>
        <w:rPr>
          <w:b w:val="0"/>
        </w:rPr>
        <w:t>Classement</w:t>
      </w:r>
    </w:p>
    <w:p w:rsidR="00FB0C75" w:rsidRDefault="00525E53" w:rsidP="00FB0C75">
      <w:pPr>
        <w:pStyle w:val="DGTextstand-alone"/>
      </w:pPr>
      <w:r>
        <w:t>L’UE classe ses actifs financiers dans les catégories suivantes: les actifs financiers à la juste valeur par le biais de l’excédent ou du déficit les prêts et créances, les placements détenus jusqu’à leur échéance et les actifs financiers disponibles à la vente. Ce classement est déterminé lors de la comptabilisation initiale et réexaminé à chaque clôture du bilan.</w:t>
      </w:r>
    </w:p>
    <w:p w:rsidR="00FB0C75" w:rsidRPr="0002508E" w:rsidRDefault="00525E53" w:rsidP="00FB0C75">
      <w:pPr>
        <w:pStyle w:val="TextSubtitlenumberingRCItalic"/>
      </w:pPr>
      <w:r>
        <w:t>Actifs financiers à la juste valeur par le biais de l’excédent ou du déficit</w:t>
      </w:r>
    </w:p>
    <w:p w:rsidR="00FB0C75" w:rsidRDefault="00525E53" w:rsidP="00FB0C75">
      <w:pPr>
        <w:pStyle w:val="DGTextstand-alone"/>
      </w:pPr>
      <w:r>
        <w:t>Un actif financier est classé dans cette catégorie s’il a été acquis principalement en vue d’être revendu à court terme ou s’il a été désigné par l’UE comme devant appartenir à cette catégorie. Les dérivés sont également repris dans cette catégorie. Ces actifs sont inscrits au bilan sous la rubrique «actifs courants» s’ils sont destinés à être cédés dans les douze mois qui suivent la date de clôture.</w:t>
      </w:r>
    </w:p>
    <w:p w:rsidR="00FB0C75" w:rsidRDefault="00525E53" w:rsidP="00FB0C75">
      <w:pPr>
        <w:pStyle w:val="TextSubtitlenumberingRCItalic"/>
      </w:pPr>
      <w:r>
        <w:t>Prêts et créances</w:t>
      </w:r>
    </w:p>
    <w:p w:rsidR="00FB0C75" w:rsidRDefault="00525E53" w:rsidP="00FB0C75">
      <w:pPr>
        <w:pStyle w:val="DGTextstand-alone"/>
      </w:pPr>
      <w:r>
        <w:t xml:space="preserve">Les prêts et créances sont des actifs financiers non dérivés assortis de paiements fixes ou déterminables qui ne sont pas cotés sur un marché actif. Ils sont générés lorsque l’UE fournit directement des biens et des services ou accorde directement un prêt à un débiteur sans intention d’utiliser la créance à des fins de transactions, ou dans le cas où l’UE est subrogée dans les droits du prêteur initial à la suite d’un paiement effectué par elle au titre d’un contrat de garantie. Les paiements arrivant à échéance dans les </w:t>
      </w:r>
      <w:r w:rsidRPr="00031A85">
        <w:t>12</w:t>
      </w:r>
      <w:r>
        <w:t xml:space="preserve"> mois suivant la date de clôture sont inscrits au bilan sous «actifs courants». Les paiements dont l’échéance est supérieure à </w:t>
      </w:r>
      <w:r w:rsidRPr="00031A85">
        <w:t>12</w:t>
      </w:r>
      <w:r>
        <w:t> mois suivant la date de clôture sont inscrits au bilan sous «actifs non courants». Les prêts et créances comprennent les dépôts à terme dont l’échéance initiale est supérieure à trois mois.</w:t>
      </w:r>
    </w:p>
    <w:p w:rsidR="00FB0C75" w:rsidRDefault="00525E53" w:rsidP="00FB0C75">
      <w:pPr>
        <w:pStyle w:val="TextSubtitlenumberingRCItalic"/>
      </w:pPr>
      <w:r>
        <w:t>Placements détenus jusqu’à leur échéance</w:t>
      </w:r>
    </w:p>
    <w:p w:rsidR="00FB0C75" w:rsidRDefault="00525E53" w:rsidP="00FB0C75">
      <w:pPr>
        <w:pStyle w:val="DGTextstand-alone"/>
      </w:pPr>
      <w:r>
        <w:t xml:space="preserve">Les placements détenus jusqu’à leur échéance sont des actifs financiers non dérivés, assortis de paiements fixes ou déterminables et d’échéances fixes, que l’UE a l’intention manifeste et la capacité de conserver jusqu’à l’échéance. Au cours de l’exercice considéré, l’UE n’a détenu aucun placement relevant de cette catégorie. </w:t>
      </w:r>
    </w:p>
    <w:p w:rsidR="00FB0C75" w:rsidRPr="00D12634" w:rsidRDefault="00525E53" w:rsidP="00FB0C75">
      <w:pPr>
        <w:pStyle w:val="TextSubtitlenumberingRCItalic"/>
      </w:pPr>
      <w:r>
        <w:t>Actifs financiers disponibles à la vente</w:t>
      </w:r>
    </w:p>
    <w:p w:rsidR="00FB0C75" w:rsidRDefault="00525E53" w:rsidP="00FB0C75">
      <w:pPr>
        <w:pStyle w:val="DGTextstand-alone"/>
      </w:pPr>
      <w:r>
        <w:t>Les actifs financiers disponibles à la vente sont des instruments non dérivés qui sont désignés comme devant appartenir à cette catégorie ou ne sont classés dans aucune autre catégorie. Ils sont classés comme actifs courants ou non courants selon la durée pendant laquelle l’UE s’attend à les détenir, qui correspond généralement à l’échéance. Les investissements dans des entités qui ne sont ni consolidées ni comptabilisées au moyen de la méthode de la mise en équivalence et les autres participations (opérations de capital-risque, par exemple) sont également classés comme actifs financiers disponibles à la vente.</w:t>
      </w:r>
    </w:p>
    <w:p w:rsidR="00FB0C75" w:rsidRPr="00677A47" w:rsidRDefault="00525E53" w:rsidP="00FB0C75">
      <w:pPr>
        <w:pStyle w:val="HEADER5"/>
        <w:rPr>
          <w:b w:val="0"/>
        </w:rPr>
      </w:pPr>
      <w:r>
        <w:rPr>
          <w:b w:val="0"/>
        </w:rPr>
        <w:t>Comptabilisation et évaluation initiales</w:t>
      </w:r>
    </w:p>
    <w:p w:rsidR="00FB0C75" w:rsidRDefault="00525E53" w:rsidP="00FB0C75">
      <w:pPr>
        <w:pStyle w:val="DGTextstand-alone"/>
      </w:pPr>
      <w:r>
        <w:t>Les achats et ventes d’actifs financiers à la juste valeur par le biais de l’excédent ou du déficit, détenus jusqu’à leur échéance et disponibles à la vente sont comptabilisés à la date de transaction — la date à laquelle l’UE s’engage à acheter ou vendre l’actif. Les équivalents de trésorerie et les prêts sont comptabilisés lorsque l’argent est avancé aux emprunteurs. Les instruments financiers sont initialement comptabilisés à la juste valeur. Pour tous les actifs financiers non comptabilisés à la juste valeur par le biais de l’excédent ou du déficit, des frais sont ajoutés à la juste valeur à la date de leur comptabilisation initiale. Les actifs financiers comptabilisés à la juste valeur par le biais de l’excédent ou du déficit sont initialement comptabilisés à la juste valeur et les frais de transaction sont passés en charges au compte de résultat économique.</w:t>
      </w:r>
    </w:p>
    <w:p w:rsidR="00FB0C75" w:rsidRDefault="00525E53" w:rsidP="00FB0C75">
      <w:pPr>
        <w:pStyle w:val="DGTextstand-alone"/>
      </w:pPr>
      <w:r>
        <w:t>La juste valeur d’un actif financier lors de sa comptabilisation initiale correspond normalement au prix de la transaction (autrement dit, la juste valeur de la contrepartie reçue), à moins que la juste valeur de cet instrument ne soit attestée par comparaison avec d’autres transactions courantes sur le marché pouvant être observées pour le même instrument ou sur la base d’une technique de valorisation utilisant des variables n'incluant que des données de marché observables (par exemple dans le cas de certains contrats dérivés). Cependant, en cas d’octroi d’un prêt à long terme à taux zéro ou à un taux inférieur aux conditions du marché, sa juste valeur peut être estimée comme étant la valeur actualisée de l’ensemble des entrées de trésorerie futures, calculée sur la base du taux d’intérêt en vigueur sur le marché pour un instrument similaire assorti d’une notation similaire.</w:t>
      </w:r>
    </w:p>
    <w:p w:rsidR="00FB0C75" w:rsidRDefault="00525E53" w:rsidP="00FB0C75">
      <w:pPr>
        <w:pStyle w:val="DGTextstand-alone"/>
      </w:pPr>
      <w:r>
        <w:t>Les prêts sont évalués à leur valeur nominale, considérée comme étant la juste valeur du prêt. Le raisonnement qui sous-tend cette approche est le suivant:</w:t>
      </w:r>
    </w:p>
    <w:p w:rsidR="00FB0C75" w:rsidRDefault="00525E53" w:rsidP="00972E9E">
      <w:pPr>
        <w:pStyle w:val="Textstand-alonebulletpointJustified"/>
        <w:jc w:val="both"/>
      </w:pPr>
      <w:r>
        <w:t>l’environnement dit «de marché» des activités de prêt de l’UE est très spécifique et différent du marché de capitaux utilisé pour émettre des obligations d’entreprises ou d’État. Comme les prêteurs opérant sur ces marchés ont le choix entre plusieurs types d’investissements, la possibilité d’opportunité est prise en compte dans les prix de marché. Cependant, cette possibilité de recourir à d’autres investissements n’est pas prévue pour l’UE, qui n’est pas autorisée à placer de l’argent sur les marchés de capitaux; elle peut uniquement emprunter des fonds à des fins de prêts au même taux. Ceci signifie que l’UE ne dispose d’aucune autre option de prêt ou d’investissement pour les sommes empruntées. Il n’y a donc pas de coût d’opportunité et, de ce fait, aucune base de comparaison avec les taux du marché. En fait, l’opération de prêt de l’UE représente elle-même le marché. Essentiellement, comme l’«option» du coût d’opportunité n’entre pas en ligne de compte, le prix du marché ne reflète pas fidèlement la substance des opérations de prêt de l’UE. Par conséquent, il n’est pas approprié de déterminer la juste valeur des activités de prêt de l’UE au regard des obligations d’entreprises ou d’État;</w:t>
      </w:r>
    </w:p>
    <w:p w:rsidR="00FB0C75" w:rsidRDefault="00FB0C75" w:rsidP="00972E9E">
      <w:pPr>
        <w:pStyle w:val="Textstand-alonebulletpointJustified"/>
        <w:numPr>
          <w:ilvl w:val="0"/>
          <w:numId w:val="0"/>
        </w:numPr>
        <w:ind w:left="720"/>
        <w:jc w:val="both"/>
      </w:pPr>
    </w:p>
    <w:p w:rsidR="00FB0C75" w:rsidRDefault="00525E53" w:rsidP="00972E9E">
      <w:pPr>
        <w:pStyle w:val="Textstand-alonebulletpointJustified"/>
        <w:jc w:val="both"/>
      </w:pPr>
      <w:r>
        <w:t>du reste, en l’absence de comparaison possible avec un marché actif ou des opérations similaires, le taux d’intérêt devant être utilisé par l’UE aux fins d’une évaluation équitable de ses opérations de prêt au titre du MESF, de la balance des paiements et d’autres prêts de ce type devrait être le taux d’intérêt facturé;</w:t>
      </w:r>
    </w:p>
    <w:p w:rsidR="00FB0C75" w:rsidRDefault="00FB0C75" w:rsidP="00972E9E">
      <w:pPr>
        <w:pStyle w:val="Textstand-alonebulletpointJustified"/>
        <w:numPr>
          <w:ilvl w:val="0"/>
          <w:numId w:val="0"/>
        </w:numPr>
        <w:ind w:left="1080"/>
        <w:jc w:val="both"/>
      </w:pPr>
    </w:p>
    <w:p w:rsidR="00FB0C75" w:rsidRDefault="00525E53" w:rsidP="00972E9E">
      <w:pPr>
        <w:pStyle w:val="Textstand-alonebulletpointJustified"/>
        <w:jc w:val="both"/>
      </w:pPr>
      <w:r>
        <w:t>à cela s’ajoute que, pour ces prêts, on observe des effets compensatoires entre les prêts et les emprunts en raison de leur caractère réciproque. Ainsi, le taux d’intérêt effectif d’un prêt équivaut au taux d’intérêt effectif des emprunts correspondants. Les coûts de transaction supportés par l’UE et refacturés au bénéficiaire du prêt sont directement portés au compte de résultat économique.</w:t>
      </w:r>
    </w:p>
    <w:p w:rsidR="00FB0C75" w:rsidRDefault="00525E53" w:rsidP="00FB0C75">
      <w:pPr>
        <w:pStyle w:val="DGTextstand-alone"/>
      </w:pPr>
      <w:r>
        <w:t>Les instruments financiers sont décomptabilisés lorsque les droits sur les flux de trésorerie qui découlent des investissements ont expiré ou lorsque l’UE a transféré en substance tous les risques et avantages inhérents à la propriété à une autre partie.</w:t>
      </w:r>
    </w:p>
    <w:p w:rsidR="00FB0C75" w:rsidRPr="00677A47" w:rsidRDefault="00525E53" w:rsidP="00FB0C75">
      <w:pPr>
        <w:pStyle w:val="HEADER5"/>
        <w:spacing w:after="120"/>
        <w:rPr>
          <w:b w:val="0"/>
        </w:rPr>
      </w:pPr>
      <w:r>
        <w:rPr>
          <w:b w:val="0"/>
        </w:rPr>
        <w:t>Évaluation ultérieure</w:t>
      </w:r>
    </w:p>
    <w:p w:rsidR="00FB0C75" w:rsidRDefault="00525E53" w:rsidP="00972E9E">
      <w:pPr>
        <w:pStyle w:val="Textstand-alonenumberingRCIndentJustified"/>
        <w:spacing w:after="120"/>
        <w:jc w:val="both"/>
      </w:pPr>
      <w:r>
        <w:t>Les actifs financiers à la juste valeur par le biais de l’excédent ou du déficit sont, par la suite, comptabilisés à leur juste valeur. Les gains et pertes résultant de variations de la juste valeur de la catégorie «instruments financiers à la juste valeur par le biais de l’excédent ou du déficit» sont portés au compte de résultat économique de l’exercice au cours duquel ils se produisent.</w:t>
      </w:r>
    </w:p>
    <w:p w:rsidR="00FB0C75" w:rsidRDefault="00525E53" w:rsidP="00972E9E">
      <w:pPr>
        <w:pStyle w:val="Textstand-alonenumberingRCIndentJustified"/>
        <w:spacing w:after="120"/>
        <w:jc w:val="both"/>
      </w:pPr>
      <w:r>
        <w:t>Les prêts et créances sont comptabilisés au coût amorti selon la méthode du taux d’intérêt effectif. Dans le cas des prêts octroyés sur des fonds empruntés, le même taux d’intérêt effectif s’applique aux prêts et aux emprunts compte tenu du fait que ces prêts disposent de caractéristiques propres aux «opérations face à face» et que les différences ne sont pas significatives entre le prêt et les conditions et montants de l’emprunt. Les coûts de transaction supportés par l’UE et refacturés au bénéficiaire du prêt sont directement portés au compte de résultat économique.</w:t>
      </w:r>
    </w:p>
    <w:p w:rsidR="00FB0C75" w:rsidRDefault="00525E53" w:rsidP="00972E9E">
      <w:pPr>
        <w:pStyle w:val="Textstand-alonenumberingRCIndentJustified"/>
        <w:spacing w:after="120"/>
        <w:jc w:val="both"/>
      </w:pPr>
      <w:r>
        <w:t>Les placements détenus jusqu’à leur échéance sont comptabilisés au coût amorti selon la méthode du taux d’intérêt effectif. L’UE n’a pas actuellement de placements détenus jusqu’à leur échéance.</w:t>
      </w:r>
    </w:p>
    <w:p w:rsidR="00FB0C75" w:rsidRDefault="00525E53" w:rsidP="00972E9E">
      <w:pPr>
        <w:pStyle w:val="Textstand-alonenumberingRCIndentJustified"/>
        <w:jc w:val="both"/>
      </w:pPr>
      <w:r>
        <w:t>Les actifs financiers disponibles à la vente sont, par la suite, comptabilisés à leur juste valeur. Les gains et pertes découlant des variations de la juste valeur des actifs financiers disponibles à la vente sont comptabilisés dans la réserve de juste valeur, à l’exception des écarts de conversion sur les actifs monétaires qui sont portés au compte de résultat économique. Lorsque des actifs classés comme actifs financiers disponibles à la vente sont décomptabilisés ou dépréciés, les ajustements cumulés de la juste valeur précédemment comptabilisés dans la réserve de juste valeur sont portés au compte de résultat économique. Les intérêts sur les actifs financiers disponibles à la vente calculés selon la méthode du taux d’intérêt effectif sont portés au compte de résultat économique. Les dividendes sur les instruments de capitaux propres disponibles à la vente sont comptabilisés lorsque le droit de l’Union européenne de recevoir le paiement est établi.</w:t>
      </w:r>
    </w:p>
    <w:p w:rsidR="00FB0C75" w:rsidRDefault="00525E53" w:rsidP="00FB0C75">
      <w:pPr>
        <w:pStyle w:val="DGTextstand-alone"/>
      </w:pPr>
      <w:r>
        <w:t xml:space="preserve">La juste valeur des investissements cotés sur des marchés actifs est basée sur les cours acheteurs actuels. Lorsque le marché d’un actif financier n’est pas actif (ou lorsqu’une valeur mobilière n’est pas cotée ou en cas d’instrument dérivé de gré à gré), l’UE détermine une juste valeur au moyen de techniques d’évaluation. Ces techniques incluent l’utilisation de transactions récentes réalisées dans des conditions de concurrence normale, la référence à d’autres instruments identiques en substance, une analyse des flux de trésorerie actualisés, des modèles de valorisation des options et d’autres techniques de valorisation communément appliquées par les acteurs du marché. </w:t>
      </w:r>
    </w:p>
    <w:p w:rsidR="00FB0C75" w:rsidRDefault="00525E53" w:rsidP="00FB0C75">
      <w:pPr>
        <w:pStyle w:val="DGTextstand-alone"/>
      </w:pPr>
      <w:r>
        <w:t>Les investissements dans des fonds de capital-risque, classés comme actifs financiers disponibles à la vente, qui n’ont pas de cours coté sur un marché actif, sont évalués à la valeur d’inventaire nette imputable, qui est considérée comme équivalente à la juste valeur.</w:t>
      </w:r>
    </w:p>
    <w:p w:rsidR="00FB0C75" w:rsidRDefault="00525E53" w:rsidP="00FB0C75">
      <w:pPr>
        <w:pStyle w:val="DGTextstand-alone"/>
      </w:pPr>
      <w:r>
        <w:t>Lorsque la juste valeur d’investissements en instruments de capitaux propres n’ayant pas de cours sur un marché actif ne peut être évaluée de façon fiable, ces investissements sont évalués au coût diminué des pertes de valeur.</w:t>
      </w:r>
    </w:p>
    <w:p w:rsidR="00FB0C75" w:rsidRPr="00677A47" w:rsidRDefault="00525E53" w:rsidP="00FB0C75">
      <w:pPr>
        <w:pStyle w:val="HEADER5"/>
        <w:rPr>
          <w:b w:val="0"/>
        </w:rPr>
      </w:pPr>
      <w:r>
        <w:rPr>
          <w:b w:val="0"/>
        </w:rPr>
        <w:t>Dépréciation d’actifs financiers</w:t>
      </w:r>
    </w:p>
    <w:p w:rsidR="00FB0C75" w:rsidRDefault="00525E53" w:rsidP="00FB0C75">
      <w:pPr>
        <w:pStyle w:val="DGTextstand-alone"/>
      </w:pPr>
      <w:r>
        <w:t>L’UE détermine à chaque date de clôture s’il existe un indice objectif montrant qu’un actif financier a perdu de la valeur. Un actif financier est déprécié et les pertes de valeur sont supportées si, et seulement si, il existe un indice objectif de dépréciation résultant d’un ou plusieurs événements qui se sont produits après la comptabilisation initiale de l’actif et cet (ces) événement(s) de perte a (ont) une incidence sur les flux de trésorerie futurs estimés de l’actif financier pouvant être estimé de façon fiable.</w:t>
      </w:r>
    </w:p>
    <w:p w:rsidR="00FB0C75" w:rsidRDefault="00525E53" w:rsidP="00FB0C75">
      <w:pPr>
        <w:pStyle w:val="TextSubtitleItalicnumberinglettera"/>
      </w:pPr>
      <w:r>
        <w:t>Actifs comptabilisés au coût amorti</w:t>
      </w:r>
    </w:p>
    <w:p w:rsidR="00FB0C75" w:rsidRDefault="00525E53" w:rsidP="00FB0C75">
      <w:pPr>
        <w:pStyle w:val="DGTextstand-alone"/>
      </w:pPr>
      <w:r>
        <w:t>S’il existe une indication objective d’une perte de valeur sur des prêts et créances ou sur des placements détenus jusqu’à leur échéance comptabilisés au coût amorti, le montant de la perte est évalué comme étant la différence entre la valeur comptable de l’actif et la valeur actualisée des flux de trésorerie futurs estimés (à l’exclusion des pertes de crédit futures non encourues) calculée sur la base du taux d’intérêt effectif initial de l’actif financier. La valeur comptable de cet actif est diminuée et le montant de la perte est comptabilisé dans le compte de résultat économique. Si un prêt ou un placement détenu jusqu’à son échéance est assorti d’un taux d’intérêt variable, le taux d’actualisation utilisé pour mesurer la perte de valeur équivaut au taux d’intérêt effectif actuel déterminé dans le cadre du contrat. Le calcul de la valeur actualisée des flux de trésorerie estimés futurs d’un actif financier garanti reflète les flux de trésorerie qui pourraient résulter d’une saisie après déduction des coûts d’obtention et de vente des instruments de garantie, que la saisie soit probable ou non. Si, au cours d’une période ultérieure, le montant de la perte de valeur diminue et si cette diminution peut être liée objectivement à un événement postérieur à la comptabilisation de la perte de valeur, la perte de valeur précédemment comptabilisée est reprise via le compte de résultat économique.</w:t>
      </w:r>
    </w:p>
    <w:p w:rsidR="00FB0C75" w:rsidRDefault="00525E53" w:rsidP="00FB0C75">
      <w:pPr>
        <w:pStyle w:val="TextSubtitleItalicnumberinglettera"/>
      </w:pPr>
      <w:r>
        <w:t>Actifs comptabilisés à la juste valeur</w:t>
      </w:r>
    </w:p>
    <w:p w:rsidR="00FB0C75" w:rsidRDefault="00525E53" w:rsidP="00FB0C75">
      <w:pPr>
        <w:pStyle w:val="DGTextstand-alone"/>
      </w:pPr>
      <w:r>
        <w:t>Dans le cas des apports en fonds propres classés comme des actifs financiers disponibles à la vente, une baisse importante ou permanente (prolongée) de la juste valeur d’un placement dans un tel instrument en deçà de son coût constitue également une indication objective de dépréciation. Si une telle indication existe pour un actif financier disponible à la vente, la perte cumulée — évaluée comme étant la différence entre le coût d’acquisition et la juste valeur actuelle, déduction faite de toute perte de valeur précédemment portée au compte de résultat économique pour l’actif considéré — est soustraite des réserves et comptabilisée dans le compte de résultat économique. Les pertes de valeur sur instruments de capitaux propres portées au compte de résultat économique ne sont pas reprises via le compte de résultat économique. Si, au cours d’une période ultérieure, la juste valeur d’un instrument d’emprunt considéré comme un actif financier disponible à la vente augmente et si cette augmentation peut objectivement être reliée à un événement survenant après la constatation de la perte de valeur, cette perte de valeur est reprise via le compte de résultat économique.</w:t>
      </w:r>
    </w:p>
    <w:p w:rsidR="00FB0C75" w:rsidRPr="005D15F9" w:rsidRDefault="00525E53" w:rsidP="00FB0C75">
      <w:pPr>
        <w:pStyle w:val="HEADER3Part2"/>
      </w:pPr>
      <w:r>
        <w:t>Stocks</w:t>
      </w:r>
    </w:p>
    <w:p w:rsidR="00FB0C75" w:rsidRDefault="00525E53" w:rsidP="00FB0C75">
      <w:pPr>
        <w:pStyle w:val="DGTextstand-alone"/>
      </w:pPr>
      <w:r>
        <w:t>Les stocks sont évalués au plus faible du coût et de la valeur nette de réalisation. Le coût est déterminé selon la méthode PEPS (premier entré, premier sorti). Le coût des produits finis et des travaux en cours couvre les matières premières, la main-d’œuvre directe, les autres coûts directement imputables ainsi que les frais généraux de production connexes (sur la base d’une capacité d’exploitation normale). La valeur nette de réalisation correspond au prix de vente estimé dans le cours normal de l’activité, diminué des coûts estimés pour l’achèvement et la réalisation de la vente. Lorsque les stocks sont détenus en vue d’une distribution gratuite ou quasi gratuite, ils sont évalués au plus faible du coût et du coût de remplacement actuel. Le coût de remplacement actuel correspond au coût que l’UE devrait assumer pour acquérir l’actif à la date de publication des comptes.</w:t>
      </w:r>
    </w:p>
    <w:p w:rsidR="00FB0C75" w:rsidRPr="005D15F9" w:rsidRDefault="00525E53" w:rsidP="00FB0C75">
      <w:pPr>
        <w:pStyle w:val="HEADER3Part2"/>
      </w:pPr>
      <w:r>
        <w:t>Préfinancements</w:t>
      </w:r>
    </w:p>
    <w:p w:rsidR="00FB0C75" w:rsidRDefault="00525E53" w:rsidP="00FB0C75">
      <w:pPr>
        <w:pStyle w:val="DGTextstand-alone"/>
      </w:pPr>
      <w:r>
        <w:t xml:space="preserve">Un préfinancement est un paiement destiné à fournir une avance au bénéficiaire, par exemple un fonds de trésorerie. Il peut être fractionné en plusieurs versements sur une période définie dans le contrat, la décision, la convention ou l’acte de base spécifique. Le fonds de trésorerie (ou l’avance) est soit utilisé aux fins pour lesquelles il a été fourni pendant la période définie dans la convention, soit remboursé. Si le bénéficiaire n’encourt pas de dépenses éligibles, il est dans l’obligation de restituer le préfinancement à l’UE. Le montant du préfinancement peut être apuré (en tout ou en partie) à mesure de l’acceptation des coûts éligibles (qui sont comptabilisés en charges). </w:t>
      </w:r>
    </w:p>
    <w:p w:rsidR="00FB0C75" w:rsidRPr="0037249C" w:rsidRDefault="00525E53" w:rsidP="00FB0C75">
      <w:pPr>
        <w:pStyle w:val="DGTextstand-alone"/>
      </w:pPr>
      <w:r>
        <w:t xml:space="preserve">Le préfinancement est, à des dates de clôture ultérieures, évalué au montant comptabilisé initialement dans le bilan, diminué des dépenses éligibles (y compris des montants estimés, le cas échéant) encourues au cours de la période. </w:t>
      </w:r>
    </w:p>
    <w:p w:rsidR="00FB0C75" w:rsidRDefault="00525E53" w:rsidP="00FB0C75">
      <w:pPr>
        <w:pStyle w:val="DGTextstand-alone"/>
      </w:pPr>
      <w:r>
        <w:t>Les intérêts sur les préfinancements sont comptabilisés à la date à laquelle ils sont acquis conformément aux dispositions de la convention en question. En fin d’exercice, il est procédé à une estimation des intérêts à recevoir sur la base des informations les plus fiables, laquelle est portée au bilan.</w:t>
      </w:r>
    </w:p>
    <w:p w:rsidR="00FB0C75" w:rsidRDefault="00525E53" w:rsidP="00FB0C75">
      <w:pPr>
        <w:pStyle w:val="DGTextstand-alone"/>
      </w:pPr>
      <w:r>
        <w:t>Les autres avances aux États membres qui proviennent du remboursement par l’Union européenne des sommes versées à titre d’avances par les États membres à leurs bénéficiaires (y compris les «instruments financiers en gestion partagée») sont comptabilisées comme actifs et présentées sous la rubrique «préfinancements». Les autres avances aux États membres sont ensuite évaluées au montant comptabilisé initialement dans le bilan, diminué d’une meilleure estimation des dépenses éligibles encourues par les bénéficiaires finals, calculée sur la base d’hypothèses raisonnables et justifiables.</w:t>
      </w:r>
    </w:p>
    <w:p w:rsidR="00FB0C75" w:rsidRDefault="00525E53" w:rsidP="00FB0C75">
      <w:pPr>
        <w:pStyle w:val="DGTextstand-alone"/>
      </w:pPr>
      <w:r>
        <w:t>Les contributions de l’UE aux fonds fiduciaires du Fonds européen de développement ou à d’autres entités non consolidées sont également classées comme préfinancements puisque leur but est d’octroyer un fonds de trésorerie au fonds fiduciaire pour lui permettre de financer des actions spécifiques définies dans les objectifs du fonds fiduciaire. Les contributions de l’UE aux fonds fiduciaires sont évaluées au montant initial de la contribution de l’UE, diminué des dépenses éligibles, y compris des montants estimés, le cas échéant, encourues par le fonds fiduciaire au cours de la période de référence et affectées à la contribution de l’UE conformément à l’accord sous-jacent.</w:t>
      </w:r>
    </w:p>
    <w:p w:rsidR="00FB0C75" w:rsidRPr="005D15F9" w:rsidRDefault="00525E53" w:rsidP="00FB0C75">
      <w:pPr>
        <w:pStyle w:val="HEADER3Part2"/>
      </w:pPr>
      <w:r>
        <w:t>Créances à recevoir avec contrepartie directe et créances à recouvrer sans contrepartie directe</w:t>
      </w:r>
    </w:p>
    <w:p w:rsidR="00FB0C75" w:rsidRDefault="00525E53" w:rsidP="00FB0C75">
      <w:pPr>
        <w:pStyle w:val="DGTextstand-alone"/>
      </w:pPr>
      <w:r>
        <w:t>Les règles comptables de l’Union européenne exigeant une présentation distincte des opérations avec et sans contrepartie directe, aux fins de l’établissement des comptes, les créances à recevoir sont définies comme provenant des opérations avec contrepartie directe et les créances à recouvrer comme provenant des opérations sans contrepartie directe, c’est-à-dire lorsque l’UE reçoit une valeur d’une autre entité sans donner directement une valeur sensiblement équivalente en échange (par exemple, les créances à recouvrer auprès des États membres se rapportant aux ressources propres).</w:t>
      </w:r>
    </w:p>
    <w:p w:rsidR="00FB0C75" w:rsidRDefault="00525E53" w:rsidP="00FB0C75">
      <w:pPr>
        <w:pStyle w:val="DGTextstand-alone"/>
      </w:pPr>
      <w:r>
        <w:t>Les créances à recevoir des opérations avec contrepartie directe répondent à la définition des instruments financiers et sont, à ce titre, classées comme prêts et créances et évaluées en conséquence (voir la note </w:t>
      </w:r>
      <w:r w:rsidRPr="00031A85">
        <w:rPr>
          <w:b/>
        </w:rPr>
        <w:t>1</w:t>
      </w:r>
      <w:r>
        <w:rPr>
          <w:b/>
        </w:rPr>
        <w:t>.</w:t>
      </w:r>
      <w:r w:rsidRPr="00031A85">
        <w:rPr>
          <w:b/>
        </w:rPr>
        <w:t>5</w:t>
      </w:r>
      <w:r>
        <w:rPr>
          <w:b/>
        </w:rPr>
        <w:t>.</w:t>
      </w:r>
      <w:r w:rsidRPr="00031A85">
        <w:rPr>
          <w:b/>
        </w:rPr>
        <w:t>5</w:t>
      </w:r>
      <w:r>
        <w:t>). Les informations données dans les annexes relatives aux instruments financiers concernant les créances à recevoir des opérations avec contrepartie directe comprennent les produits à recevoir et les charges à reporter des opérations avec contrepartie directe car ils ne sont pas significatifs.</w:t>
      </w:r>
    </w:p>
    <w:p w:rsidR="00FB0C75" w:rsidRDefault="00525E53" w:rsidP="00FB0C75">
      <w:pPr>
        <w:pStyle w:val="DGTextstand-alone"/>
      </w:pPr>
      <w:r>
        <w:t>Les créances à recouvrer des opérations sans contrepartie directe sont comptabilisées à la valeur initiale (après ajustement pour les intérêts et pénalités) diminuée des dépréciations pour perte de valeur. Une dépréciation pour perte de valeur sur créances à recouvrer des opérations sans contrepartie directe est constatée en présence d’éléments objectifs indiquant que l’UE ne sera pas en mesure de recouvrer tous les montants dus aux échéances initialement prévues des créances en question. Le montant de la dépréciation correspond à la différence entre la valeur comptable de la créance et le montant recouvrable. Le montant de la dépréciation est constaté dans le compte de résultat économique. Une dépréciation générale, reposant sur l’expérience passée, est également comptabilisée pour les ordres de recouvrement non exécutés qui ne font pas l’objet d’une dépréciation spécifique. Voir la note </w:t>
      </w:r>
      <w:r w:rsidRPr="00031A85">
        <w:rPr>
          <w:b/>
        </w:rPr>
        <w:t>1</w:t>
      </w:r>
      <w:r>
        <w:rPr>
          <w:b/>
        </w:rPr>
        <w:t>.</w:t>
      </w:r>
      <w:r w:rsidRPr="00031A85">
        <w:rPr>
          <w:b/>
        </w:rPr>
        <w:t>5</w:t>
      </w:r>
      <w:r>
        <w:rPr>
          <w:b/>
        </w:rPr>
        <w:t>.</w:t>
      </w:r>
      <w:r w:rsidRPr="00031A85">
        <w:rPr>
          <w:b/>
        </w:rPr>
        <w:t>14</w:t>
      </w:r>
      <w:r>
        <w:t xml:space="preserve"> concernant le traitement des produits à recevoir en fin d’exercice. Les montants indiqués comme créances à recouvrer d’opérations sans contrepartie directe ne sont pas considérés comme des instruments financiers, car ils ne découlent pas d’un contrat qui donnerait lieu à un passif financier ou à un instrument de capitaux propres. Toutefois, dans les annexes aux états financiers, les créances à recouvrer des opérations sans contrepartie sont, s'il y a lieu, comptabilisées avec les créances à recevoir des opérations avec contrepartie.</w:t>
      </w:r>
    </w:p>
    <w:p w:rsidR="00FB0C75" w:rsidRPr="005D15F9" w:rsidRDefault="00525E53" w:rsidP="00FB0C75">
      <w:pPr>
        <w:pStyle w:val="HEADER3Part2"/>
      </w:pPr>
      <w:r>
        <w:t>Trésorerie et équivalents de trésorerie</w:t>
      </w:r>
    </w:p>
    <w:p w:rsidR="00FB0C75" w:rsidRDefault="00525E53" w:rsidP="00FB0C75">
      <w:pPr>
        <w:pStyle w:val="DGTextstand-alone"/>
      </w:pPr>
      <w:r>
        <w:t>La trésorerie et les équivalents de trésorerie sont des instruments financiers et comprennent l’encaisse, les dépôts bancaires à vue ou à court terme, et d’autres placements à court terme très liquides assortis d’échéances initiales inférieures ou égales à trois mois.</w:t>
      </w:r>
    </w:p>
    <w:p w:rsidR="00FB0C75" w:rsidRPr="005D15F9" w:rsidRDefault="00525E53" w:rsidP="00FB0C75">
      <w:pPr>
        <w:pStyle w:val="HEADER3Part2"/>
      </w:pPr>
      <w:r>
        <w:t>Retraites et autres avantages du personnel</w:t>
      </w:r>
    </w:p>
    <w:p w:rsidR="00FB0C75" w:rsidRPr="00677A47" w:rsidRDefault="00525E53" w:rsidP="00FB0C75">
      <w:pPr>
        <w:pStyle w:val="HEADER5"/>
        <w:rPr>
          <w:b w:val="0"/>
        </w:rPr>
      </w:pPr>
      <w:r>
        <w:rPr>
          <w:b w:val="0"/>
        </w:rPr>
        <w:t>Obligations au titre du régime de pension</w:t>
      </w:r>
    </w:p>
    <w:p w:rsidR="00FB0C75" w:rsidRDefault="00525E53" w:rsidP="00FB0C75">
      <w:pPr>
        <w:pStyle w:val="DGTextstand-alone"/>
      </w:pPr>
      <w:r>
        <w:t>L’UE gère un régime de pension à prestations définies. Tandis que les membres du personnel versent, sur leurs traitements, un tiers du coût attendu de ces prestations, le passif au titre du régime de pension n’est pas financé. Le passif comptabilisé au bilan au titre d'un régime de pension à prestations définies correspond à la valeur actualisée de l'obligation au titre des prestations définies à la date de clôture, diminuée de la juste valeur des actifs du régime. L’obligation au titre des prestations définies est calculée par des actuaires selon la méthode des unités de crédit projetées. La valeur actualisée de l’obligation au titre des prestations définies est déterminée en actualisant les sorties de trésorerie futures estimées sur la base des taux d’intérêt d’obligations d’État libellées dans la monnaie dans laquelle les prestations doivent être versées et dont les échéances avoisinent celles du passif correspondant au titre du régime de pension.</w:t>
      </w:r>
    </w:p>
    <w:p w:rsidR="00FB0C75" w:rsidRDefault="00525E53" w:rsidP="00FB0C75">
      <w:pPr>
        <w:pStyle w:val="DGTextstand-alone"/>
      </w:pPr>
      <w:r>
        <w:t>Les écarts actuariels découlant des ajustements liés à l’expérience et les changements d’hypothèses actuarielles sont immédiatement répercutés sur le compte de résultat économique. Le coût des services passés est immédiatement porté au compte de résultat économique, sauf si les changements apportés au régime de pension sont subordonnés au maintien en service des membres du personnel pendant une durée déterminée (la période d’acquisition des droits). Dans ce cas, le coût des services passés est amorti linéairement sur la période d’acquisition des droits.</w:t>
      </w:r>
    </w:p>
    <w:p w:rsidR="00FB0C75" w:rsidRPr="00677A47" w:rsidRDefault="00525E53" w:rsidP="00FB0C75">
      <w:pPr>
        <w:pStyle w:val="HEADER5"/>
        <w:rPr>
          <w:b w:val="0"/>
        </w:rPr>
      </w:pPr>
      <w:r>
        <w:rPr>
          <w:b w:val="0"/>
        </w:rPr>
        <w:t>Couverture maladie postérieure à l’emploi</w:t>
      </w:r>
    </w:p>
    <w:p w:rsidR="00FB0C75" w:rsidRDefault="00525E53" w:rsidP="00FB0C75">
      <w:pPr>
        <w:pStyle w:val="DGTextstand-alone"/>
      </w:pPr>
      <w:r>
        <w:t>L’UE fournit à son personnel une couverture maladie donnant droit au remboursement des frais médicaux. Un fonds distinct a été créé pour sa gestion quotidienne. Les membres du personnel en activité ou en retraite, leurs conjoints survivants et leurs proches bénéficient tous de ce régime. Les prestations accordées aux «inactifs» (retraités, orphelins, etc.) sont considérées comme des «avantages du personnel postérieurs à l’emploi». Étant donné la nature de ces prestations, un calcul actuariel est nécessaire. Le passif inscrit au bilan est déterminé sur les mêmes bases que l’obligation au titre du régime de pension (cf. ci-dessus).</w:t>
      </w:r>
    </w:p>
    <w:p w:rsidR="00FB0C75" w:rsidRPr="005D15F9" w:rsidRDefault="00525E53" w:rsidP="00FB0C75">
      <w:pPr>
        <w:pStyle w:val="HEADER3Part2"/>
      </w:pPr>
      <w:r>
        <w:t>Provisions</w:t>
      </w:r>
    </w:p>
    <w:p w:rsidR="00FB0C75" w:rsidRDefault="00525E53" w:rsidP="00FB0C75">
      <w:pPr>
        <w:pStyle w:val="DGTextstand-alone"/>
      </w:pPr>
      <w:r>
        <w:t>Des provisions sont comptabilisées lorsque l’UE supporte une obligation actuelle, juridique ou implicite, envers des tiers à la suite d’événements passés, qu’il est plus probable qu’improbable qu’une sortie de ressources sera nécessaire pour éteindre cette obligation et que le montant de celle-ci peut être estimé de façon fiable. Aucune provision n’est comptabilisée pour des pertes opérationnelles futures. Le montant de la provision correspond à la meilleure estimation des dépenses attendues que l'on pense nécessaires pour éteindre l’obligation actuelle à la date de clôture. Lorsque la provision comprend un grand nombre d’éléments, l’obligation est estimée en pondérant tous les résultats possibles en fonction de leur probabilité correspondante (méthode de la «valeur attendue»).</w:t>
      </w:r>
    </w:p>
    <w:p w:rsidR="00FB0C75" w:rsidRPr="005D15F9" w:rsidRDefault="00525E53" w:rsidP="00FB0C75">
      <w:pPr>
        <w:pStyle w:val="HEADER3Part2"/>
      </w:pPr>
      <w:r>
        <w:t>Passifs financiers</w:t>
      </w:r>
    </w:p>
    <w:p w:rsidR="00FB0C75" w:rsidRDefault="00525E53" w:rsidP="00FB0C75">
      <w:pPr>
        <w:pStyle w:val="DGTextstand-alone"/>
      </w:pPr>
      <w:r>
        <w:t xml:space="preserve">Les passifs financiers sont classés comme passifs financiers à la juste valeur par le biais de l’excédent ou du déficit ou comme passifs financiers comptabilisés au coût amorti. Les emprunts sont composés d’emprunts auprès d’institutions de crédit et de dettes représentées par des titres. Les emprunts sont initialement comptabilisés à leur juste valeur, soit le produit de leur émission (la juste valeur de la contrepartie reçue) déduction faite des coûts de transaction supportés. Ils sont ensuite comptabilisés au coût amorti selon la méthode du taux d’intérêt effectif; toute différence entre le produit des emprunts, déduction faite des coûts de transaction, et leur valeur de remboursement est portée au compte de résultat économique sur la durée de vie des emprunts selon la méthode du taux d’intérêt effectif. </w:t>
      </w:r>
    </w:p>
    <w:p w:rsidR="00FB0C75" w:rsidRDefault="00525E53" w:rsidP="00FB0C75">
      <w:pPr>
        <w:pStyle w:val="DGTextstand-alone"/>
      </w:pPr>
      <w:r>
        <w:t>Les passifs financiers figurent au bilan parmi les passifs non courants, sauf lorsque l’échéance se situe dans les douze mois qui suivent la date de clôture. Dans le cas des prêts octroyés sur des fonds empruntés, la méthode du taux d’intérêt effectif ne peut être appliquée aux prêts et aux emprunts pour des raisons d’importance relative. Les coûts de transaction supportés par l’UE et refacturés au bénéficiaire du prêt sont directement portés au compte de résultat économique.</w:t>
      </w:r>
    </w:p>
    <w:p w:rsidR="00FB0C75" w:rsidRDefault="00525E53" w:rsidP="00FB0C75">
      <w:pPr>
        <w:pStyle w:val="DGTextstand-alone"/>
      </w:pPr>
      <w:r>
        <w:t xml:space="preserve">Les fonds fiduciaires de l’UE considérés comme faisant partie des activités opérationnelles de la Commission sont comptabilisés dans les comptes de cette dernière puis consolidés dans les comptes annuels de l’UE. Par conséquent, les contributions d’autres donateurs aux fonds fiduciaires de l’UE répondent aux critères des recettes conditionnelles tirées d’opérations sans contrepartie directe et elles sont présentées au passif financier jusqu’à ce que les conditions liées aux contributions transférées soient satisfaites, c’est-à-dire jusqu’à ce que les coûts admissibles soient encourus par le fonds fiduciaire. Le fonds fiduciaire est nécessaire pour financer des projets spécifiques et restituer les fonds restants au moment de la liquidation. À la date de clôture, l’encours des charges de contributions est évalué au montant des contributions reçues, diminué des dépenses encourues par le fonds fiduciaire, y compris des montants estimés, le cas échéant. Aux fins de la déclaration, les dépenses nettes sont affectées aux contributions d’autres donateurs au prorata de leurs contributions nettes au </w:t>
      </w:r>
      <w:r w:rsidRPr="00031A85">
        <w:t>31</w:t>
      </w:r>
      <w:r>
        <w:t> décembre. Cette affectation des contributions est purement indicative. Lors de la liquidation du fonds fiduciaire, le conseil d’administration du fonds décidera du partage effectif des ressources restantes.</w:t>
      </w:r>
    </w:p>
    <w:p w:rsidR="00FB0C75" w:rsidRDefault="00525E53" w:rsidP="00FB0C75">
      <w:pPr>
        <w:pStyle w:val="DGTextstand-alone"/>
      </w:pPr>
      <w:r>
        <w:t xml:space="preserve">Les passifs financiers classés à la juste valeur par le biais de l’excédent ou du déficit incluent les dérivés lorsque leur juste valeur est négative. Leur traitement comptable est identique à celui des actifs financiers à la juste valeur par le biais de l’excédent ou du déficit (voir la note </w:t>
      </w:r>
      <w:r w:rsidRPr="00031A85">
        <w:rPr>
          <w:b/>
        </w:rPr>
        <w:t>1</w:t>
      </w:r>
      <w:r>
        <w:rPr>
          <w:b/>
        </w:rPr>
        <w:t>.</w:t>
      </w:r>
      <w:r w:rsidRPr="00031A85">
        <w:rPr>
          <w:b/>
        </w:rPr>
        <w:t>5</w:t>
      </w:r>
      <w:r>
        <w:rPr>
          <w:b/>
        </w:rPr>
        <w:t>.</w:t>
      </w:r>
      <w:r w:rsidRPr="00031A85">
        <w:rPr>
          <w:b/>
        </w:rPr>
        <w:t>5</w:t>
      </w:r>
      <w:r>
        <w:t xml:space="preserve">). </w:t>
      </w:r>
    </w:p>
    <w:p w:rsidR="00FB0C75" w:rsidRPr="005D15F9" w:rsidRDefault="00525E53" w:rsidP="00FB0C75">
      <w:pPr>
        <w:pStyle w:val="HEADER3Part2"/>
      </w:pPr>
      <w:r>
        <w:t>Sommes à payer</w:t>
      </w:r>
    </w:p>
    <w:p w:rsidR="00FB0C75" w:rsidRDefault="00525E53" w:rsidP="00FB0C75">
      <w:pPr>
        <w:pStyle w:val="DGTextstand-alone"/>
      </w:pPr>
      <w:r>
        <w:t>Une part importante des sommes à payer par l’UE correspond à des déclarations de dépenses soumises par les bénéficiaires de subventions ou d’autres financements de l’Union européenne, dont le montant n’a pas été acquitté par celle-ci (opérations sans contrepartie directe). Elles sont comptabilisées comme sommes à payer pour les montants réclamés à la réception de la déclaration de dépenses. Après vérification et acceptation des frais éligibles, elles sont évaluées au montant accepté et éligible.</w:t>
      </w:r>
    </w:p>
    <w:p w:rsidR="00FB0C75" w:rsidRDefault="00525E53" w:rsidP="00FB0C75">
      <w:pPr>
        <w:pStyle w:val="DGTextstand-alone"/>
      </w:pPr>
      <w:r>
        <w:t>Les sommes à payer à la suite de l’achat de biens ou de services sont comptabilisées à la réception de la facture pour le montant initial de celle-ci, et les dépenses correspondantes sont saisies dans les comptes lorsque les biens ou services sont livrés ou fournis à l’UE et acceptés par celle-ci.</w:t>
      </w:r>
    </w:p>
    <w:p w:rsidR="00FB0C75" w:rsidRPr="005D15F9" w:rsidRDefault="00525E53" w:rsidP="00FB0C75">
      <w:pPr>
        <w:pStyle w:val="HEADER3Part2"/>
      </w:pPr>
      <w:r>
        <w:t>Charges à payer/produits à recevoir et charges et produits à reporter</w:t>
      </w:r>
    </w:p>
    <w:p w:rsidR="00FB0C75" w:rsidRDefault="00525E53" w:rsidP="00FB0C75">
      <w:pPr>
        <w:pStyle w:val="DGTextstand-alone"/>
      </w:pPr>
      <w:r>
        <w:t>Les transactions et événements sont constatés dans les états financiers de l’exercice auquel ils se rapportent. En fin d’exercice, lorsqu’une facture n’a pas été envoyée alors que le service a été fourni ou les biens livrés par l’UE ou qu’il existe un accord contractuel (par exemple par référence à un traité), le montant correspondant est comptabilisé dans les états financiers en tant que produit à recevoir. Par ailleurs, lorsque, en fin d’exercice, une facture a été envoyée alors que le service n’a pas encore été fourni ou que les biens n’ont pas encore été livrés, le produit correspondant est reporté et sera comptabilisé lors de l’exercice comptable suivant.</w:t>
      </w:r>
    </w:p>
    <w:p w:rsidR="00FB0C75" w:rsidRDefault="00525E53" w:rsidP="00FB0C75">
      <w:pPr>
        <w:pStyle w:val="DGTextstand-alone"/>
      </w:pPr>
      <w:r>
        <w:t>Les charges sont également comptabilisées au cours de l’exercice auquel elles se rapportent. À la fin de la période comptable, les charges à payer sont constatées sur la base du montant estimatif des transferts dus au titre de l’exercice. Le calcul des charges à payer est effectué conformément aux lignes directrices opérationnelles et pratiques publiées par la Commission, qui visent à faire en sorte que les états financiers fournissent une image fidèle des phénomènes économiques et autres qu’ils sont censés représenter. Par analogie, si un paiement d'avance a été effectué pour des biens ou services n’ayant pas encore été reçus, la charge correspondante sera reportée et comptabilisée lors de l’exercice comptable suivant.</w:t>
      </w:r>
    </w:p>
    <w:p w:rsidR="00342FE4" w:rsidRDefault="00342FE4" w:rsidP="00FB0C75">
      <w:pPr>
        <w:pStyle w:val="DGTextstand-alone"/>
      </w:pPr>
    </w:p>
    <w:p w:rsidR="00FB0C75" w:rsidRDefault="00525E53" w:rsidP="00FB0C75">
      <w:pPr>
        <w:pStyle w:val="HEADER2Part2"/>
      </w:pPr>
      <w:r>
        <w:t>COMPTE DE RÉSULTAT ÉCONOMIQUE</w:t>
      </w:r>
    </w:p>
    <w:p w:rsidR="00FB0C75" w:rsidRPr="005D15F9" w:rsidRDefault="00525E53" w:rsidP="00FB0C75">
      <w:pPr>
        <w:pStyle w:val="HEADER3Part2"/>
      </w:pPr>
      <w:r>
        <w:t>Recettes</w:t>
      </w:r>
    </w:p>
    <w:p w:rsidR="00FB0C75" w:rsidRPr="00091BA3" w:rsidRDefault="00525E53" w:rsidP="00FB0C75">
      <w:pPr>
        <w:pStyle w:val="HEADER5"/>
        <w:rPr>
          <w:b w:val="0"/>
        </w:rPr>
      </w:pPr>
      <w:r>
        <w:rPr>
          <w:b w:val="0"/>
        </w:rPr>
        <w:t>PRODUITS DES OPÉRATIONS SANS CONTREPARTIE DIRECTE</w:t>
      </w:r>
    </w:p>
    <w:p w:rsidR="00FB0C75" w:rsidRDefault="00525E53" w:rsidP="00FB0C75">
      <w:pPr>
        <w:pStyle w:val="DGTextstand-alone"/>
      </w:pPr>
      <w:r>
        <w:t>La grande majorité des recettes de l’UE concerne des opérations sans contrepartie directe.</w:t>
      </w:r>
    </w:p>
    <w:p w:rsidR="00FB0C75" w:rsidRPr="00677A47" w:rsidRDefault="00525E53" w:rsidP="00FB0C75">
      <w:pPr>
        <w:pStyle w:val="HEADER5"/>
        <w:rPr>
          <w:b w:val="0"/>
        </w:rPr>
      </w:pPr>
      <w:r>
        <w:rPr>
          <w:b w:val="0"/>
        </w:rPr>
        <w:t>Ressources RNB et ressources TVA</w:t>
      </w:r>
    </w:p>
    <w:p w:rsidR="00FB0C75" w:rsidRDefault="00525E53" w:rsidP="00FB0C75">
      <w:pPr>
        <w:pStyle w:val="DGTextstand-alone"/>
      </w:pPr>
      <w:r>
        <w:t>Les recettes sont comptabilisées au titre de la période pour laquelle la Commission lance un appel de fonds aux États membres, demandant leur contribution. Elles sont évaluées à leur «montant appelé». Les ressources TVA et RNB étant déterminées sur la base d’estimations des données relatives à l’exercice budgétaire concerné, elles peuvent être revues au fil des variations jusqu’à ce que les données définitives soient publiées par les États membres. L’effet d’un changement d’estimation doit être inclus dans la détermination de l’excédent ou du déficit net de la période pendant laquelle le changement s’est produit.</w:t>
      </w:r>
    </w:p>
    <w:p w:rsidR="00FB0C75" w:rsidRPr="00677A47" w:rsidRDefault="00525E53" w:rsidP="00FB0C75">
      <w:pPr>
        <w:pStyle w:val="HEADER5"/>
        <w:rPr>
          <w:b w:val="0"/>
        </w:rPr>
      </w:pPr>
      <w:r>
        <w:rPr>
          <w:b w:val="0"/>
        </w:rPr>
        <w:t>Ressources propres traditionnelles</w:t>
      </w:r>
    </w:p>
    <w:p w:rsidR="00FB0C75" w:rsidRDefault="00525E53" w:rsidP="00FB0C75">
      <w:pPr>
        <w:pStyle w:val="DGTextstand-alone"/>
      </w:pPr>
      <w:r>
        <w:t>Les créances à recouvrer des opérations sans contrepartie directe et produits correspondants sont comptabilisés lorsque les relevés de comptabilité A mensuels (y compris les droits recouvrés et les montants garantis et non contestés) des États membres sont reçus. À la date de clôture, les montants recouvrés par les États membres au titre de l’exercice mais encore non versés à la Commission sont évalués et comptabilisés en produits à recevoir. Les relevés de comptabilité B trimestriels (y compris les droits non recouvrés et non garantis, ainsi que les montants garantis mais contestés par le débiteur) reçus des États membres sont comptabilisés en produits, diminués des frais de perception auxquels ils peuvent prétendre. De plus, une réduction de valeur est constatée pour le montant de l’écart de recouvrement estimé.</w:t>
      </w:r>
    </w:p>
    <w:p w:rsidR="00FB0C75" w:rsidRPr="00677A47" w:rsidRDefault="00525E53" w:rsidP="00FB0C75">
      <w:pPr>
        <w:pStyle w:val="HEADER5"/>
        <w:rPr>
          <w:b w:val="0"/>
        </w:rPr>
      </w:pPr>
      <w:r>
        <w:rPr>
          <w:b w:val="0"/>
        </w:rPr>
        <w:t>Amendes</w:t>
      </w:r>
    </w:p>
    <w:p w:rsidR="00FB0C75" w:rsidRDefault="00525E53" w:rsidP="00FB0C75">
      <w:pPr>
        <w:pStyle w:val="DGTextstand-alone"/>
      </w:pPr>
      <w:r>
        <w:t>Les recettes générées par les amendes sont comptabilisées une fois la décision d’imposer une amende arrêtée par l’UE et officiellement notifiée au destinataire. En cas de doute sur la solvabilité de l’entreprise, la créance fait l’objet d’une réduction de valeur. À compter de la notification de la décision de lui imposer une amende, le débiteur dispose d’un délai de deux mois pour:</w:t>
      </w:r>
    </w:p>
    <w:p w:rsidR="00FB0C75" w:rsidRDefault="00525E53" w:rsidP="00FB0C75">
      <w:pPr>
        <w:pStyle w:val="Textstand-alonebulletpointJustified"/>
      </w:pPr>
      <w:r>
        <w:t>soit accepter la décision et par conséquent payer le montant de l’amende dans le délai imparti, et ce montant est définitivement encaissé par l’UE,</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soit ne pas accepter la décision et introduire un recours devant la juridiction de l’UE. </w:t>
      </w:r>
    </w:p>
    <w:p w:rsidR="00FB0C75" w:rsidRDefault="00525E53" w:rsidP="00FB0C75">
      <w:pPr>
        <w:pStyle w:val="DGTextstand-alone"/>
      </w:pPr>
      <w:r>
        <w:t>Malgré cela, l’amende doit être payée dans le délai imparti de trois mois, le recours n’ayant pas d’effet suspensif (article </w:t>
      </w:r>
      <w:r w:rsidRPr="00031A85">
        <w:t>278</w:t>
      </w:r>
      <w:r>
        <w:t xml:space="preserve"> du TUE), ou, dans certaines circonstances et moyennant l’accord du comptable de la Commission, le débiteur peut fournir à la place une garantie bancaire pour le montant de l’amende.</w:t>
      </w:r>
    </w:p>
    <w:p w:rsidR="00FB0C75" w:rsidRDefault="00525E53" w:rsidP="00FB0C75">
      <w:pPr>
        <w:pStyle w:val="DGTextstand-alone"/>
      </w:pPr>
      <w:r>
        <w:t>Si l’entreprise fait appel de la décision et a déjà versé le montant de l’amende à titre provisionnel, celui-ci est comptabilisé comme un passif éventuel. Cependant, étant donné qu’un recours du destinataire contre une décision de l’UE n’a pas d’effet suspensif, la trésorerie reçue est portée en apurement de la créance à recouvrer. Lorsqu’une garantie est fournie en lieu et place du paiement, l’amende reste comptabilisée comme une créance à recouvrer. S’il semble probable que le Tribunal ne se prononce pas en faveur de l’UE, une provision est comptabilisée pour couvrir ce risque. Si une garantie a été fournie en lieu et place du paiement, la valeur de la créance à recouvrer est réduite dans la mesure du nécessaire. Le total des intérêts reçus par la Commission sur les comptes bancaires où les paiements perçus sont déposés est comptabilisé comme un produit et tout passif éventuel est augmenté en conséquence.</w:t>
      </w:r>
    </w:p>
    <w:p w:rsidR="00FB0C75" w:rsidRDefault="00525E53" w:rsidP="00FB0C75">
      <w:pPr>
        <w:pStyle w:val="DGTextstand-alone"/>
      </w:pPr>
      <w:r>
        <w:t xml:space="preserve">Depuis </w:t>
      </w:r>
      <w:r w:rsidRPr="00031A85">
        <w:t>2010</w:t>
      </w:r>
      <w:r>
        <w:t>, les amendes encaissées à titre provisionnel sont gérées par la Commission dans un fonds expressément créé à cet effet (BUFI) et investies dans des instruments financiers.</w:t>
      </w:r>
    </w:p>
    <w:p w:rsidR="00FB0C75" w:rsidRPr="00091BA3" w:rsidRDefault="00525E53" w:rsidP="00FB0C75">
      <w:pPr>
        <w:pStyle w:val="HEADER5"/>
        <w:rPr>
          <w:b w:val="0"/>
        </w:rPr>
      </w:pPr>
      <w:r>
        <w:rPr>
          <w:b w:val="0"/>
        </w:rPr>
        <w:t>PRODUITS DES OPÉRATIONS AVEC CONTREPARTIE DIRECTE</w:t>
      </w:r>
    </w:p>
    <w:p w:rsidR="00FB0C75" w:rsidRDefault="00525E53" w:rsidP="00FB0C75">
      <w:pPr>
        <w:pStyle w:val="DGTextstand-alone"/>
      </w:pPr>
      <w:r>
        <w:t>Le produit de la vente de biens et de services est comptabilisé lorsque l’acheteur s’est vu transférer les risques et avantages importants inhérents à la propriété des biens. La comptabilisation du produit d’une transaction impliquant la fourniture de services se fait en fonction du degré d’avancement de la transaction à la date de clôture.</w:t>
      </w:r>
    </w:p>
    <w:p w:rsidR="00FB0C75" w:rsidRPr="00677A47" w:rsidRDefault="00525E53" w:rsidP="00FB0C75">
      <w:pPr>
        <w:pStyle w:val="HEADER5"/>
        <w:rPr>
          <w:b w:val="0"/>
        </w:rPr>
      </w:pPr>
      <w:r>
        <w:rPr>
          <w:b w:val="0"/>
        </w:rPr>
        <w:t>Produits et charges d’intérêt</w:t>
      </w:r>
    </w:p>
    <w:p w:rsidR="00FB0C75" w:rsidRDefault="00525E53" w:rsidP="00FB0C75">
      <w:pPr>
        <w:pStyle w:val="DGTextstand-alone"/>
      </w:pPr>
      <w:r>
        <w:t>Les produits et charges d’intérêt sont comptabilisés au compte de résultat économique selon la méthode du taux d’intérêt effectif. Cette méthode permet de calculer le coût amorti d’un actif financier ou d’un passif financier et de répartir le produit ou la charge d’intérêt sur la période voulue. Pour calculer le taux d’intérêt effectif, l’UE estime les flux de trésorerie en tenant compte de toutes les conditions contractuelles de l’instrument financier (les options de versement anticipé, par exemple), mais ne tient pas compte des pertes de crédit futures. Ce calcul inclut l’intégralité des commissions et des points payés ou reçus entre les parties au contrat qui font partie intégrante du taux d’intérêt effectif, des coûts de transaction et de toutes les autres primes positives ou négatives.</w:t>
      </w:r>
    </w:p>
    <w:p w:rsidR="00FB0C75" w:rsidRDefault="00525E53" w:rsidP="00FB0C75">
      <w:pPr>
        <w:pStyle w:val="DGTextstand-alone"/>
      </w:pPr>
      <w:r>
        <w:t>Dès qu’un actif financier ou un groupe d’actifs financiers similaires a été déprécié à la suite d’une perte de valeur, les produits d’intérêt sont comptabilisés sur la base du taux d’intérêt pour actualiser les flux de trésorerie futurs en vue d’évaluer la perte de valeur.</w:t>
      </w:r>
    </w:p>
    <w:p w:rsidR="00FB0C75" w:rsidRPr="00677A47" w:rsidRDefault="00525E53" w:rsidP="00FB0C75">
      <w:pPr>
        <w:pStyle w:val="HEADER5"/>
        <w:rPr>
          <w:b w:val="0"/>
        </w:rPr>
      </w:pPr>
      <w:r>
        <w:rPr>
          <w:b w:val="0"/>
        </w:rPr>
        <w:t>Dividendes</w:t>
      </w:r>
    </w:p>
    <w:p w:rsidR="00FB0C75" w:rsidRDefault="00525E53" w:rsidP="00FB0C75">
      <w:pPr>
        <w:pStyle w:val="DGTextstand-alone"/>
      </w:pPr>
      <w:r>
        <w:t>Les dividendes sont comptabilisés lorsque le droit de l’actionnaire de percevoir le paiement est établi.</w:t>
      </w:r>
    </w:p>
    <w:p w:rsidR="00FB0C75" w:rsidRPr="005D15F9" w:rsidRDefault="00525E53" w:rsidP="00FB0C75">
      <w:pPr>
        <w:pStyle w:val="HEADER3Part2"/>
      </w:pPr>
      <w:r>
        <w:t>Dépenses</w:t>
      </w:r>
    </w:p>
    <w:p w:rsidR="00FB0C75" w:rsidRDefault="00525E53" w:rsidP="00FB0C75">
      <w:pPr>
        <w:pStyle w:val="DGTextstand-alone"/>
      </w:pPr>
      <w:r>
        <w:t>Les charges liées à des opérations sans contrepartie directe représentent la majeure partie des charges de l’UE. Elles concernent les transferts à des bénéficiaires et peuvent relever de trois catégories: les créances, les transferts dans le cadre de contrats et les subventions, apports et dons discrétionnaires.</w:t>
      </w:r>
    </w:p>
    <w:p w:rsidR="00FB0C75" w:rsidRDefault="00525E53" w:rsidP="00FB0C75">
      <w:pPr>
        <w:pStyle w:val="DGTextstand-alone"/>
      </w:pPr>
      <w:r>
        <w:t>Les transferts sont comptabilisés en charges de l’exercice au cours duquel les événements donnant lieu à transfert se sont produits, pour autant que la nature du transfert considéré soit autorisée par la réglementation (règlement financier, statut ou autre) ou qu’un accord signé autorise le transfert, que le bénéficiaire réponde aux éventuels critères d’éligibilité et que le montant puisse être raisonnablement estimé.</w:t>
      </w:r>
    </w:p>
    <w:p w:rsidR="00FB0C75" w:rsidRDefault="00525E53" w:rsidP="00FB0C75">
      <w:pPr>
        <w:pStyle w:val="DGTextstand-alone"/>
      </w:pPr>
      <w:r>
        <w:t>Lorsqu’une demande de paiement ou une déclaration de dépenses satisfaisant aux critères de comptabilisation est reçue, elle est comptabilisée en charges à concurrence du montant éligible. En fin d’exercice, les dépenses éligibles encourues dues aux bénéficiaires mais non encore déclarées sont estimées et comptabilisées en charges à payer.</w:t>
      </w:r>
    </w:p>
    <w:p w:rsidR="00FB0C75" w:rsidRDefault="00525E53" w:rsidP="00FB0C75">
      <w:pPr>
        <w:pStyle w:val="DGTextstand-alone"/>
      </w:pPr>
      <w:r>
        <w:t>Les charges liées à des opérations avec contrepartie directe telles que des achats de biens ou de services sont comptabilisées lorsque les fournitures sont livrées et acceptées par l’UE. Elles sont valorisées au montant de la facture d'origine. En outre, à la date de clôture, les dépenses liées aux services fournis au cours de la période pour lesquels une facture n’a pas encore été reçue ou acceptée sont estimées et portées au compte de résultat économique.</w:t>
      </w:r>
    </w:p>
    <w:p w:rsidR="00342FE4" w:rsidRDefault="00342FE4" w:rsidP="00FB0C75">
      <w:pPr>
        <w:pStyle w:val="DGTextstand-alone"/>
      </w:pPr>
    </w:p>
    <w:p w:rsidR="00FB0C75" w:rsidRPr="00632B75" w:rsidRDefault="00525E53" w:rsidP="00FB0C75">
      <w:pPr>
        <w:pStyle w:val="HEADER2Part2"/>
      </w:pPr>
      <w:r>
        <w:t>ÉLÉMENTS D’ACTIF ET DE PASSIF ÉVENTUELS</w:t>
      </w:r>
    </w:p>
    <w:p w:rsidR="00FB0C75" w:rsidRPr="005D15F9" w:rsidRDefault="00525E53" w:rsidP="00FB0C75">
      <w:pPr>
        <w:pStyle w:val="HEADER3Part2"/>
      </w:pPr>
      <w:r>
        <w:t>Actif éventuel</w:t>
      </w:r>
    </w:p>
    <w:p w:rsidR="00FB0C75" w:rsidRDefault="00525E53" w:rsidP="00FB0C75">
      <w:pPr>
        <w:pStyle w:val="DGTextstand-alone"/>
      </w:pPr>
      <w:r>
        <w:t>Un actif éventuel est un actif potentiel résultant d’événements passés et dont l’existence ne sera confirmée que par la survenance ou non d’un ou plusieurs événements futurs incertains qui ne sont pas entièrement sous le contrôle de l’UE. Un actif éventuel est indiqué lorsque l’entrée d’avantages économiques ou un potentiel de service est probable.</w:t>
      </w:r>
    </w:p>
    <w:p w:rsidR="00FB0C75" w:rsidRPr="005D15F9" w:rsidRDefault="00525E53" w:rsidP="00FB0C75">
      <w:pPr>
        <w:pStyle w:val="HEADER3Part2"/>
      </w:pPr>
      <w:r>
        <w:t>Passif éventuel</w:t>
      </w:r>
    </w:p>
    <w:p w:rsidR="00FB0C75" w:rsidRDefault="00525E53" w:rsidP="00FB0C75">
      <w:pPr>
        <w:pStyle w:val="DGTextstand-alone"/>
        <w:spacing w:after="0"/>
      </w:pPr>
      <w:r>
        <w:t>Un passif éventuel est une obligation potentielle résultant d’événements passés et dont l’existence ne sera confirmée que par la survenance ou non d’un ou plusieurs événements futurs incertains qui ne sont pas entièrement sous le contrôle de l’UE, ou une obligation actuelle résultant d’événements passés mais non comptabilisée, soit parce qu’il est peu probable qu’une sortie de ressources représentatives d’avantages économiques ou d'un potentiel de service sera nécessaire pour régler l’obligation, soit dans les cas extrêmement rares où aucune estimation fiable ne peut être faite pour le montant de l’obligation.</w:t>
      </w:r>
    </w:p>
    <w:p w:rsidR="00FB0C75" w:rsidRDefault="00FB0C75" w:rsidP="00FB0C75">
      <w:pPr>
        <w:pStyle w:val="DGTextstand-alone"/>
        <w:spacing w:after="0"/>
      </w:pPr>
    </w:p>
    <w:p w:rsidR="00FB0C75" w:rsidRDefault="00525E53" w:rsidP="00FB0C75">
      <w:pPr>
        <w:pStyle w:val="HEADER2Part2"/>
      </w:pPr>
      <w:r>
        <w:t>TABLEAU DES FLUX DE TRÉSORERIE</w:t>
      </w:r>
    </w:p>
    <w:p w:rsidR="00FB0C75" w:rsidRDefault="00525E53" w:rsidP="00FB0C75">
      <w:pPr>
        <w:pStyle w:val="DGTextstand-alone"/>
        <w:spacing w:after="0"/>
      </w:pPr>
      <w:r>
        <w:t>Les informations relatives aux flux de trésorerie constituent une base pour évaluer la capacité de l’UE à générer de la trésorerie et des équivalents de trésorerie ainsi que ses besoins en termes d’utilisation de ces flux de trésorerie.</w:t>
      </w:r>
    </w:p>
    <w:p w:rsidR="00FB0C75" w:rsidRDefault="00525E53" w:rsidP="00FB0C75">
      <w:pPr>
        <w:pStyle w:val="DGTextstand-alone"/>
        <w:spacing w:after="0"/>
      </w:pPr>
      <w:r>
        <w:t>Le tableau des flux de trésorerie est établi à l’aide de la méthode indirecte. Cela signifie que le résultat économique de l’exercice est ajusté des effets des transactions sans effet de trésorerie, des décalages ou régularisations d’entrées ou de sorties de trésorerie opérationnelle passées ou futures et des éléments de produits ou de charges liés aux flux de trésorerie concernant les investissements.</w:t>
      </w:r>
    </w:p>
    <w:p w:rsidR="00FB0C75" w:rsidRDefault="00525E53" w:rsidP="00FB0C75">
      <w:pPr>
        <w:pStyle w:val="DGTextstand-alone"/>
        <w:spacing w:after="0"/>
      </w:pPr>
      <w:r>
        <w:t>Les flux de trésorerie provenant de transactions en monnaie étrangère sont enregistrés dans la monnaie de présentation des états financiers de l’UE (l’euro), par application au montant en devise du taux de change entre l’euro et la devise à la date de ces flux.</w:t>
      </w:r>
    </w:p>
    <w:p w:rsidR="00FB0C75" w:rsidRDefault="00525E53" w:rsidP="00FB0C75">
      <w:pPr>
        <w:pStyle w:val="DGTextstand-alone"/>
        <w:spacing w:after="0"/>
      </w:pPr>
      <w:r>
        <w:t>Le tableau des flux de trésorerie présente les flux de trésorerie de l’exercice classés en activités opérationnelles et d’investissement (l’UE n’a pas d’activités de financement).</w:t>
      </w:r>
    </w:p>
    <w:p w:rsidR="00FB0C75" w:rsidRDefault="00525E53" w:rsidP="00FB0C75">
      <w:pPr>
        <w:pStyle w:val="DGTextstand-alone"/>
        <w:spacing w:after="0"/>
      </w:pPr>
      <w:r>
        <w:t>Les activités opérationnelles correspondent aux activités de l’UE autres que des activités d’investissement. Il s’agit de la majorité des activités effectuées. Les prêts octroyés aux bénéficiaires (et les emprunts connexes, le cas échéant) ne sont pas considérés comme des activités d’investissement (ou de financement), étant donné qu’ils font partie des objectifs généraux et donc des opérations quotidiennes de l’UE. Les activités opérationnelles comprennent également les investissements tels que ceux du Fonds européen d'investissement (FEI) et de la Banque européenne pour la reconstruction et le développement (BERD), ainsi que les fonds de capital-risque. Ces activités visent en effet à contribuer à la réalisation d’objectifs politiques.</w:t>
      </w:r>
    </w:p>
    <w:p w:rsidR="00FB0C75" w:rsidRDefault="00525E53" w:rsidP="00FB0C75">
      <w:pPr>
        <w:pStyle w:val="DGTextstand-alone"/>
        <w:spacing w:after="0"/>
      </w:pPr>
      <w:r>
        <w:t>Les activités d’investissement couvrent l’acquisition et la cession d’immobilisations corporelles et incorporelles ainsi que d’autres placements qui ne sont pas inclus dans les équivalents de trésorerie. Les activités d’investissement n’incluent pas les prêts octroyés aux bénéficiaires. L’objectif est de faire apparaître les véritables investissements effectués par l’UE.</w:t>
      </w:r>
    </w:p>
    <w:p w:rsidR="00FB0C75" w:rsidRPr="00F9658A" w:rsidRDefault="00525E53" w:rsidP="00FB0C75">
      <w:pPr>
        <w:pStyle w:val="DGTextstand-alone"/>
        <w:spacing w:before="0" w:after="0"/>
        <w:sectPr w:rsidR="00FB0C75" w:rsidRPr="00F9658A" w:rsidSect="00FB0C75">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134" w:right="1134" w:bottom="1134" w:left="1134" w:header="709" w:footer="709" w:gutter="0"/>
          <w:cols w:space="708"/>
          <w:docGrid w:linePitch="360"/>
        </w:sectPr>
      </w:pPr>
      <w:r>
        <w:t xml:space="preserve"> </w:t>
      </w:r>
      <w:bookmarkEnd w:id="191"/>
    </w:p>
    <w:p w:rsidR="00FB0C75" w:rsidRDefault="00525E53" w:rsidP="00FB0C75">
      <w:pPr>
        <w:pStyle w:val="HEADER1Part2"/>
        <w:spacing w:after="0"/>
      </w:pPr>
      <w:bookmarkStart w:id="194" w:name="_Toc485724202"/>
      <w:bookmarkStart w:id="195" w:name="_Toc491678829"/>
      <w:bookmarkStart w:id="196" w:name="_DMBM_8939"/>
      <w:r>
        <w:t>NOTES ANNEXES AU BILAN</w:t>
      </w:r>
      <w:bookmarkEnd w:id="194"/>
      <w:bookmarkEnd w:id="195"/>
    </w:p>
    <w:p w:rsidR="00FB0C75" w:rsidRPr="002F4182" w:rsidRDefault="00525E53" w:rsidP="00FB0C75">
      <w:pPr>
        <w:pStyle w:val="Textstand-alone"/>
        <w:spacing w:before="0"/>
        <w:sectPr w:rsidR="00FB0C75" w:rsidRPr="002F4182" w:rsidSect="00FB0C75">
          <w:headerReference w:type="even" r:id="rId112"/>
          <w:headerReference w:type="default" r:id="rId113"/>
          <w:footerReference w:type="even" r:id="rId114"/>
          <w:footerReference w:type="default" r:id="rId115"/>
          <w:headerReference w:type="first" r:id="rId116"/>
          <w:footerReference w:type="first" r:id="rId117"/>
          <w:pgSz w:w="11906" w:h="16838"/>
          <w:pgMar w:top="1134" w:right="1134" w:bottom="1134" w:left="1134" w:header="709" w:footer="709" w:gutter="0"/>
          <w:cols w:space="708"/>
          <w:docGrid w:linePitch="360"/>
        </w:sectPr>
      </w:pPr>
      <w:r>
        <w:t xml:space="preserve"> </w:t>
      </w:r>
      <w:bookmarkEnd w:id="196"/>
    </w:p>
    <w:p w:rsidR="00FB0C75" w:rsidRDefault="00525E53" w:rsidP="00FB0C75">
      <w:pPr>
        <w:pStyle w:val="HEADERTABLE"/>
        <w:spacing w:after="0"/>
      </w:pPr>
      <w:bookmarkStart w:id="197" w:name="_DMBM_8972"/>
      <w:r>
        <w:t>ACTIFS</w:t>
      </w:r>
    </w:p>
    <w:p w:rsidR="00FB0C75" w:rsidRPr="00E9094D" w:rsidRDefault="00525E53" w:rsidP="00FB0C75">
      <w:pPr>
        <w:pStyle w:val="Textstand-alone"/>
        <w:spacing w:before="0" w:after="0"/>
        <w:sectPr w:rsidR="00FB0C75" w:rsidRPr="00E9094D" w:rsidSect="00FB0C75">
          <w:headerReference w:type="even" r:id="rId118"/>
          <w:headerReference w:type="default" r:id="rId119"/>
          <w:footerReference w:type="even" r:id="rId120"/>
          <w:footerReference w:type="default" r:id="rId121"/>
          <w:headerReference w:type="first" r:id="rId122"/>
          <w:footerReference w:type="first" r:id="rId123"/>
          <w:type w:val="continuous"/>
          <w:pgSz w:w="11906" w:h="16838"/>
          <w:pgMar w:top="1134" w:right="1134" w:bottom="1134" w:left="1134" w:header="709" w:footer="709" w:gutter="0"/>
          <w:cols w:space="708"/>
          <w:docGrid w:linePitch="360"/>
        </w:sectPr>
      </w:pPr>
      <w:r>
        <w:t xml:space="preserve"> </w:t>
      </w:r>
      <w:bookmarkEnd w:id="197"/>
    </w:p>
    <w:p w:rsidR="00FB0C75" w:rsidRDefault="00525E53" w:rsidP="00FB0C75">
      <w:pPr>
        <w:pStyle w:val="HEADER2Part2"/>
      </w:pPr>
      <w:bookmarkStart w:id="198" w:name="_DMBM_8895"/>
      <w:r>
        <w:t>IMMOBILISATIONS INCORPORELLES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9" w:name="DOC_TBL00007_1_1"/>
            <w:bookmarkEnd w:id="199"/>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en Mio EUR </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Valeur brute comptable au </w:t>
            </w:r>
            <w:r w:rsidRPr="00031A85">
              <w:t>31</w:t>
            </w:r>
            <w:r>
              <w:t>.</w:t>
            </w:r>
            <w:r w:rsidRPr="00031A85">
              <w:t>12</w:t>
            </w:r>
            <w:r>
              <w:t>.</w:t>
            </w:r>
            <w:r w:rsidRPr="00031A85">
              <w:t>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698</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Ajouts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137</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de cessions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w:t>
            </w: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Virements entre catégories d’actifs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 changements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Valeur brute comptable au </w:t>
            </w:r>
            <w:r w:rsidRPr="00031A85">
              <w:t>31</w:t>
            </w:r>
            <w:r>
              <w:t>.</w:t>
            </w:r>
            <w:r w:rsidRPr="00031A85">
              <w:t>12</w:t>
            </w:r>
            <w:r>
              <w:t>.</w:t>
            </w:r>
            <w:r w:rsidRPr="00031A85">
              <w:t>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820</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Cumul des amortissements au </w:t>
            </w:r>
            <w:r w:rsidRPr="00031A85">
              <w:t>31</w:t>
            </w:r>
            <w:r>
              <w:t>.</w:t>
            </w:r>
            <w:r w:rsidRPr="00031A85">
              <w:t>12</w:t>
            </w:r>
            <w:r>
              <w:t>.</w:t>
            </w:r>
            <w:r w:rsidRPr="00031A85">
              <w:t>2015</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361</w:t>
            </w: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Dotations aux amortissements pour l’exercice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88</w:t>
            </w: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de cessions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Virements entre catégories d’actifs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 changements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w:t>
            </w:r>
            <w:r>
              <w:t>)</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Cumul des amortissements au </w:t>
            </w:r>
            <w:r w:rsidRPr="00031A85">
              <w:t>31</w:t>
            </w:r>
            <w:r>
              <w:t>.</w:t>
            </w:r>
            <w:r w:rsidRPr="00031A85">
              <w:t>12</w:t>
            </w:r>
            <w:r>
              <w:t>.</w:t>
            </w:r>
            <w:r w:rsidRPr="00031A85">
              <w:t>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439</w:t>
            </w:r>
            <w:r>
              <w:t>)</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Valeur nette comptable au </w:t>
            </w:r>
            <w:r w:rsidRPr="00031A85">
              <w:t>31</w:t>
            </w:r>
            <w:r>
              <w:t>.</w:t>
            </w:r>
            <w:r w:rsidRPr="00031A85">
              <w:t>12</w:t>
            </w:r>
            <w:r>
              <w:t>.</w:t>
            </w:r>
            <w:r w:rsidRPr="00031A85">
              <w:t>2016</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381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Valeur nette comptable au </w:t>
            </w:r>
            <w:r w:rsidRPr="00031A85">
              <w:t>31</w:t>
            </w:r>
            <w:r>
              <w:t>.</w:t>
            </w:r>
            <w:r w:rsidRPr="00031A85">
              <w:t>12</w:t>
            </w:r>
            <w:r>
              <w:t>.</w:t>
            </w:r>
            <w:r w:rsidRPr="00031A85">
              <w:t>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337</w:t>
            </w:r>
          </w:p>
        </w:tc>
      </w:tr>
    </w:tbl>
    <w:p w:rsidR="00FB0C75" w:rsidRPr="00BE4A62" w:rsidRDefault="00525E53" w:rsidP="00FB0C75">
      <w:pPr>
        <w:pStyle w:val="Textstand-alone"/>
      </w:pPr>
      <w:r>
        <w:t>Les montants ci-dessus correspondent essentiellement à des logiciels informatiques.</w:t>
      </w:r>
    </w:p>
    <w:p w:rsidR="00FB0C75" w:rsidRPr="002B5C07" w:rsidRDefault="00525E53" w:rsidP="00FB0C75">
      <w:pPr>
        <w:pStyle w:val="Textstand-alone"/>
        <w:spacing w:before="0"/>
        <w:rPr>
          <w:i/>
        </w:rPr>
        <w:sectPr w:rsidR="00FB0C75" w:rsidRPr="002B5C07" w:rsidSect="00FB0C75">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9" w:footer="709" w:gutter="0"/>
          <w:cols w:space="708"/>
          <w:docGrid w:linePitch="360"/>
        </w:sectPr>
      </w:pPr>
      <w:r>
        <w:rPr>
          <w:i/>
        </w:rPr>
        <w:t xml:space="preserve"> </w:t>
      </w:r>
      <w:bookmarkEnd w:id="198"/>
    </w:p>
    <w:p w:rsidR="00FB0C75" w:rsidRDefault="00525E53" w:rsidP="00FB0C75">
      <w:pPr>
        <w:pStyle w:val="HEADER2Part2"/>
      </w:pPr>
      <w:bookmarkStart w:id="200" w:name="_DMBM_8896"/>
      <w:r>
        <w:t>IMMOBILISATIONS CORPORELLES</w:t>
      </w:r>
    </w:p>
    <w:p w:rsidR="00FB0C75" w:rsidRDefault="00525E53" w:rsidP="00FB0C75">
      <w:pPr>
        <w:pStyle w:val="Textstand-alone"/>
        <w:spacing w:after="0"/>
        <w:rPr>
          <w:noProof w:val="0"/>
        </w:rPr>
      </w:pPr>
      <w:bookmarkStart w:id="201" w:name="DOC_TBL00001_1_1_1"/>
      <w:bookmarkEnd w:id="201"/>
      <w:r>
        <w:t xml:space="preserve">La catégorie des actifs spatiaux recouvre les immobilisations liées aux deux programmes spatiaux de l’UE: les systèmes globaux de navigation par satellite (GNSS) – Galileo et EGNOS, et le programme européen d’observation de la Terre Copernicus. En </w:t>
      </w:r>
      <w:r w:rsidRPr="00031A85">
        <w:t>2015</w:t>
      </w:r>
      <w:r>
        <w:t xml:space="preserve">, les immobilisations liées à EGNOS et Copernicus, qui s’élevaient à </w:t>
      </w:r>
      <w:r w:rsidRPr="00031A85">
        <w:t>584</w:t>
      </w:r>
      <w:r>
        <w:t> millions d’EUR, ont été inscrites dans la catégorie «Installations de production».</w:t>
      </w:r>
    </w:p>
    <w:p w:rsidR="00FB0C75" w:rsidRDefault="00525E53" w:rsidP="00FB0C75">
      <w:pPr>
        <w:pStyle w:val="Textstand-alone"/>
        <w:spacing w:after="0"/>
        <w:rPr>
          <w:noProof w:val="0"/>
        </w:rPr>
      </w:pPr>
      <w:r>
        <w:t xml:space="preserve">Pour Galileo, à la suite de la déclaration de services initiaux, le </w:t>
      </w:r>
      <w:r w:rsidRPr="00031A85">
        <w:t>15</w:t>
      </w:r>
      <w:r>
        <w:t> décembre </w:t>
      </w:r>
      <w:r w:rsidRPr="00031A85">
        <w:t>2016</w:t>
      </w:r>
      <w:r>
        <w:t xml:space="preserve">, un solde de </w:t>
      </w:r>
      <w:r w:rsidRPr="00031A85">
        <w:t>2</w:t>
      </w:r>
      <w:r>
        <w:t>,</w:t>
      </w:r>
      <w:r w:rsidRPr="00031A85">
        <w:t>165</w:t>
      </w:r>
      <w:r>
        <w:t xml:space="preserve"> milliards d’EUR correspondant à des actifs liés aux satellites et au segment terrestre a été transféré des immobilisations en cours vers l’actif immobilisé, dont </w:t>
      </w:r>
      <w:r w:rsidRPr="00031A85">
        <w:t>14</w:t>
      </w:r>
      <w:r>
        <w:t xml:space="preserve"> satellites Galileo opérationnels et l’infrastructure au sol. Les actifs immobilisés opérationnels de Galileo s'élevaient à </w:t>
      </w:r>
      <w:r w:rsidRPr="00031A85">
        <w:t>2</w:t>
      </w:r>
      <w:r>
        <w:t>,</w:t>
      </w:r>
      <w:r w:rsidRPr="00031A85">
        <w:t>146</w:t>
      </w:r>
      <w:r>
        <w:t xml:space="preserve"> milliards d’EUR, nets d’amortissements, au </w:t>
      </w:r>
      <w:r w:rsidRPr="00031A85">
        <w:t>31</w:t>
      </w:r>
      <w:r>
        <w:t> décembre </w:t>
      </w:r>
      <w:r w:rsidRPr="00031A85">
        <w:t>2016</w:t>
      </w:r>
      <w:r>
        <w:t xml:space="preserve">. Les immobilisations en cours restantes, qui s'élèvent à </w:t>
      </w:r>
      <w:r w:rsidRPr="00031A85">
        <w:t>756</w:t>
      </w:r>
      <w:r>
        <w:t xml:space="preserve"> millions d’EUR (contre </w:t>
      </w:r>
      <w:r w:rsidRPr="00031A85">
        <w:t>2</w:t>
      </w:r>
      <w:r>
        <w:t>,</w:t>
      </w:r>
      <w:r w:rsidRPr="00031A85">
        <w:t>110</w:t>
      </w:r>
      <w:r>
        <w:t xml:space="preserve"> milliards d’EUR en </w:t>
      </w:r>
      <w:r w:rsidRPr="00031A85">
        <w:t>2015</w:t>
      </w:r>
      <w:r>
        <w:t xml:space="preserve">), comprennent quatre satellites lancés en </w:t>
      </w:r>
      <w:r w:rsidRPr="00031A85">
        <w:t>2016</w:t>
      </w:r>
      <w:r>
        <w:t xml:space="preserve"> pour lesquels les essais en orbite n’avaient pas encore été menés à bien à la date de clôture. Le développement du système Galileo se poursuivra jusqu’à ce que le système devienne pleinement opérationnel. La constellation Galileo comptera alors </w:t>
      </w:r>
      <w:r w:rsidRPr="00031A85">
        <w:t>30</w:t>
      </w:r>
      <w:r>
        <w:t> satellites.</w:t>
      </w:r>
    </w:p>
    <w:p w:rsidR="00FB0C75" w:rsidRDefault="00525E53" w:rsidP="00FB0C75">
      <w:pPr>
        <w:pStyle w:val="Textstand-alone"/>
        <w:spacing w:after="0"/>
        <w:rPr>
          <w:noProof w:val="0"/>
        </w:rPr>
      </w:pPr>
      <w:r>
        <w:t xml:space="preserve">En ce qui concerne Copernicus, un montant de </w:t>
      </w:r>
      <w:r w:rsidRPr="00031A85">
        <w:t>1</w:t>
      </w:r>
      <w:r>
        <w:t>,</w:t>
      </w:r>
      <w:r w:rsidRPr="00031A85">
        <w:t>073</w:t>
      </w:r>
      <w:r>
        <w:t xml:space="preserve"> milliard d’EUR correspondant à des satellites en exploitation (Sentinel </w:t>
      </w:r>
      <w:r w:rsidRPr="00031A85">
        <w:t>1</w:t>
      </w:r>
      <w:r>
        <w:t xml:space="preserve">A, </w:t>
      </w:r>
      <w:r w:rsidRPr="00031A85">
        <w:t>2</w:t>
      </w:r>
      <w:r>
        <w:t xml:space="preserve">A, </w:t>
      </w:r>
      <w:r w:rsidRPr="00031A85">
        <w:t>3</w:t>
      </w:r>
      <w:r>
        <w:t xml:space="preserve">A et </w:t>
      </w:r>
      <w:r w:rsidRPr="00031A85">
        <w:t>1</w:t>
      </w:r>
      <w:r>
        <w:t xml:space="preserve">B) est comptabilisé sous la rubrique «Actifs spatiaux» (contre </w:t>
      </w:r>
      <w:r w:rsidRPr="00031A85">
        <w:t>498</w:t>
      </w:r>
      <w:r>
        <w:t xml:space="preserve"> millions d’EUR en </w:t>
      </w:r>
      <w:r w:rsidRPr="00031A85">
        <w:t>2015</w:t>
      </w:r>
      <w:r>
        <w:t xml:space="preserve">), nets de cumul d'amortissements. Un montant supplémentaire de </w:t>
      </w:r>
      <w:r w:rsidRPr="00031A85">
        <w:t>1</w:t>
      </w:r>
      <w:r>
        <w:t>,</w:t>
      </w:r>
      <w:r w:rsidRPr="00031A85">
        <w:t>133</w:t>
      </w:r>
      <w:r>
        <w:t xml:space="preserve"> milliard d’EUR correspondant aux satellites Copernicus est inscrit en tant qu’immobilisations en cours (contre </w:t>
      </w:r>
      <w:r w:rsidRPr="00031A85">
        <w:t>1</w:t>
      </w:r>
      <w:r>
        <w:t>,</w:t>
      </w:r>
      <w:r w:rsidRPr="00031A85">
        <w:t>188</w:t>
      </w:r>
      <w:r>
        <w:t> milliard d’EUR en </w:t>
      </w:r>
      <w:r w:rsidRPr="00031A85">
        <w:t>2015</w:t>
      </w:r>
      <w:r>
        <w:t>).</w:t>
      </w:r>
    </w:p>
    <w:p w:rsidR="00FB0C75" w:rsidRDefault="00525E53" w:rsidP="00FB0C75">
      <w:pPr>
        <w:pStyle w:val="Textstand-alone"/>
        <w:spacing w:after="0"/>
        <w:rPr>
          <w:noProof w:val="0"/>
        </w:rPr>
      </w:pPr>
      <w:r>
        <w:t xml:space="preserve">Des immobilisations liées à l’infrastructure au sol du système européen de navigation par recouvrement géostationnaire (EGNOS), d'un montant de </w:t>
      </w:r>
      <w:r w:rsidRPr="00031A85">
        <w:t>83</w:t>
      </w:r>
      <w:r>
        <w:t xml:space="preserve"> millions d’EUR (contre </w:t>
      </w:r>
      <w:r w:rsidRPr="00031A85">
        <w:t>85</w:t>
      </w:r>
      <w:r>
        <w:t xml:space="preserve"> millions d’EUR en </w:t>
      </w:r>
      <w:r w:rsidRPr="00031A85">
        <w:t>2015</w:t>
      </w:r>
      <w:r>
        <w:t xml:space="preserve">), figurent également dans la rubrique «Actifs spatiaux». En outre, les immobilisations en cours liées à EGNOS s'élèvent à </w:t>
      </w:r>
      <w:r w:rsidRPr="00031A85">
        <w:t>21</w:t>
      </w:r>
      <w:r>
        <w:t xml:space="preserve"> millions d’EUR (contre </w:t>
      </w:r>
      <w:r w:rsidRPr="00031A85">
        <w:t>14</w:t>
      </w:r>
      <w:r>
        <w:t> millions d’EUR en </w:t>
      </w:r>
      <w:r w:rsidRPr="00031A85">
        <w:t>2015</w:t>
      </w:r>
      <w:r>
        <w:t>).</w:t>
      </w:r>
    </w:p>
    <w:p w:rsidR="00FB0C75" w:rsidRDefault="00525E53" w:rsidP="00FB0C75">
      <w:pPr>
        <w:pStyle w:val="Textstand-alone"/>
        <w:spacing w:after="0"/>
        <w:rPr>
          <w:noProof w:val="0"/>
        </w:rPr>
      </w:pPr>
      <w:r>
        <w:t>Les actifs liés aux programmes spatiaux de l’UE sont construits avec l’aide de l’Agence spatiale européenne (ESA).</w:t>
      </w:r>
    </w:p>
    <w:p w:rsidR="00FB0C75" w:rsidRDefault="00525E53" w:rsidP="00FB0C75">
      <w:pPr>
        <w:pStyle w:val="Textstand-alone"/>
        <w:spacing w:after="0"/>
        <w:rPr>
          <w:noProof w:val="0"/>
        </w:rPr>
        <w:sectPr w:rsidR="00FB0C75" w:rsidSect="00FB0C75">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9" w:footer="709" w:gutter="0"/>
          <w:cols w:space="708"/>
          <w:docGrid w:linePitch="360"/>
        </w:sectPr>
      </w:pPr>
      <w:r>
        <w:t xml:space="preserve"> </w:t>
      </w:r>
      <w:bookmarkEnd w:id="200"/>
    </w:p>
    <w:p w:rsidR="00FB0C75" w:rsidRDefault="00525E53" w:rsidP="00FB0C75">
      <w:pPr>
        <w:pStyle w:val="HEADERTABLE"/>
      </w:pPr>
      <w:bookmarkStart w:id="202" w:name="_DMBM_8960"/>
      <w:r>
        <w:t>Immobilisations corporelles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227"/>
        <w:gridCol w:w="1325"/>
        <w:gridCol w:w="1134"/>
      </w:tblGrid>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3" w:name="DOC_TBL00008_1_1"/>
            <w:bookmarkEnd w:id="203"/>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2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2459" w:type="dxa"/>
            <w:gridSpan w:val="2"/>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AB10B7">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Terrains et bâtiments</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Actifs spatiaux</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Installations de production</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Mobilier et véhicules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Matériel informa</w:t>
            </w:r>
            <w:r w:rsidR="00AB6769">
              <w:t>-</w:t>
            </w:r>
            <w:r>
              <w:t>tique</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Autres</w:t>
            </w:r>
          </w:p>
        </w:tc>
        <w:tc>
          <w:tcPr>
            <w:tcW w:w="122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Contrats de location-financement</w:t>
            </w:r>
          </w:p>
        </w:tc>
        <w:tc>
          <w:tcPr>
            <w:tcW w:w="132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Immobilisa</w:t>
            </w:r>
            <w:r w:rsidR="00AB10B7">
              <w:t>-</w:t>
            </w:r>
            <w:r>
              <w:t>tions en cours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Total</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Valeur brute comptable au </w:t>
            </w:r>
            <w:r w:rsidRPr="00031A85">
              <w:t>31</w:t>
            </w:r>
            <w:r>
              <w:t>.</w:t>
            </w:r>
            <w:r w:rsidRPr="00031A85">
              <w:t>12</w:t>
            </w:r>
            <w:r>
              <w:t>.</w:t>
            </w:r>
            <w:r w:rsidRPr="00031A85">
              <w:t>2015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w:t>
            </w:r>
            <w:r>
              <w:t xml:space="preserve"> </w:t>
            </w:r>
            <w:r w:rsidRPr="00031A85">
              <w:t>856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725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563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248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627</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277</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 xml:space="preserve"> </w:t>
            </w:r>
            <w:r w:rsidRPr="00031A85">
              <w:t>784</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r>
              <w:t xml:space="preserve"> </w:t>
            </w:r>
            <w:r w:rsidRPr="00031A85">
              <w:t>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13</w:t>
            </w:r>
            <w:r>
              <w:t xml:space="preserve"> </w:t>
            </w:r>
            <w:r w:rsidRPr="00031A85">
              <w:t>911</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Ajouts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28</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20</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 xml:space="preserve"> </w:t>
            </w:r>
            <w:r w:rsidRPr="00031A85">
              <w:t>639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 xml:space="preserve"> </w:t>
            </w:r>
            <w:r w:rsidRPr="00031A85">
              <w:t>945</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Produits de cessions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49</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w:t>
            </w:r>
            <w:r>
              <w:t>)</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r>
              <w:t>)</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90</w:t>
            </w:r>
            <w:r>
              <w:t>)</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Virements entre catégories d’actifs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294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 xml:space="preserve"> </w:t>
            </w:r>
            <w:r w:rsidRPr="00031A85">
              <w:t>864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r>
              <w:t xml:space="preserve"> </w:t>
            </w:r>
            <w:r w:rsidRPr="00031A85">
              <w:t>177</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r w:rsidR="005B4EEC" w:rsidTr="00AB10B7">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Autres changements</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p>
        </w:tc>
        <w:tc>
          <w:tcPr>
            <w:tcW w:w="1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32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16</w:t>
            </w:r>
          </w:p>
        </w:tc>
      </w:tr>
      <w:tr w:rsidR="005B4EEC" w:rsidTr="00AB10B7">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t xml:space="preserve">Valeur brute comptable au </w:t>
            </w:r>
            <w:r w:rsidRPr="00031A85">
              <w:t>31</w:t>
            </w:r>
            <w:r>
              <w:t>.</w:t>
            </w:r>
            <w:r w:rsidRPr="00031A85">
              <w:t>12</w:t>
            </w:r>
            <w:r>
              <w:t>.</w:t>
            </w:r>
            <w:r w:rsidRPr="00031A85">
              <w:t>2016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5</w:t>
            </w:r>
            <w:r>
              <w:t xml:space="preserve"> </w:t>
            </w:r>
            <w:r w:rsidRPr="00031A85">
              <w:t>297</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w:t>
            </w:r>
            <w:r>
              <w:t xml:space="preserve"> </w:t>
            </w:r>
            <w:r w:rsidRPr="00031A85">
              <w:t>603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583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269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658</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298</w:t>
            </w:r>
          </w:p>
        </w:tc>
        <w:tc>
          <w:tcPr>
            <w:tcW w:w="1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w:t>
            </w:r>
            <w:r>
              <w:t xml:space="preserve"> </w:t>
            </w:r>
            <w:r w:rsidRPr="00031A85">
              <w:t>783</w:t>
            </w:r>
          </w:p>
        </w:tc>
        <w:tc>
          <w:tcPr>
            <w:tcW w:w="132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w:t>
            </w:r>
            <w:r>
              <w:t xml:space="preserve"> </w:t>
            </w:r>
            <w:r w:rsidRPr="00031A85">
              <w:t>292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15</w:t>
            </w:r>
            <w:r>
              <w:t xml:space="preserve"> </w:t>
            </w:r>
            <w:r w:rsidRPr="00031A85">
              <w:t>783</w:t>
            </w:r>
          </w:p>
        </w:tc>
      </w:tr>
      <w:tr w:rsidR="005B4EEC" w:rsidTr="00AB10B7">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Cumul des amortissements au </w:t>
            </w:r>
            <w:r w:rsidRPr="00031A85">
              <w:t>31</w:t>
            </w:r>
            <w:r>
              <w:t>.</w:t>
            </w:r>
            <w:r w:rsidRPr="00031A85">
              <w:t>12</w:t>
            </w:r>
            <w:r>
              <w:t>.</w:t>
            </w:r>
            <w:r w:rsidRPr="00031A85">
              <w:t>2015</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 xml:space="preserve"> </w:t>
            </w:r>
            <w:r w:rsidRPr="00031A85">
              <w:t>701</w:t>
            </w:r>
            <w:r>
              <w:t>)</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141</w:t>
            </w:r>
            <w:r>
              <w:t>)</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440</w:t>
            </w:r>
            <w:r>
              <w:t>)</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176</w:t>
            </w:r>
            <w:r>
              <w:t>)</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517</w:t>
            </w:r>
            <w:r>
              <w:t>)</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182</w:t>
            </w:r>
            <w:r>
              <w:t>)</w:t>
            </w:r>
          </w:p>
        </w:tc>
        <w:tc>
          <w:tcPr>
            <w:tcW w:w="1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 xml:space="preserve"> </w:t>
            </w:r>
            <w:r w:rsidRPr="00031A85">
              <w:t>054</w:t>
            </w:r>
            <w:r>
              <w:t>)</w:t>
            </w:r>
          </w:p>
        </w:tc>
        <w:tc>
          <w:tcPr>
            <w:tcW w:w="132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w:t>
            </w:r>
            <w:r>
              <w:t xml:space="preserve"> </w:t>
            </w:r>
            <w:r w:rsidRPr="00031A85">
              <w:t>211</w:t>
            </w:r>
            <w:r>
              <w:t>)</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Dotations aux amortissements pour l’exercice</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166</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160</w:t>
            </w: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47</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19</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62</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29</w:t>
            </w:r>
            <w:r>
              <w:t>)</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100</w:t>
            </w:r>
            <w:r>
              <w:t>)</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583</w:t>
            </w:r>
            <w:r>
              <w:t>)</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Reprise sur amortissements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8</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Produits de cessions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77</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Virements entre catégories d’actifs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r w:rsidR="005B4EEC" w:rsidTr="00AB10B7">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Autres changements</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w:t>
            </w:r>
          </w:p>
        </w:tc>
        <w:tc>
          <w:tcPr>
            <w:tcW w:w="132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w:t>
            </w:r>
            <w:r>
              <w:t>)</w:t>
            </w:r>
          </w:p>
        </w:tc>
      </w:tr>
      <w:tr w:rsidR="005B4EEC" w:rsidTr="00AB10B7">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t xml:space="preserve">Cumul des amortissements au </w:t>
            </w:r>
            <w:r w:rsidRPr="00031A85">
              <w:t>31</w:t>
            </w:r>
            <w:r>
              <w:t>.</w:t>
            </w:r>
            <w:r w:rsidRPr="00031A85">
              <w:t>12</w:t>
            </w:r>
            <w:r>
              <w:t>.</w:t>
            </w:r>
            <w:r w:rsidRPr="00031A85">
              <w:t>2016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w:t>
            </w:r>
            <w:r>
              <w:t xml:space="preserve"> </w:t>
            </w:r>
            <w:r w:rsidRPr="00031A85">
              <w:t>865</w:t>
            </w:r>
            <w:r>
              <w:t>)</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301</w:t>
            </w: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474</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186</w:t>
            </w:r>
            <w: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535</w:t>
            </w:r>
            <w:r>
              <w:t>)</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203</w:t>
            </w:r>
            <w:r>
              <w:t>)</w:t>
            </w:r>
          </w:p>
        </w:tc>
        <w:tc>
          <w:tcPr>
            <w:tcW w:w="1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w:t>
            </w:r>
            <w:r>
              <w:t xml:space="preserve"> </w:t>
            </w:r>
            <w:r w:rsidRPr="00031A85">
              <w:t>150</w:t>
            </w:r>
            <w:r>
              <w:t>)</w:t>
            </w:r>
          </w:p>
        </w:tc>
        <w:tc>
          <w:tcPr>
            <w:tcW w:w="132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5</w:t>
            </w:r>
            <w:r>
              <w:t xml:space="preserve"> </w:t>
            </w:r>
            <w:r w:rsidRPr="00031A85">
              <w:t>715</w:t>
            </w:r>
            <w:r>
              <w:t>)</w:t>
            </w:r>
          </w:p>
        </w:tc>
      </w:tr>
      <w:tr w:rsidR="005B4EEC" w:rsidTr="00AB10B7">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2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2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AB10B7">
        <w:trPr>
          <w:cantSplit/>
        </w:trPr>
        <w:tc>
          <w:tcPr>
            <w:tcW w:w="393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 xml:space="preserve">VALEUR NETTE COMPTABLE AU </w:t>
            </w:r>
            <w:r w:rsidRPr="00031A85">
              <w:t>31</w:t>
            </w:r>
            <w:r>
              <w:t>.</w:t>
            </w:r>
            <w:r w:rsidRPr="00031A85">
              <w:t>12</w:t>
            </w:r>
            <w:r>
              <w:t>.</w:t>
            </w:r>
            <w:r w:rsidRPr="00031A85">
              <w:t>2016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w:t>
            </w:r>
            <w:r>
              <w:t xml:space="preserve"> </w:t>
            </w:r>
            <w:r w:rsidRPr="00031A85">
              <w:t>432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w:t>
            </w:r>
            <w:r>
              <w:t xml:space="preserve"> </w:t>
            </w:r>
            <w:r w:rsidRPr="00031A85">
              <w:t>302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109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122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95</w:t>
            </w:r>
          </w:p>
        </w:tc>
        <w:tc>
          <w:tcPr>
            <w:tcW w:w="122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w:t>
            </w:r>
            <w:r>
              <w:t xml:space="preserve"> </w:t>
            </w:r>
            <w:r w:rsidRPr="00031A85">
              <w:t>633</w:t>
            </w:r>
          </w:p>
        </w:tc>
        <w:tc>
          <w:tcPr>
            <w:tcW w:w="132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w:t>
            </w:r>
            <w:r>
              <w:t xml:space="preserve"> </w:t>
            </w:r>
            <w:r w:rsidRPr="00031A85">
              <w:t>292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10</w:t>
            </w:r>
            <w:r>
              <w:t xml:space="preserve"> </w:t>
            </w:r>
            <w:r w:rsidRPr="00031A85">
              <w:t>068</w:t>
            </w:r>
          </w:p>
        </w:tc>
      </w:tr>
      <w:tr w:rsidR="005B4EEC" w:rsidTr="00AB10B7">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VALEUR NETTE COMPTABLE AU </w:t>
            </w:r>
            <w:r w:rsidRPr="00031A85">
              <w:t>31</w:t>
            </w:r>
            <w:r>
              <w:t>.</w:t>
            </w:r>
            <w:r w:rsidRPr="00031A85">
              <w:t>12</w:t>
            </w:r>
            <w:r>
              <w:t>.</w:t>
            </w:r>
            <w:r w:rsidRPr="00031A85">
              <w:t>2015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 xml:space="preserve"> </w:t>
            </w:r>
            <w:r w:rsidRPr="00031A85">
              <w:t>155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584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124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94</w:t>
            </w:r>
          </w:p>
        </w:tc>
        <w:tc>
          <w:tcPr>
            <w:tcW w:w="122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r>
              <w:t xml:space="preserve"> </w:t>
            </w:r>
            <w:r w:rsidRPr="00031A85">
              <w:t>730</w:t>
            </w:r>
          </w:p>
        </w:tc>
        <w:tc>
          <w:tcPr>
            <w:tcW w:w="132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w:t>
            </w:r>
            <w:r>
              <w:t xml:space="preserve"> </w:t>
            </w:r>
            <w:r w:rsidRPr="00031A85">
              <w:t>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8</w:t>
            </w:r>
            <w:r>
              <w:t xml:space="preserve"> </w:t>
            </w:r>
            <w:r w:rsidRPr="00031A85">
              <w:t>700</w:t>
            </w:r>
          </w:p>
        </w:tc>
      </w:tr>
    </w:tbl>
    <w:p w:rsidR="00FB0C75" w:rsidRPr="00EB6B2F" w:rsidRDefault="00525E53" w:rsidP="00FB0C75">
      <w:pPr>
        <w:pStyle w:val="HEADERTABLE"/>
        <w:sectPr w:rsidR="00FB0C75" w:rsidRPr="00EB6B2F" w:rsidSect="00FB0C75">
          <w:headerReference w:type="even" r:id="rId136"/>
          <w:headerReference w:type="default" r:id="rId137"/>
          <w:footerReference w:type="even" r:id="rId138"/>
          <w:footerReference w:type="default" r:id="rId139"/>
          <w:headerReference w:type="first" r:id="rId140"/>
          <w:footerReference w:type="first" r:id="rId141"/>
          <w:pgSz w:w="16838" w:h="11906" w:orient="landscape"/>
          <w:pgMar w:top="1134" w:right="1134" w:bottom="1134" w:left="1134" w:header="708" w:footer="708" w:gutter="0"/>
          <w:cols w:space="708"/>
          <w:docGrid w:linePitch="360"/>
        </w:sectPr>
      </w:pPr>
      <w:r>
        <w:t xml:space="preserve"> </w:t>
      </w:r>
      <w:bookmarkEnd w:id="202"/>
    </w:p>
    <w:p w:rsidR="00FB0C75" w:rsidRPr="00A74997" w:rsidRDefault="00525E53" w:rsidP="00FB0C75">
      <w:pPr>
        <w:pStyle w:val="HEADER2Part2"/>
      </w:pPr>
      <w:bookmarkStart w:id="204" w:name="_DMBM_8911"/>
      <w:r>
        <w:t>INVESTISSEMENTS COMPTABILISÉS SELON LA MÉTHODE DE LA MISE EN ÉQUIVALENCE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5" w:name="DOC_TBL00009_1_1"/>
            <w:bookmarkEnd w:id="205"/>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Participations dans des coentreprises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3</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Participations dans des entités associées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3</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491</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528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497</w:t>
            </w:r>
          </w:p>
        </w:tc>
      </w:tr>
    </w:tbl>
    <w:p w:rsidR="00FB0C75" w:rsidRPr="00BA3A1C" w:rsidRDefault="00525E53" w:rsidP="00FB0C75">
      <w:pPr>
        <w:pStyle w:val="HEADER3Part2"/>
        <w:spacing w:after="0"/>
      </w:pPr>
      <w:r>
        <w:t xml:space="preserve">Participations dans des coentreprises </w:t>
      </w:r>
    </w:p>
    <w:p w:rsidR="00FB0C75" w:rsidRDefault="00FB0C75" w:rsidP="00FB0C75">
      <w:pPr>
        <w:pStyle w:val="DGTextstand-alone"/>
        <w:spacing w:before="0" w:after="0"/>
      </w:pPr>
    </w:p>
    <w:p w:rsidR="00FB0C75" w:rsidRDefault="00525E53" w:rsidP="00FB0C75">
      <w:pPr>
        <w:pStyle w:val="DGTextstand-alone"/>
        <w:spacing w:before="0" w:after="0"/>
      </w:pPr>
      <w:r>
        <w:t>Un certain nombre d’entités partiellement financées par l’UE répondent aux critères pour être comptabilisées selon la méthode de la mise en équivalence dans les états financiers consolidés de l’Union, mais elles ne sont pas significatives pour ces états financiers dans leur ensemble et n’ont donc pas été comptabilisées selon cette méthode dans les états financiers consolidés </w:t>
      </w:r>
      <w:r w:rsidRPr="00031A85">
        <w:t>2016</w:t>
      </w:r>
      <w:r>
        <w:t>. Ces entités sont désignées sous le terme d’«entités mineures» - voir la note </w:t>
      </w:r>
      <w:r w:rsidRPr="00031A85">
        <w:rPr>
          <w:b/>
        </w:rPr>
        <w:t>1</w:t>
      </w:r>
      <w:r>
        <w:rPr>
          <w:b/>
        </w:rPr>
        <w:t>.</w:t>
      </w:r>
      <w:r w:rsidRPr="00031A85">
        <w:rPr>
          <w:b/>
        </w:rPr>
        <w:t>3</w:t>
      </w:r>
      <w:r>
        <w:t>. Une évaluation de l’importance relative est réalisée chaque année pour déterminer si cette exclusion est toujours justifiée. Les contributions de l’UE à ces entités ont été comptabilisées en tant que charges. La note </w:t>
      </w:r>
      <w:r w:rsidRPr="00031A85">
        <w:rPr>
          <w:b/>
        </w:rPr>
        <w:t>9</w:t>
      </w:r>
      <w:r>
        <w:t xml:space="preserve"> comprend la liste des entités considérées comme mineures en </w:t>
      </w:r>
      <w:r w:rsidRPr="00031A85">
        <w:t>2016</w:t>
      </w:r>
      <w:r>
        <w:t>.</w:t>
      </w:r>
    </w:p>
    <w:p w:rsidR="00FB0C75" w:rsidRDefault="00525E53" w:rsidP="00FB0C75">
      <w:pPr>
        <w:pStyle w:val="HEADER3Part2"/>
      </w:pPr>
      <w:r>
        <w:t>Participations dans des entités associées</w:t>
      </w:r>
    </w:p>
    <w:p w:rsidR="00FB0C75" w:rsidRDefault="00525E53" w:rsidP="00FB0C75">
      <w:pPr>
        <w:pStyle w:val="DGTextstand-alone"/>
        <w:spacing w:before="0" w:after="0"/>
      </w:pPr>
      <w:r>
        <w:t xml:space="preserve">La participation de l’Union européenne au Fonds européen d’investissement (FEI) est traitée comme une participation à une entité associée, au moyen de la méthode de la mise en équivalence. Le FEI est l’institution financière de l’UE spécialisée dans le capital-risque et les garanties aux petites et moyennes entreprises (PME). Située à Luxembourg, elle fonctionne comme un partenariat public-privé, dont les membres sont la Banque européenne d’investissement (BEI), l’Union européenne et un groupe d’institutions financières. </w:t>
      </w:r>
      <w:r>
        <w:rPr>
          <w:color w:val="000000"/>
        </w:rPr>
        <w:t xml:space="preserve">Au </w:t>
      </w:r>
      <w:r w:rsidRPr="00031A85">
        <w:rPr>
          <w:color w:val="000000"/>
        </w:rPr>
        <w:t>31</w:t>
      </w:r>
      <w:r>
        <w:rPr>
          <w:color w:val="000000"/>
        </w:rPr>
        <w:t> décembre </w:t>
      </w:r>
      <w:r w:rsidRPr="00031A85">
        <w:rPr>
          <w:color w:val="000000"/>
        </w:rPr>
        <w:t>2016</w:t>
      </w:r>
      <w:r>
        <w:rPr>
          <w:color w:val="000000"/>
        </w:rPr>
        <w:t xml:space="preserve">, l’UE détenait </w:t>
      </w:r>
      <w:r w:rsidRPr="00031A85">
        <w:rPr>
          <w:color w:val="000000"/>
        </w:rPr>
        <w:t>28</w:t>
      </w:r>
      <w:r>
        <w:rPr>
          <w:color w:val="000000"/>
        </w:rPr>
        <w:t>,</w:t>
      </w:r>
      <w:r w:rsidRPr="00031A85">
        <w:rPr>
          <w:color w:val="000000"/>
        </w:rPr>
        <w:t>1</w:t>
      </w:r>
      <w:r>
        <w:rPr>
          <w:color w:val="000000"/>
        </w:rPr>
        <w:t xml:space="preserve"> % des participations dans le FEI (contre </w:t>
      </w:r>
      <w:r w:rsidRPr="00031A85">
        <w:rPr>
          <w:color w:val="000000"/>
        </w:rPr>
        <w:t>26</w:t>
      </w:r>
      <w:r>
        <w:rPr>
          <w:color w:val="000000"/>
        </w:rPr>
        <w:t>,</w:t>
      </w:r>
      <w:r w:rsidRPr="00031A85">
        <w:rPr>
          <w:color w:val="000000"/>
        </w:rPr>
        <w:t>5</w:t>
      </w:r>
      <w:r>
        <w:rPr>
          <w:color w:val="000000"/>
        </w:rPr>
        <w:t xml:space="preserve"> % en </w:t>
      </w:r>
      <w:r w:rsidRPr="00031A85">
        <w:rPr>
          <w:color w:val="000000"/>
        </w:rPr>
        <w:t>2015</w:t>
      </w:r>
      <w:r>
        <w:rPr>
          <w:color w:val="000000"/>
        </w:rPr>
        <w:t xml:space="preserve">) et </w:t>
      </w:r>
      <w:r w:rsidRPr="00031A85">
        <w:rPr>
          <w:color w:val="000000"/>
        </w:rPr>
        <w:t>28</w:t>
      </w:r>
      <w:r>
        <w:rPr>
          <w:color w:val="000000"/>
        </w:rPr>
        <w:t>,</w:t>
      </w:r>
      <w:r w:rsidRPr="00031A85">
        <w:rPr>
          <w:color w:val="000000"/>
        </w:rPr>
        <w:t>1</w:t>
      </w:r>
      <w:r>
        <w:rPr>
          <w:color w:val="000000"/>
        </w:rPr>
        <w:t xml:space="preserve"> % des droits de vote (contre </w:t>
      </w:r>
      <w:r w:rsidRPr="00031A85">
        <w:rPr>
          <w:color w:val="000000"/>
        </w:rPr>
        <w:t>26</w:t>
      </w:r>
      <w:r>
        <w:rPr>
          <w:color w:val="000000"/>
        </w:rPr>
        <w:t>,</w:t>
      </w:r>
      <w:r w:rsidRPr="00031A85">
        <w:rPr>
          <w:color w:val="000000"/>
        </w:rPr>
        <w:t>5</w:t>
      </w:r>
      <w:r>
        <w:rPr>
          <w:color w:val="000000"/>
        </w:rPr>
        <w:t xml:space="preserve"> % en </w:t>
      </w:r>
      <w:r w:rsidRPr="00031A85">
        <w:rPr>
          <w:color w:val="000000"/>
        </w:rPr>
        <w:t>2015</w:t>
      </w:r>
      <w:r>
        <w:rPr>
          <w:color w:val="000000"/>
        </w:rPr>
        <w:t xml:space="preserve">). Conformément à ses statuts, le FEI doit affecter au moins </w:t>
      </w:r>
      <w:r w:rsidRPr="00031A85">
        <w:rPr>
          <w:color w:val="000000"/>
        </w:rPr>
        <w:t>20</w:t>
      </w:r>
      <w:r>
        <w:rPr>
          <w:color w:val="000000"/>
        </w:rPr>
        <w:t xml:space="preserve"> % de son bénéfice annuel net à une réserve statutaire jusqu’à ce que la réserve globale atteigne </w:t>
      </w:r>
      <w:r w:rsidRPr="00031A85">
        <w:rPr>
          <w:color w:val="000000"/>
        </w:rPr>
        <w:t>10</w:t>
      </w:r>
      <w:r>
        <w:rPr>
          <w:color w:val="000000"/>
        </w:rPr>
        <w:t> % du capital souscrit. Cette réserve ne peut être distribuée.</w:t>
      </w:r>
    </w:p>
    <w:p w:rsidR="00FB0C75" w:rsidRDefault="00FB0C75" w:rsidP="00FB0C75">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6" w:name="DOC_TBL00010_1_1"/>
            <w:bookmarkEnd w:id="206"/>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Fonds européen d’investissement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Participations au </w:t>
            </w:r>
            <w:r w:rsidRPr="00031A85">
              <w:t>31</w:t>
            </w:r>
            <w:r>
              <w:t>.</w:t>
            </w:r>
            <w:r w:rsidRPr="00031A85">
              <w:t>12</w:t>
            </w:r>
            <w:r>
              <w:t>.</w:t>
            </w:r>
            <w:r w:rsidRPr="00031A85">
              <w:t>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491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Contributions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Dividendes reçus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Part du résultat net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34</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réserve de juste valeur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r>
              <w:t>)</w:t>
            </w:r>
          </w:p>
        </w:tc>
      </w:tr>
      <w:tr w:rsidR="005B4EEC">
        <w:tc>
          <w:tcPr>
            <w:tcW w:w="762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variations des capitaux propres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w:t>
            </w:r>
            <w:r>
              <w:t>)</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Participations au </w:t>
            </w:r>
            <w:r w:rsidRPr="00031A85">
              <w:t>31</w:t>
            </w:r>
            <w:r>
              <w:t>.</w:t>
            </w:r>
            <w:r w:rsidRPr="00031A85">
              <w:t>12</w:t>
            </w:r>
            <w:r>
              <w:t>.</w:t>
            </w:r>
            <w:r w:rsidRPr="00031A85">
              <w:t>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528</w:t>
            </w:r>
          </w:p>
        </w:tc>
      </w:tr>
    </w:tbl>
    <w:p w:rsidR="00FB0C75" w:rsidRDefault="00FB0C75" w:rsidP="00FB0C75">
      <w:pPr>
        <w:pStyle w:val="DGTextstand-alone"/>
        <w:spacing w:after="120"/>
      </w:pPr>
    </w:p>
    <w:p w:rsidR="00FB0C75" w:rsidRDefault="00525E53" w:rsidP="00FB0C75">
      <w:pPr>
        <w:pStyle w:val="DGTextstand-alone"/>
      </w:pPr>
      <w:r>
        <w:t>Les valeurs comptables suivantes sont imputables à l’UE sur la base de son pourcentage de participation: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1680"/>
        <w:gridCol w:w="1560"/>
        <w:gridCol w:w="1600"/>
        <w:gridCol w:w="1559"/>
      </w:tblGrid>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7" w:name="DOC_TBL00011_1_1"/>
            <w:bookmarkEnd w:id="207"/>
          </w:p>
        </w:tc>
        <w:tc>
          <w:tcPr>
            <w:tcW w:w="168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6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60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833247">
        <w:tc>
          <w:tcPr>
            <w:tcW w:w="334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3240"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sidRPr="00031A85">
              <w:t>31</w:t>
            </w:r>
            <w:r>
              <w:t>.</w:t>
            </w:r>
            <w:r w:rsidRPr="00031A85">
              <w:t>12</w:t>
            </w:r>
            <w:r>
              <w:t>.</w:t>
            </w:r>
            <w:r w:rsidRPr="00031A85">
              <w:t>2016</w:t>
            </w:r>
          </w:p>
        </w:tc>
        <w:tc>
          <w:tcPr>
            <w:tcW w:w="3159"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sidRPr="00031A85">
              <w:t>31</w:t>
            </w:r>
            <w:r>
              <w:t>.</w:t>
            </w:r>
            <w:r w:rsidRPr="00031A85">
              <w:t>12</w:t>
            </w:r>
            <w:r>
              <w:t>.</w:t>
            </w:r>
            <w:r w:rsidRPr="00031A85">
              <w:t>2015</w:t>
            </w:r>
          </w:p>
        </w:tc>
      </w:tr>
      <w:tr w:rsidR="005B4EEC" w:rsidTr="00833247">
        <w:tc>
          <w:tcPr>
            <w:tcW w:w="334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8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Total du FEI</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Part de l’UE</w:t>
            </w:r>
          </w:p>
        </w:tc>
        <w:tc>
          <w:tcPr>
            <w:tcW w:w="160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Total du FEI</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Part de l’UE</w:t>
            </w:r>
          </w:p>
        </w:tc>
      </w:tr>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Actif</w:t>
            </w:r>
          </w:p>
        </w:tc>
        <w:tc>
          <w:tcPr>
            <w:tcW w:w="168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301</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647</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183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578</w:t>
            </w:r>
          </w:p>
        </w:tc>
      </w:tr>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Passif</w:t>
            </w:r>
          </w:p>
        </w:tc>
        <w:tc>
          <w:tcPr>
            <w:tcW w:w="168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423</w:t>
            </w:r>
            <w:r>
              <w:rPr>
                <w:i/>
              </w:rPr>
              <w:t>)</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119</w:t>
            </w:r>
            <w:r>
              <w:rPr>
                <w:i/>
              </w:rPr>
              <w:t>)</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328</w:t>
            </w: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87</w:t>
            </w:r>
            <w:r>
              <w:rPr>
                <w:i/>
              </w:rPr>
              <w:t>)</w:t>
            </w:r>
          </w:p>
        </w:tc>
      </w:tr>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Recettes</w:t>
            </w:r>
          </w:p>
        </w:tc>
        <w:tc>
          <w:tcPr>
            <w:tcW w:w="168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240</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67</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51</w:t>
            </w:r>
          </w:p>
        </w:tc>
      </w:tr>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Dépenses</w:t>
            </w:r>
          </w:p>
        </w:tc>
        <w:tc>
          <w:tcPr>
            <w:tcW w:w="168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118</w:t>
            </w:r>
            <w:r>
              <w:rPr>
                <w:i/>
              </w:rPr>
              <w:t>)</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33</w:t>
            </w:r>
            <w:r>
              <w:rPr>
                <w:i/>
              </w:rPr>
              <w:t>)</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95</w:t>
            </w: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25</w:t>
            </w:r>
            <w:r>
              <w:rPr>
                <w:i/>
              </w:rPr>
              <w:t>)</w:t>
            </w:r>
          </w:p>
        </w:tc>
      </w:tr>
      <w:tr w:rsidR="005B4EEC" w:rsidTr="00833247">
        <w:tc>
          <w:tcPr>
            <w:tcW w:w="3348"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Excédent/(déficit)</w:t>
            </w:r>
          </w:p>
        </w:tc>
        <w:tc>
          <w:tcPr>
            <w:tcW w:w="168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122</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34</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97</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26</w:t>
            </w:r>
          </w:p>
        </w:tc>
      </w:tr>
    </w:tbl>
    <w:p w:rsidR="00FB0C75" w:rsidRDefault="00FB0C75" w:rsidP="00FB0C75">
      <w:pPr>
        <w:pStyle w:val="DGTextstand-alone"/>
        <w:spacing w:before="0"/>
      </w:pPr>
    </w:p>
    <w:p w:rsidR="00FB0C75" w:rsidRDefault="00FB0C75" w:rsidP="00FB0C75">
      <w:pPr>
        <w:pStyle w:val="DGTextstand-alone"/>
        <w:sectPr w:rsidR="00FB0C75" w:rsidSect="00FB0C75">
          <w:headerReference w:type="even" r:id="rId142"/>
          <w:headerReference w:type="default" r:id="rId143"/>
          <w:footerReference w:type="even" r:id="rId144"/>
          <w:footerReference w:type="default" r:id="rId145"/>
          <w:headerReference w:type="first" r:id="rId146"/>
          <w:footerReference w:type="first" r:id="rId147"/>
          <w:pgSz w:w="11906" w:h="16838"/>
          <w:pgMar w:top="1134" w:right="1134" w:bottom="1134" w:left="1134" w:header="709" w:footer="709" w:gutter="0"/>
          <w:cols w:space="708"/>
          <w:docGrid w:linePitch="360"/>
        </w:sectPr>
      </w:pPr>
    </w:p>
    <w:p w:rsidR="00FB0C75" w:rsidRDefault="00525E53" w:rsidP="00FB0C75">
      <w:pPr>
        <w:pStyle w:val="DGTextstand-alone"/>
      </w:pPr>
      <w:r>
        <w:t xml:space="preserve">L’UE a libéré </w:t>
      </w:r>
      <w:r w:rsidRPr="00031A85">
        <w:t>20</w:t>
      </w:r>
      <w:r>
        <w:t xml:space="preserve"> % de sa participation, le solde non appelé s’établissant à </w:t>
      </w:r>
      <w:r w:rsidRPr="00031A85">
        <w:t>986</w:t>
      </w:r>
      <w:r>
        <w:t> millions d’EUR.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640"/>
        <w:gridCol w:w="2440"/>
      </w:tblGrid>
      <w:tr w:rsidR="005B4EEC" w:rsidTr="007D7D24">
        <w:tc>
          <w:tcPr>
            <w:tcW w:w="4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8" w:name="DOC_TBL00012_1_1"/>
            <w:bookmarkEnd w:id="208"/>
          </w:p>
        </w:tc>
        <w:tc>
          <w:tcPr>
            <w:tcW w:w="264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244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7D7D24">
        <w:tc>
          <w:tcPr>
            <w:tcW w:w="4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64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Total du capital du FEI</w:t>
            </w:r>
          </w:p>
        </w:tc>
        <w:tc>
          <w:tcPr>
            <w:tcW w:w="244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Participation de l’UE</w:t>
            </w:r>
          </w:p>
        </w:tc>
      </w:tr>
      <w:tr w:rsidR="005B4EEC" w:rsidTr="007D7D24">
        <w:tc>
          <w:tcPr>
            <w:tcW w:w="466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Total du capital par actions</w:t>
            </w:r>
          </w:p>
        </w:tc>
        <w:tc>
          <w:tcPr>
            <w:tcW w:w="26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382</w:t>
            </w:r>
          </w:p>
        </w:tc>
        <w:tc>
          <w:tcPr>
            <w:tcW w:w="24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232</w:t>
            </w:r>
          </w:p>
        </w:tc>
      </w:tr>
      <w:tr w:rsidR="005B4EEC" w:rsidTr="007D7D24">
        <w:tc>
          <w:tcPr>
            <w:tcW w:w="466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Partie libérée</w:t>
            </w:r>
          </w:p>
        </w:tc>
        <w:tc>
          <w:tcPr>
            <w:tcW w:w="264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876</w:t>
            </w:r>
            <w:r>
              <w:t>)</w:t>
            </w:r>
          </w:p>
        </w:tc>
        <w:tc>
          <w:tcPr>
            <w:tcW w:w="244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246</w:t>
            </w:r>
            <w:r>
              <w:t>)</w:t>
            </w:r>
          </w:p>
        </w:tc>
      </w:tr>
      <w:tr w:rsidR="005B4EEC" w:rsidTr="007D7D24">
        <w:tc>
          <w:tcPr>
            <w:tcW w:w="4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Partie non appelée</w:t>
            </w:r>
          </w:p>
        </w:tc>
        <w:tc>
          <w:tcPr>
            <w:tcW w:w="264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3</w:t>
            </w:r>
            <w:r>
              <w:rPr>
                <w:b/>
                <w:i w:val="0"/>
              </w:rPr>
              <w:t xml:space="preserve"> </w:t>
            </w:r>
            <w:r w:rsidRPr="00031A85">
              <w:rPr>
                <w:b/>
                <w:i w:val="0"/>
              </w:rPr>
              <w:t>506</w:t>
            </w:r>
          </w:p>
        </w:tc>
        <w:tc>
          <w:tcPr>
            <w:tcW w:w="244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986</w:t>
            </w:r>
          </w:p>
        </w:tc>
      </w:tr>
      <w:tr w:rsidR="005B4EEC" w:rsidTr="007D7D24">
        <w:tc>
          <w:tcPr>
            <w:tcW w:w="4668"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64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244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bl>
    <w:p w:rsidR="00FB0C75" w:rsidRPr="00F3531D" w:rsidRDefault="00525E53" w:rsidP="00FB0C75">
      <w:pPr>
        <w:pStyle w:val="DGTextstand-alone"/>
        <w:spacing w:before="0"/>
        <w:sectPr w:rsidR="00FB0C75" w:rsidRPr="00F3531D" w:rsidSect="00FB0C75">
          <w:headerReference w:type="even" r:id="rId148"/>
          <w:headerReference w:type="default" r:id="rId149"/>
          <w:footerReference w:type="even" r:id="rId150"/>
          <w:footerReference w:type="default" r:id="rId151"/>
          <w:headerReference w:type="first" r:id="rId152"/>
          <w:footerReference w:type="first" r:id="rId153"/>
          <w:pgSz w:w="11906" w:h="16838"/>
          <w:pgMar w:top="1134" w:right="1134" w:bottom="1134" w:left="1134" w:header="709" w:footer="709" w:gutter="0"/>
          <w:cols w:space="708"/>
          <w:docGrid w:linePitch="360"/>
        </w:sectPr>
      </w:pPr>
      <w:r>
        <w:t xml:space="preserve"> </w:t>
      </w:r>
      <w:bookmarkEnd w:id="204"/>
    </w:p>
    <w:p w:rsidR="00FB0C75" w:rsidRPr="00B723D7" w:rsidRDefault="00525E53" w:rsidP="00FB0C75">
      <w:pPr>
        <w:pStyle w:val="HEADER2Part2"/>
      </w:pPr>
      <w:bookmarkStart w:id="209" w:name="_DMBM_8995"/>
      <w:r>
        <w:t>ACTIFS FINANCIERS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0" w:name="DOC_TBL00013_1_1"/>
            <w:bookmarkEnd w:id="21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Actifs financiers non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 disponibles à la vente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131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222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 à la juste valeur par le biais de l’excédent ou du déficit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A60ED1" w:rsidP="00A60ED1">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A60ED1"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53</w:t>
            </w:r>
            <w:r>
              <w:t xml:space="preserve"> </w:t>
            </w:r>
            <w:r w:rsidRPr="00031A85">
              <w:t>116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49</w:t>
            </w:r>
            <w:r>
              <w:t xml:space="preserve"> </w:t>
            </w:r>
            <w:r w:rsidRPr="00031A85">
              <w:t>743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62</w:t>
            </w:r>
            <w:r>
              <w:t xml:space="preserve"> </w:t>
            </w:r>
            <w:r w:rsidRPr="00031A85">
              <w:t>247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56</w:t>
            </w:r>
            <w:r>
              <w:t xml:space="preserve"> </w:t>
            </w:r>
            <w:r w:rsidRPr="00031A85">
              <w:t>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Actifs financiers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 disponibles à la vente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399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financiers à la juste valeur par le biais de l’excédent ou du déficit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508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3</w:t>
            </w:r>
            <w:r>
              <w:t xml:space="preserve"> </w:t>
            </w:r>
            <w:r w:rsidRPr="00031A85">
              <w:t>673</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9</w:t>
            </w:r>
            <w:r>
              <w:t xml:space="preserve"> </w:t>
            </w:r>
            <w:r w:rsidRPr="00031A85">
              <w:t>907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65</w:t>
            </w:r>
            <w:r>
              <w:t xml:space="preserve"> </w:t>
            </w:r>
            <w:r w:rsidRPr="00031A85">
              <w:t>920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66</w:t>
            </w:r>
            <w:r>
              <w:t xml:space="preserve"> </w:t>
            </w:r>
            <w:r w:rsidRPr="00031A85">
              <w:t>871</w:t>
            </w:r>
          </w:p>
        </w:tc>
      </w:tr>
    </w:tbl>
    <w:p w:rsidR="00FB0C75" w:rsidRPr="00B723D7" w:rsidRDefault="00525E53" w:rsidP="00FB0C75">
      <w:pPr>
        <w:pStyle w:val="HEADER3Part2"/>
        <w:spacing w:after="0"/>
      </w:pPr>
      <w:r>
        <w:t>Actifs financiers disponibles à la vente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1" w:name="DOC_TBL00014_1_1"/>
            <w:bookmarkEnd w:id="211"/>
          </w:p>
        </w:tc>
        <w:tc>
          <w:tcPr>
            <w:tcW w:w="2126"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8pItalicRight025EUR"/>
              <w:rPr>
                <w:rFonts w:cs="Verdana"/>
                <w:noProof w:val="0"/>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Investissements BUFI</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 xml:space="preserve"> </w:t>
            </w:r>
            <w:r w:rsidRPr="00031A85">
              <w:t>013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 xml:space="preserve"> </w:t>
            </w:r>
            <w:r w:rsidRPr="00031A85">
              <w:t>647</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CECA en liquidation</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1</w:t>
            </w:r>
            <w:r>
              <w:t xml:space="preserve"> </w:t>
            </w:r>
            <w:r w:rsidRPr="00031A85">
              <w:t>685</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1</w:t>
            </w:r>
            <w:r>
              <w:t xml:space="preserve"> </w:t>
            </w:r>
            <w:r w:rsidRPr="00031A85">
              <w:t>699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 xml:space="preserve">Banque européenne pour la reconstruction et le développement </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188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188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3</w:t>
            </w:r>
            <w:r>
              <w:rPr>
                <w:i w:val="0"/>
                <w:noProof w:val="0"/>
              </w:rPr>
              <w:t xml:space="preserve"> </w:t>
            </w:r>
            <w:r w:rsidRPr="00031A85">
              <w:rPr>
                <w:i w:val="0"/>
                <w:noProof w:val="0"/>
              </w:rPr>
              <w:t>886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4</w:t>
            </w:r>
            <w:r>
              <w:rPr>
                <w:i w:val="0"/>
                <w:noProof w:val="0"/>
              </w:rPr>
              <w:t xml:space="preserve"> </w:t>
            </w:r>
            <w:r w:rsidRPr="00031A85">
              <w:rPr>
                <w:i w:val="0"/>
                <w:noProof w:val="0"/>
              </w:rPr>
              <w:t>534</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Fonds de garantie relatifs aux garanties budgétaires: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Fonds de garantie relatif aux actions extérieures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 xml:space="preserve"> </w:t>
            </w:r>
            <w:r w:rsidRPr="00031A85">
              <w:t>069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 xml:space="preserve"> </w:t>
            </w:r>
            <w:r w:rsidRPr="00031A85">
              <w:t>002</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Fonds de garantie de l’EFSI</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948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3</w:t>
            </w:r>
            <w:r>
              <w:rPr>
                <w:i w:val="0"/>
                <w:noProof w:val="0"/>
              </w:rPr>
              <w:t xml:space="preserve"> </w:t>
            </w:r>
            <w:r w:rsidRPr="00031A85">
              <w:rPr>
                <w:i w:val="0"/>
                <w:noProof w:val="0"/>
              </w:rPr>
              <w:t>017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2</w:t>
            </w:r>
            <w:r>
              <w:rPr>
                <w:i w:val="0"/>
                <w:noProof w:val="0"/>
              </w:rPr>
              <w:t xml:space="preserve"> </w:t>
            </w:r>
            <w:r w:rsidRPr="00031A85">
              <w:rPr>
                <w:i w:val="0"/>
                <w:noProof w:val="0"/>
              </w:rPr>
              <w:t>002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Instruments financiers relevant du budget de l’UE:</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Horizon </w:t>
            </w:r>
            <w:r w:rsidRPr="00031A85">
              <w:t>2020</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1</w:t>
            </w:r>
            <w:r>
              <w:t xml:space="preserve"> </w:t>
            </w:r>
            <w:r w:rsidRPr="00031A85">
              <w:t>213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765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Mécanisme de financement avec partage des risques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719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773</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Mécanisme pour l’interconnexion en Europe*</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483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425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Aide au démarrage du MET</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476</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485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Opérations de capital-risque</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132</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152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Fonds européen pour l’Europe du Sud-Est</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118</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118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Autres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398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366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3</w:t>
            </w:r>
            <w:r>
              <w:rPr>
                <w:i w:val="0"/>
                <w:noProof w:val="0"/>
              </w:rPr>
              <w:t xml:space="preserve"> </w:t>
            </w:r>
            <w:r w:rsidRPr="00031A85">
              <w:rPr>
                <w:i w:val="0"/>
                <w:noProof w:val="0"/>
              </w:rPr>
              <w:t>539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031A85">
              <w:rPr>
                <w:i w:val="0"/>
                <w:noProof w:val="0"/>
              </w:rPr>
              <w:t>3</w:t>
            </w:r>
            <w:r>
              <w:rPr>
                <w:i w:val="0"/>
                <w:noProof w:val="0"/>
              </w:rPr>
              <w:t xml:space="preserve"> </w:t>
            </w:r>
            <w:r w:rsidRPr="00031A85">
              <w:rPr>
                <w:i w:val="0"/>
                <w:noProof w:val="0"/>
              </w:rPr>
              <w:t>084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sidRPr="00031A85">
              <w:rPr>
                <w:b/>
                <w:i w:val="0"/>
                <w:noProof w:val="0"/>
              </w:rPr>
              <w:t>10</w:t>
            </w:r>
            <w:r>
              <w:rPr>
                <w:b/>
                <w:i w:val="0"/>
                <w:noProof w:val="0"/>
              </w:rPr>
              <w:t xml:space="preserve"> </w:t>
            </w:r>
            <w:r w:rsidRPr="00031A85">
              <w:rPr>
                <w:b/>
                <w:i w:val="0"/>
                <w:noProof w:val="0"/>
              </w:rPr>
              <w:t>442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sidRPr="00031A85">
              <w:rPr>
                <w:b/>
                <w:i w:val="0"/>
                <w:noProof w:val="0"/>
              </w:rPr>
              <w:t>9</w:t>
            </w:r>
            <w:r>
              <w:rPr>
                <w:b/>
                <w:i w:val="0"/>
                <w:noProof w:val="0"/>
              </w:rPr>
              <w:t xml:space="preserve"> </w:t>
            </w:r>
            <w:r w:rsidRPr="00031A85">
              <w:rPr>
                <w:b/>
                <w:i w:val="0"/>
                <w:noProof w:val="0"/>
              </w:rPr>
              <w:t>620</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Non courants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9</w:t>
            </w:r>
            <w:r>
              <w:t xml:space="preserve"> </w:t>
            </w:r>
            <w:r w:rsidRPr="00031A85">
              <w:t>131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7</w:t>
            </w:r>
            <w:r>
              <w:t xml:space="preserve"> </w:t>
            </w:r>
            <w:r w:rsidRPr="00031A85">
              <w:t>222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Courants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1</w:t>
            </w:r>
            <w:r>
              <w:t xml:space="preserve"> </w:t>
            </w:r>
            <w:r w:rsidRPr="00031A85">
              <w:t>311</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2</w:t>
            </w:r>
            <w:r>
              <w:t xml:space="preserve"> </w:t>
            </w:r>
            <w:r w:rsidRPr="00031A85">
              <w:t>399</w:t>
            </w:r>
          </w:p>
        </w:tc>
      </w:tr>
    </w:tbl>
    <w:p w:rsidR="00FB0C75" w:rsidRPr="00B723D7" w:rsidRDefault="00525E53" w:rsidP="00FB0C75">
      <w:pPr>
        <w:pStyle w:val="DGTextstand-alone"/>
        <w:tabs>
          <w:tab w:val="left" w:pos="284"/>
        </w:tabs>
        <w:spacing w:before="60" w:after="120"/>
        <w:ind w:left="284" w:hanging="284"/>
        <w:rPr>
          <w:i/>
          <w:noProof w:val="0"/>
          <w:sz w:val="16"/>
        </w:rPr>
      </w:pPr>
      <w:r>
        <w:rPr>
          <w:i/>
          <w:noProof w:val="0"/>
          <w:sz w:val="16"/>
        </w:rPr>
        <w:t>*</w:t>
      </w:r>
      <w:r>
        <w:tab/>
      </w:r>
      <w:r>
        <w:rPr>
          <w:i/>
          <w:noProof w:val="0"/>
          <w:sz w:val="16"/>
        </w:rPr>
        <w:t xml:space="preserve">Les montants des années précédentes concernent l’initiative d’emprunts obligataires pour le financement de projets et l’instrument de garantie de prêts pour les projets RTE-T. Ces deux instruments ont été fusionnés en </w:t>
      </w:r>
      <w:r w:rsidRPr="00031A85">
        <w:rPr>
          <w:i/>
          <w:noProof w:val="0"/>
          <w:sz w:val="16"/>
        </w:rPr>
        <w:t>2016</w:t>
      </w:r>
      <w:r>
        <w:rPr>
          <w:i/>
          <w:noProof w:val="0"/>
          <w:sz w:val="16"/>
        </w:rPr>
        <w:t xml:space="preserve"> pour former le mécanisme pour l’interconnexion en Europe.</w:t>
      </w:r>
    </w:p>
    <w:p w:rsidR="00A60ED1" w:rsidRDefault="00A60ED1" w:rsidP="00FB0C75">
      <w:pPr>
        <w:pStyle w:val="DGTextstand-alone"/>
        <w:spacing w:before="120" w:after="0"/>
        <w:rPr>
          <w:noProof w:val="0"/>
        </w:rPr>
      </w:pPr>
    </w:p>
    <w:p w:rsidR="00FB0C75" w:rsidRPr="00B723D7" w:rsidRDefault="00525E53" w:rsidP="00FB0C75">
      <w:pPr>
        <w:pStyle w:val="DGTextstand-alone"/>
        <w:spacing w:before="120" w:after="0"/>
        <w:rPr>
          <w:noProof w:val="0"/>
        </w:rPr>
      </w:pPr>
      <w:r>
        <w:t xml:space="preserve">Sur ce total de </w:t>
      </w:r>
      <w:r w:rsidRPr="00031A85">
        <w:t>10</w:t>
      </w:r>
      <w:r>
        <w:t>,</w:t>
      </w:r>
      <w:r w:rsidRPr="00031A85">
        <w:t>442</w:t>
      </w:r>
      <w:r>
        <w:t xml:space="preserve"> milliards d’EUR, l’Union détient des actifs financiers disponibles à la vente sous la forme de titres de créance (des obligations, par exemple) à hauteur de </w:t>
      </w:r>
      <w:r w:rsidRPr="00031A85">
        <w:t>8</w:t>
      </w:r>
      <w:r>
        <w:t>,</w:t>
      </w:r>
      <w:r w:rsidRPr="00031A85">
        <w:t>920</w:t>
      </w:r>
      <w:r>
        <w:t xml:space="preserve"> milliards d’EUR, d’instruments de fonds propres pour un montant de </w:t>
      </w:r>
      <w:r w:rsidRPr="00031A85">
        <w:t>1</w:t>
      </w:r>
      <w:r>
        <w:t>,</w:t>
      </w:r>
      <w:r w:rsidRPr="00031A85">
        <w:t>302</w:t>
      </w:r>
      <w:r>
        <w:t xml:space="preserve"> milliard d’EUR et d'investissements dans le Unitary Fund de la BEI (fonds du marché monétaire) s'établissant à </w:t>
      </w:r>
      <w:r w:rsidRPr="00031A85">
        <w:t>221</w:t>
      </w:r>
      <w:r>
        <w:t> millions d’EUR. Les titres de créance et les parts dans le Unitary Fund de la BEI sont principalement utilisés pour investir temporairement les montants affectés à la garantie de l’UE et aux instruments de partage des risques jusqu’à ce qu’ils soient utilisés pour répondre aux appels de garantie.</w:t>
      </w:r>
    </w:p>
    <w:p w:rsidR="00FB0C75" w:rsidRPr="00B723D7" w:rsidRDefault="00FB0C75" w:rsidP="00FB0C75">
      <w:pPr>
        <w:pStyle w:val="DGTextstand-alone"/>
        <w:spacing w:before="0" w:after="0"/>
        <w:rPr>
          <w:noProof w:val="0"/>
        </w:rPr>
      </w:pPr>
    </w:p>
    <w:p w:rsidR="00FB0C75" w:rsidRDefault="00FB0C75" w:rsidP="00FB0C75">
      <w:pPr>
        <w:pStyle w:val="HEADER5"/>
        <w:rPr>
          <w:b w:val="0"/>
        </w:rPr>
      </w:pPr>
    </w:p>
    <w:p w:rsidR="00FB0C75" w:rsidRDefault="00FB0C75" w:rsidP="00FB0C75">
      <w:pPr>
        <w:pStyle w:val="HEADER5"/>
        <w:rPr>
          <w:b w:val="0"/>
        </w:rPr>
      </w:pPr>
    </w:p>
    <w:p w:rsidR="00FB0C75" w:rsidRPr="00B723D7" w:rsidRDefault="00525E53" w:rsidP="00FB0C75">
      <w:pPr>
        <w:pStyle w:val="HEADER5"/>
        <w:rPr>
          <w:b w:val="0"/>
        </w:rPr>
      </w:pPr>
      <w:r>
        <w:rPr>
          <w:b w:val="0"/>
        </w:rPr>
        <w:t>Investissements BUFI</w:t>
      </w:r>
    </w:p>
    <w:p w:rsidR="00FB0C75" w:rsidRPr="00B723D7" w:rsidRDefault="00525E53" w:rsidP="00FB0C75">
      <w:pPr>
        <w:pStyle w:val="DGTextstand-alone"/>
        <w:spacing w:before="120" w:after="0"/>
        <w:rPr>
          <w:noProof w:val="0"/>
        </w:rPr>
      </w:pPr>
      <w:r>
        <w:t xml:space="preserve">Les amendes encaissées à titre provisionnel liées à des affaires de concurrence sont affectées à un fonds expressément créé à cet effet (le fonds BUFI - pour </w:t>
      </w:r>
      <w:r>
        <w:rPr>
          <w:i/>
        </w:rPr>
        <w:t>Budget Fines</w:t>
      </w:r>
      <w:r>
        <w:t>) et investies par la Commission dans des instruments d'emprunt classés comme actifs financiers disponibles à la vente.</w:t>
      </w:r>
    </w:p>
    <w:p w:rsidR="00FB0C75" w:rsidRPr="00B723D7" w:rsidRDefault="00FB0C75" w:rsidP="00FB0C75">
      <w:pPr>
        <w:pStyle w:val="DGTextstand-alone"/>
        <w:spacing w:before="0" w:after="0"/>
        <w:rPr>
          <w:noProof w:val="0"/>
        </w:rPr>
      </w:pPr>
    </w:p>
    <w:p w:rsidR="00FB0C75" w:rsidRPr="00B723D7" w:rsidRDefault="00525E53" w:rsidP="00FB0C75">
      <w:pPr>
        <w:pStyle w:val="HEADER5"/>
        <w:keepNext/>
        <w:rPr>
          <w:b w:val="0"/>
        </w:rPr>
      </w:pPr>
      <w:r>
        <w:rPr>
          <w:b w:val="0"/>
        </w:rPr>
        <w:t>CECA en liquidation</w:t>
      </w:r>
    </w:p>
    <w:p w:rsidR="00FB0C75" w:rsidRPr="00B723D7" w:rsidRDefault="00525E53" w:rsidP="00FB0C75">
      <w:pPr>
        <w:pStyle w:val="Textstand-alone"/>
        <w:rPr>
          <w:noProof w:val="0"/>
        </w:rPr>
      </w:pPr>
      <w:r>
        <w:t>Pour les montants de la Communauté européenne du charbon et de l'acier (CECA) en liquidation, tous les actifs financiers disponibles à la vente sont des titres de créance libellés en euros et cotés sur un marché actif.</w:t>
      </w:r>
    </w:p>
    <w:p w:rsidR="00FB0C75" w:rsidRPr="00B723D7" w:rsidRDefault="00525E53" w:rsidP="00FB0C75">
      <w:pPr>
        <w:pStyle w:val="HEADER5"/>
        <w:rPr>
          <w:b w:val="0"/>
        </w:rPr>
      </w:pPr>
      <w:r>
        <w:rPr>
          <w:b w:val="0"/>
        </w:rPr>
        <w:t xml:space="preserve">Banque européenne pour la reconstruction et le développement </w:t>
      </w:r>
    </w:p>
    <w:p w:rsidR="00FB0C75" w:rsidRPr="00B723D7" w:rsidRDefault="00525E53" w:rsidP="00FB0C75">
      <w:pPr>
        <w:pStyle w:val="Textstand-alone"/>
        <w:spacing w:after="0"/>
        <w:rPr>
          <w:noProof w:val="0"/>
        </w:rPr>
      </w:pPr>
      <w:r>
        <w:t>La Banque européenne pour la reconstruction et le développement (BERD) n’étant pas cotée en Bourse et compte tenu des restrictions contractuelles imposées par ses statuts, relatives, entre autres, à la vente de participations, plafonnée au coût d’acquisition et autorisée aux seuls actionnaires existants, la participation de l’UE dans la BERD est évaluée au coût.</w:t>
      </w:r>
    </w:p>
    <w:p w:rsidR="00FB0C75" w:rsidRPr="00B723D7" w:rsidRDefault="00FB0C75" w:rsidP="00FB0C75">
      <w:pPr>
        <w:pStyle w:val="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735"/>
        <w:gridCol w:w="1985"/>
      </w:tblGrid>
      <w:tr w:rsidR="005B4EEC" w:rsidTr="007A6E22">
        <w:tc>
          <w:tcPr>
            <w:tcW w:w="502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2" w:name="DOC_TBL00015_1_1"/>
            <w:bookmarkEnd w:id="212"/>
          </w:p>
        </w:tc>
        <w:tc>
          <w:tcPr>
            <w:tcW w:w="2735"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A60ED1" w:rsidTr="00972E9E">
        <w:tc>
          <w:tcPr>
            <w:tcW w:w="7763" w:type="dxa"/>
            <w:gridSpan w:val="2"/>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t>Capital total de la BERD</w:t>
            </w:r>
          </w:p>
        </w:tc>
        <w:tc>
          <w:tcPr>
            <w:tcW w:w="1985" w:type="dxa"/>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t xml:space="preserve">Participation de la Commission au </w:t>
            </w:r>
            <w:r w:rsidRPr="00031A85">
              <w:t>31</w:t>
            </w:r>
            <w:r>
              <w:t>.</w:t>
            </w:r>
            <w:r w:rsidRPr="00031A85">
              <w:t>12</w:t>
            </w:r>
            <w:r>
              <w:t>.</w:t>
            </w:r>
            <w:r w:rsidRPr="00031A85">
              <w:t>2016</w:t>
            </w:r>
          </w:p>
        </w:tc>
      </w:tr>
      <w:tr w:rsidR="005B4EEC" w:rsidTr="007A6E22">
        <w:tc>
          <w:tcPr>
            <w:tcW w:w="5028" w:type="dxa"/>
            <w:tcBorders>
              <w:top w:val="nil"/>
              <w:left w:val="nil"/>
              <w:bottom w:val="nil"/>
              <w:right w:val="nil"/>
            </w:tcBorders>
            <w:tcMar>
              <w:top w:w="0" w:type="dxa"/>
              <w:left w:w="108" w:type="dxa"/>
              <w:bottom w:w="0" w:type="dxa"/>
              <w:right w:w="108" w:type="dxa"/>
            </w:tcMar>
          </w:tcPr>
          <w:p w:rsidR="00FB0C75" w:rsidRDefault="00525E53" w:rsidP="00A60ED1">
            <w:pPr>
              <w:pStyle w:val="Text9pItalicLeft"/>
              <w:rPr>
                <w:rFonts w:cs="Verdana"/>
              </w:rPr>
            </w:pPr>
            <w:r>
              <w:t>Total du capital souscrit par actions</w:t>
            </w:r>
          </w:p>
        </w:tc>
        <w:tc>
          <w:tcPr>
            <w:tcW w:w="273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29</w:t>
            </w:r>
            <w:r>
              <w:t xml:space="preserve"> </w:t>
            </w:r>
            <w:r w:rsidRPr="00031A85">
              <w:t>703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900</w:t>
            </w:r>
          </w:p>
        </w:tc>
      </w:tr>
      <w:tr w:rsidR="005B4EEC" w:rsidTr="007A6E22">
        <w:tc>
          <w:tcPr>
            <w:tcW w:w="502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Partie libérée</w:t>
            </w:r>
          </w:p>
        </w:tc>
        <w:tc>
          <w:tcPr>
            <w:tcW w:w="273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6</w:t>
            </w:r>
            <w:r>
              <w:t xml:space="preserve"> </w:t>
            </w:r>
            <w:r w:rsidRPr="00031A85">
              <w:t>207</w:t>
            </w:r>
            <w:r>
              <w:t>)</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188</w:t>
            </w:r>
            <w:r>
              <w:t>)</w:t>
            </w:r>
          </w:p>
        </w:tc>
      </w:tr>
      <w:tr w:rsidR="005B4EEC" w:rsidTr="007A6E22">
        <w:tc>
          <w:tcPr>
            <w:tcW w:w="502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Partie non appelée</w:t>
            </w:r>
          </w:p>
        </w:tc>
        <w:tc>
          <w:tcPr>
            <w:tcW w:w="273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23</w:t>
            </w:r>
            <w:r>
              <w:t xml:space="preserve"> </w:t>
            </w:r>
            <w:r w:rsidRPr="00031A85">
              <w:t>496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712</w:t>
            </w:r>
          </w:p>
        </w:tc>
      </w:tr>
    </w:tbl>
    <w:p w:rsidR="00FB0C75" w:rsidRPr="00B723D7" w:rsidRDefault="00525E53" w:rsidP="00FB0C75">
      <w:pPr>
        <w:pStyle w:val="Textstand-alone"/>
        <w:spacing w:before="0"/>
        <w:rPr>
          <w:noProof w:val="0"/>
        </w:rPr>
      </w:pPr>
      <w:r>
        <w:t xml:space="preserve"> </w:t>
      </w:r>
    </w:p>
    <w:p w:rsidR="00FB0C75" w:rsidRPr="00B723D7" w:rsidRDefault="00525E53" w:rsidP="00FB0C75">
      <w:pPr>
        <w:pStyle w:val="HEADER5"/>
      </w:pPr>
      <w:r>
        <w:rPr>
          <w:b w:val="0"/>
        </w:rPr>
        <w:t>FONDS DE GARANTIE RELATIFS AUX GARANTIES BUDGÉTAIRES</w:t>
      </w:r>
    </w:p>
    <w:p w:rsidR="00FB0C75" w:rsidRPr="00B723D7" w:rsidRDefault="00FB0C75" w:rsidP="00FB0C75">
      <w:pPr>
        <w:pStyle w:val="HEADER5"/>
      </w:pPr>
    </w:p>
    <w:p w:rsidR="00FB0C75" w:rsidRPr="00B723D7" w:rsidRDefault="00525E53" w:rsidP="00FB0C75">
      <w:pPr>
        <w:pStyle w:val="HEADER5"/>
        <w:rPr>
          <w:b w:val="0"/>
        </w:rPr>
      </w:pPr>
      <w:r>
        <w:rPr>
          <w:b w:val="0"/>
        </w:rPr>
        <w:t>Fonds de garantie relatif aux actions extérieures</w:t>
      </w:r>
    </w:p>
    <w:p w:rsidR="00FB0C75" w:rsidRPr="00B723D7" w:rsidRDefault="00525E53" w:rsidP="00FB0C75">
      <w:pPr>
        <w:pStyle w:val="DGTextstand-alone"/>
        <w:spacing w:before="120"/>
        <w:rPr>
          <w:noProof w:val="0"/>
        </w:rPr>
      </w:pPr>
      <w:r>
        <w:t>Le Fonds de garantie relatif aux actions extérieures couvre les prêts garantis par le budget de l’Union, en particulier les opérations de prêt de la BEI à l’extérieur de l’UE financées par ses propres ressources, les prêts d’assistance macrofinancière (prêts AMF) et les prêts Euratom hors Union européenne – voir la note </w:t>
      </w:r>
      <w:r w:rsidRPr="00031A85">
        <w:rPr>
          <w:b/>
          <w:noProof w:val="0"/>
        </w:rPr>
        <w:t>4</w:t>
      </w:r>
      <w:r>
        <w:rPr>
          <w:b/>
          <w:noProof w:val="0"/>
        </w:rPr>
        <w:t>.</w:t>
      </w:r>
      <w:r w:rsidRPr="00031A85">
        <w:rPr>
          <w:b/>
          <w:noProof w:val="0"/>
        </w:rPr>
        <w:t>1</w:t>
      </w:r>
      <w:r>
        <w:rPr>
          <w:b/>
          <w:noProof w:val="0"/>
        </w:rPr>
        <w:t>.</w:t>
      </w:r>
      <w:r w:rsidRPr="00031A85">
        <w:rPr>
          <w:b/>
          <w:noProof w:val="0"/>
        </w:rPr>
        <w:t>1</w:t>
      </w:r>
      <w:r>
        <w:t xml:space="preserve">. Il s’agit d’un instrument à long terme (part non courante: </w:t>
      </w:r>
      <w:r w:rsidRPr="00031A85">
        <w:t>1</w:t>
      </w:r>
      <w:r>
        <w:t> </w:t>
      </w:r>
      <w:r w:rsidRPr="00031A85">
        <w:t>946</w:t>
      </w:r>
      <w:r>
        <w:t xml:space="preserve"> millions d’EUR) géré par la BEI qui vise à couvrir tout prêt défaillant garanti par l’UE. Le Fonds est alimenté par les versements du budget de l’UE, par les intérêts produits par les placements financiers des disponibilités du Fonds et par les recouvrements obtenus auprès des débiteurs défaillants, dans la mesure où le Fonds est intervenu en garantie. Le Fonds doit être maintenu à un montant cible correspondant à </w:t>
      </w:r>
      <w:r w:rsidRPr="00031A85">
        <w:t>9</w:t>
      </w:r>
      <w:r>
        <w:t> % des encours de prêts garantis en fin d’exercice. La différence entre le montant cible et la valeur des actifs du Fonds en fin d’exercice est couverte par le budget de l’UE au cours de l’exercice n+</w:t>
      </w:r>
      <w:r w:rsidRPr="00031A85">
        <w:t>2</w:t>
      </w:r>
      <w:r>
        <w:t>, tandis que tout excédent est reversé au budget de l’Union.</w:t>
      </w:r>
    </w:p>
    <w:p w:rsidR="00FB0C75" w:rsidRPr="00B723D7" w:rsidRDefault="00525E53" w:rsidP="00FB0C75">
      <w:pPr>
        <w:pStyle w:val="HEADER5"/>
        <w:rPr>
          <w:b w:val="0"/>
        </w:rPr>
      </w:pPr>
      <w:r>
        <w:rPr>
          <w:b w:val="0"/>
        </w:rPr>
        <w:t>Fonds de garantie de l’EFSI</w:t>
      </w:r>
    </w:p>
    <w:p w:rsidR="00FB0C75" w:rsidRPr="00B723D7" w:rsidRDefault="00525E53" w:rsidP="00FB0C75">
      <w:pPr>
        <w:pStyle w:val="DGTextstand-alone"/>
        <w:spacing w:before="120"/>
        <w:rPr>
          <w:noProof w:val="0"/>
        </w:rPr>
      </w:pPr>
      <w:r>
        <w:t>Conformément au règlement EFSI, le Fonds de garantie de l’EFSI a été établi pour fournir une réserve de liquidité en cas de pertes éventuelles de la BEI se rapportant à ses opérations de financement et d’investissement admissibles à la garantie de l’UE au titre de l’EFSI en vertu de l’accord sur ce Fonds - voir la note </w:t>
      </w:r>
      <w:r w:rsidRPr="00031A85">
        <w:rPr>
          <w:b/>
          <w:noProof w:val="0"/>
        </w:rPr>
        <w:t>4</w:t>
      </w:r>
      <w:r>
        <w:rPr>
          <w:b/>
          <w:noProof w:val="0"/>
        </w:rPr>
        <w:t>.</w:t>
      </w:r>
      <w:r w:rsidRPr="00031A85">
        <w:rPr>
          <w:b/>
          <w:noProof w:val="0"/>
        </w:rPr>
        <w:t>1</w:t>
      </w:r>
      <w:r>
        <w:rPr>
          <w:b/>
          <w:noProof w:val="0"/>
        </w:rPr>
        <w:t>.</w:t>
      </w:r>
      <w:r w:rsidRPr="00031A85">
        <w:rPr>
          <w:b/>
          <w:noProof w:val="0"/>
        </w:rPr>
        <w:t>1</w:t>
      </w:r>
      <w:r>
        <w:t>. Le Fonds de garantie de l’EFSI est financé par les contributions du budget de l’UE. Il est également alimenté par les revenus des placements du fonds de garantie, les paiements reçus par l’Union en rémunération de la garantie conformément à l’accord EFSI et par les montants recouvrés par la BEI auprès des débiteurs défaillants au titre des précédents appels de garantie. Le Fonds est géré par la Commission, qui est autorisée à investir les actifs du Fonds de garantie de l’EFSI sur les marchés financiers conformément au principe de bonne gestion financière et dans le respect des règles prudentielles appropriées. Le Fonds de garantie de l’EFSI est devenu opérationnel en avril </w:t>
      </w:r>
      <w:r w:rsidRPr="00031A85">
        <w:t>2016</w:t>
      </w:r>
      <w:r>
        <w:t xml:space="preserve">. Entre </w:t>
      </w:r>
      <w:r w:rsidRPr="00031A85">
        <w:t>2016</w:t>
      </w:r>
      <w:r>
        <w:t xml:space="preserve"> et </w:t>
      </w:r>
      <w:r w:rsidRPr="00031A85">
        <w:t>2022</w:t>
      </w:r>
      <w:r>
        <w:t xml:space="preserve">, il sera progressivement provisionné pour atteindre </w:t>
      </w:r>
      <w:r w:rsidRPr="00031A85">
        <w:t>8</w:t>
      </w:r>
      <w:r>
        <w:t xml:space="preserve"> milliards d’EUR, soit </w:t>
      </w:r>
      <w:r w:rsidRPr="00031A85">
        <w:t>50</w:t>
      </w:r>
      <w:r>
        <w:t> % du total de la garantie EFSI de l’Union.</w:t>
      </w:r>
    </w:p>
    <w:p w:rsidR="00FB0C75" w:rsidRPr="00B723D7" w:rsidRDefault="00525E53" w:rsidP="00FB0C75">
      <w:pPr>
        <w:pStyle w:val="HEADER5"/>
      </w:pPr>
      <w:r>
        <w:rPr>
          <w:b w:val="0"/>
        </w:rPr>
        <w:t>INSTRUMENTS FINANCIERS RELEVANT DU BUDGET DE L’UE</w:t>
      </w:r>
    </w:p>
    <w:p w:rsidR="00FB0C75" w:rsidRPr="00B723D7" w:rsidRDefault="00FB0C75" w:rsidP="00FB0C75">
      <w:pPr>
        <w:pStyle w:val="HEADER5"/>
      </w:pPr>
    </w:p>
    <w:p w:rsidR="00FB0C75" w:rsidRPr="00B723D7" w:rsidRDefault="00525E53" w:rsidP="007E4449">
      <w:pPr>
        <w:pStyle w:val="HEADER5"/>
        <w:jc w:val="both"/>
        <w:rPr>
          <w:rFonts w:eastAsia="Calibri"/>
          <w:b w:val="0"/>
          <w:color w:val="auto"/>
        </w:rPr>
      </w:pPr>
      <w:r>
        <w:rPr>
          <w:b w:val="0"/>
          <w:color w:val="auto"/>
        </w:rPr>
        <w:t>Pour obtenir une vue d'ensemble de tous les instruments financiers relevant du budget de l’UE, voir l’examen et l’analyse des états financiers.</w:t>
      </w:r>
    </w:p>
    <w:p w:rsidR="00FB0C75" w:rsidRPr="00B723D7" w:rsidRDefault="00FB0C75" w:rsidP="00FB0C75">
      <w:pPr>
        <w:pStyle w:val="HEADER5"/>
        <w:rPr>
          <w:rFonts w:eastAsia="Calibri"/>
          <w:b w:val="0"/>
          <w:color w:val="auto"/>
        </w:rPr>
      </w:pPr>
    </w:p>
    <w:p w:rsidR="00FB0C75" w:rsidRPr="00B723D7" w:rsidRDefault="00525E53" w:rsidP="00FB0C75">
      <w:pPr>
        <w:pStyle w:val="HEADER5"/>
        <w:spacing w:after="120"/>
        <w:rPr>
          <w:b w:val="0"/>
        </w:rPr>
      </w:pPr>
      <w:r>
        <w:rPr>
          <w:b w:val="0"/>
        </w:rPr>
        <w:t>Horizon </w:t>
      </w:r>
      <w:r w:rsidRPr="00031A85">
        <w:rPr>
          <w:b w:val="0"/>
        </w:rPr>
        <w:t>2020</w:t>
      </w:r>
    </w:p>
    <w:p w:rsidR="00FB0C75" w:rsidRPr="00B723D7" w:rsidRDefault="00525E53" w:rsidP="00FB0C75">
      <w:pPr>
        <w:pStyle w:val="DGTextstand-alone"/>
        <w:spacing w:before="120"/>
        <w:rPr>
          <w:noProof w:val="0"/>
        </w:rPr>
      </w:pPr>
      <w:r>
        <w:t>En vertu du règlement de l’Union instituant Horizon </w:t>
      </w:r>
      <w:r w:rsidRPr="00031A85">
        <w:t>2020</w:t>
      </w:r>
      <w:r>
        <w:t xml:space="preserve"> – le programme-cadre pour la recherche et l’innovation (</w:t>
      </w:r>
      <w:r w:rsidRPr="00031A85">
        <w:t>2014</w:t>
      </w:r>
      <w:r>
        <w:t>-</w:t>
      </w:r>
      <w:r w:rsidRPr="00031A85">
        <w:t>2020</w:t>
      </w:r>
      <w:r>
        <w:t xml:space="preserve">), de nouveaux instruments financiers ont été mis en place afin d’améliorer l’accès aux financements d’entités engagées dans la recherche et l’innovation (R&amp;I). Ces instruments sont les suivants: le </w:t>
      </w:r>
      <w:r>
        <w:rPr>
          <w:i/>
          <w:noProof w:val="0"/>
        </w:rPr>
        <w:t>service de garanties et de prêts InnovFin pour la recherche et l’innovation,</w:t>
      </w:r>
      <w:r>
        <w:t xml:space="preserve"> au titre duquel la Commission partage les risques financiers liés à un portefeuille de nouvelles opérations de financement conclues par la BEI; la </w:t>
      </w:r>
      <w:r>
        <w:rPr>
          <w:i/>
          <w:noProof w:val="0"/>
        </w:rPr>
        <w:t>facilité InnovFin de garantie pour les PME, y compris l’instrument de garantie non plafonnée dans le cadre de l’initiative PME (SIUGI)</w:t>
      </w:r>
      <w:r>
        <w:t xml:space="preserve"> – mécanismes de garantie gérés par le FEI et offrant des garanties et des contre-garanties aux intermédiaires financiers pour les nouveaux portefeuilles de prêts (au titre du SIUGI, la Commission partage avec les États membres, le FEI et la BEI les risques financiers liés à la garantie donnée), et le </w:t>
      </w:r>
      <w:r>
        <w:rPr>
          <w:i/>
          <w:noProof w:val="0"/>
        </w:rPr>
        <w:t>mécanisme de fonds propres InnovFin pour la recherche et l’innovation</w:t>
      </w:r>
      <w:r>
        <w:t xml:space="preserve">, qui prévoit des investissements dans des fonds de capital-risque et qui est géré par le FEI. </w:t>
      </w:r>
    </w:p>
    <w:p w:rsidR="00FB0C75" w:rsidRPr="00B723D7" w:rsidRDefault="00525E53" w:rsidP="00FB0C75">
      <w:pPr>
        <w:pStyle w:val="HEADER5"/>
        <w:keepNext/>
        <w:spacing w:after="120"/>
        <w:rPr>
          <w:b w:val="0"/>
        </w:rPr>
      </w:pPr>
      <w:r>
        <w:rPr>
          <w:b w:val="0"/>
        </w:rPr>
        <w:t>Mécanisme de financement avec partage des risques</w:t>
      </w:r>
    </w:p>
    <w:p w:rsidR="00FB0C75" w:rsidRPr="00B723D7" w:rsidRDefault="00525E53" w:rsidP="00FB0C75">
      <w:pPr>
        <w:pStyle w:val="DGTextstand-alone"/>
        <w:spacing w:before="120"/>
        <w:rPr>
          <w:noProof w:val="0"/>
        </w:rPr>
      </w:pPr>
      <w:r>
        <w:t>Le mécanisme de financement avec partage des risques (MFPR) est géré par la BEI, et le portefeuille d’investissement de la Commission sert à provisionner le risque financier lié aux prêts et garanties accordés par la BEI à des projets de recherche éligibles. Au total, un budget de l’Union d’un montant maximal d’</w:t>
      </w:r>
      <w:r w:rsidRPr="00031A85">
        <w:t>1</w:t>
      </w:r>
      <w:r>
        <w:t> milliard d’EUR a été alloué au MFPR au titre du CFP </w:t>
      </w:r>
      <w:r w:rsidRPr="00031A85">
        <w:t>2007</w:t>
      </w:r>
      <w:r>
        <w:t>-</w:t>
      </w:r>
      <w:r w:rsidRPr="00031A85">
        <w:t>2013</w:t>
      </w:r>
      <w:r>
        <w:t>. Dans le CFP </w:t>
      </w:r>
      <w:r w:rsidRPr="00031A85">
        <w:t>2014</w:t>
      </w:r>
      <w:r>
        <w:t>-</w:t>
      </w:r>
      <w:r w:rsidRPr="00031A85">
        <w:t>2020</w:t>
      </w:r>
      <w:r>
        <w:t>, aucune nouvelle contribution budgétaire n’est prévue pour le MFPR. Le risque global encouru par l’UE est limité au montant qu’elle apporte au mécanisme.</w:t>
      </w:r>
    </w:p>
    <w:p w:rsidR="00FB0C75" w:rsidRPr="00B723D7" w:rsidRDefault="00525E53" w:rsidP="00FB0C75">
      <w:pPr>
        <w:pStyle w:val="HEADER5"/>
        <w:spacing w:after="120"/>
        <w:rPr>
          <w:b w:val="0"/>
        </w:rPr>
      </w:pPr>
      <w:r>
        <w:rPr>
          <w:b w:val="0"/>
        </w:rPr>
        <w:t>Mécanisme pour l’interconnexion en Europe</w:t>
      </w:r>
    </w:p>
    <w:p w:rsidR="00FB0C75" w:rsidRPr="00B723D7" w:rsidRDefault="00525E53" w:rsidP="00FB0C75">
      <w:pPr>
        <w:pStyle w:val="DGTextstand-alone"/>
        <w:spacing w:before="120"/>
        <w:rPr>
          <w:rFonts w:ascii="Times New Roman" w:hAnsi="Times New Roman"/>
          <w:noProof w:val="0"/>
          <w:szCs w:val="20"/>
        </w:rPr>
      </w:pPr>
      <w:r>
        <w:t>Conformément au règlement (UE) nº </w:t>
      </w:r>
      <w:r w:rsidRPr="00031A85">
        <w:t>1316</w:t>
      </w:r>
      <w:r>
        <w:t>/</w:t>
      </w:r>
      <w:r w:rsidRPr="00031A85">
        <w:t>2013</w:t>
      </w:r>
      <w:r>
        <w:t xml:space="preserve">, l’instrument de prêt du mécanisme pour l’interconnexion en Europe (MIE) a été établi dans le but de faciliter, pour les projets d'infrastructures, l'accès aux financements dans les secteurs des transports, des télécommunications et de l'énergie. Il est géré par la BEI en vertu d’un accord avec l’UE. L’instrument de prêt du MIE s’inscrit dans la continuité de l’instrument de garantie de prêts pour les projets RTE-T (GPTT) et de la phase pilote de l’initiative d’emprunts obligataires pour des projets (PBI). Le GPTT et le portefeuille du PBI ont été fusionnés pour former l’instrument financier du MIE, avec effet au </w:t>
      </w:r>
      <w:r w:rsidRPr="00031A85">
        <w:t>1</w:t>
      </w:r>
      <w:r>
        <w:rPr>
          <w:vertAlign w:val="superscript"/>
        </w:rPr>
        <w:t>er</w:t>
      </w:r>
      <w:r>
        <w:t> janvier </w:t>
      </w:r>
      <w:r w:rsidRPr="00031A85">
        <w:t>2016</w:t>
      </w:r>
      <w:r>
        <w:t xml:space="preserve">. Il propose de partager les risques du financement des emprunts sous forme de dette ou de garanties privilégiée(s) et subordonnée(s) ainsi que d'un soutien aux emprunts obligataires pour le financement de projets. </w:t>
      </w:r>
    </w:p>
    <w:p w:rsidR="00FB0C75" w:rsidRPr="00B723D7" w:rsidRDefault="00525E53" w:rsidP="00FB0C75">
      <w:pPr>
        <w:pStyle w:val="HEADER5"/>
        <w:spacing w:after="120"/>
        <w:rPr>
          <w:b w:val="0"/>
        </w:rPr>
      </w:pPr>
      <w:r>
        <w:rPr>
          <w:b w:val="0"/>
        </w:rPr>
        <w:t>Aide au démarrage du MET</w:t>
      </w:r>
    </w:p>
    <w:p w:rsidR="00FB0C75" w:rsidRPr="00B723D7" w:rsidRDefault="00525E53" w:rsidP="00BD1908">
      <w:pPr>
        <w:pStyle w:val="DGTextstand-alone"/>
        <w:spacing w:before="120" w:after="360"/>
        <w:rPr>
          <w:noProof w:val="0"/>
        </w:rPr>
      </w:pPr>
      <w:r>
        <w:t>Il s’agit d’instruments de fonds propres qui ont été financés par les programmes «Croissance et emploi», MAP et PIC et le projet pilote de transfert de technologie qui, sous la gestion fiduciaire du FEI, soutiennent la création et le financement de PME en phase de démarrage en investissant dans des fonds de capital-risque spécialisés et appropriés.</w:t>
      </w:r>
    </w:p>
    <w:p w:rsidR="00FB0C75" w:rsidRPr="00B723D7" w:rsidRDefault="00525E53" w:rsidP="00FB0C75">
      <w:pPr>
        <w:pStyle w:val="HEADER3Part2"/>
        <w:spacing w:after="0"/>
      </w:pPr>
      <w:r>
        <w:t>Actifs financiers à la juste valeur par le biais de l’excédent ou du déficit</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200"/>
        <w:gridCol w:w="1320"/>
        <w:gridCol w:w="1080"/>
        <w:gridCol w:w="1200"/>
        <w:gridCol w:w="1207"/>
        <w:gridCol w:w="1218"/>
      </w:tblGrid>
      <w:tr w:rsidR="005B4EEC" w:rsidTr="00483C31">
        <w:tc>
          <w:tcPr>
            <w:tcW w:w="27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3" w:name="DOC_TBL00016_1_1"/>
            <w:bookmarkEnd w:id="213"/>
          </w:p>
        </w:tc>
        <w:tc>
          <w:tcPr>
            <w:tcW w:w="1200"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320"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080"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00"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0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7pItalicLeft"/>
              <w:rPr>
                <w:rFonts w:cs="Verdana"/>
                <w:noProof w:val="0"/>
              </w:rPr>
            </w:pPr>
            <w:r>
              <w:t>en Mio EUR</w:t>
            </w:r>
          </w:p>
        </w:tc>
      </w:tr>
      <w:tr w:rsidR="005B4EEC" w:rsidTr="00483C31">
        <w:trPr>
          <w:trHeight w:val="247"/>
        </w:trPr>
        <w:tc>
          <w:tcPr>
            <w:tcW w:w="27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3600"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rsidRPr="00031A85">
              <w:t>31</w:t>
            </w:r>
            <w:r>
              <w:t>.</w:t>
            </w:r>
            <w:r w:rsidRPr="00031A85">
              <w:t>12</w:t>
            </w:r>
            <w:r>
              <w:t>.</w:t>
            </w:r>
            <w:r w:rsidRPr="00031A85">
              <w:t>2016</w:t>
            </w:r>
          </w:p>
        </w:tc>
        <w:tc>
          <w:tcPr>
            <w:tcW w:w="3625"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rsidRPr="00031A85">
              <w:t>31</w:t>
            </w:r>
            <w:r>
              <w:t>.</w:t>
            </w:r>
            <w:r w:rsidRPr="00031A85">
              <w:t>12</w:t>
            </w:r>
            <w:r>
              <w:t>.</w:t>
            </w:r>
            <w:r w:rsidRPr="00031A85">
              <w:t>2015</w:t>
            </w:r>
          </w:p>
        </w:tc>
      </w:tr>
      <w:tr w:rsidR="005B4EEC" w:rsidTr="00483C31">
        <w:trPr>
          <w:trHeight w:val="247"/>
        </w:trPr>
        <w:tc>
          <w:tcPr>
            <w:tcW w:w="27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20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Montant notionnel branche receveur</w:t>
            </w:r>
          </w:p>
        </w:tc>
        <w:tc>
          <w:tcPr>
            <w:tcW w:w="132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Montant notionnel branche payeur</w:t>
            </w:r>
          </w:p>
        </w:tc>
        <w:tc>
          <w:tcPr>
            <w:tcW w:w="108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Juste valeur</w:t>
            </w:r>
          </w:p>
        </w:tc>
        <w:tc>
          <w:tcPr>
            <w:tcW w:w="120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Montant notionnel branche receveur</w:t>
            </w:r>
          </w:p>
        </w:tc>
        <w:tc>
          <w:tcPr>
            <w:tcW w:w="120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Montant notionnel branche payeur</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Juste valeur</w:t>
            </w:r>
          </w:p>
        </w:tc>
      </w:tr>
      <w:tr w:rsidR="005B4EEC" w:rsidTr="00483C31">
        <w:trPr>
          <w:trHeight w:val="247"/>
        </w:trPr>
        <w:tc>
          <w:tcPr>
            <w:tcW w:w="27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Contrat de change</w:t>
            </w:r>
            <w:r>
              <w:br/>
              <w:t>à terme</w:t>
            </w:r>
          </w:p>
        </w:tc>
        <w:tc>
          <w:tcPr>
            <w:tcW w:w="1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50</w:t>
            </w:r>
          </w:p>
        </w:tc>
        <w:tc>
          <w:tcPr>
            <w:tcW w:w="132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50</w:t>
            </w:r>
            <w:r>
              <w:t>)</w:t>
            </w:r>
          </w:p>
        </w:tc>
        <w:tc>
          <w:tcPr>
            <w:tcW w:w="10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0</w:t>
            </w:r>
          </w:p>
        </w:tc>
        <w:tc>
          <w:tcPr>
            <w:tcW w:w="1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0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bl>
    <w:p w:rsidR="00FB0C75" w:rsidRPr="00B723D7" w:rsidRDefault="00525E53" w:rsidP="00FB0C75">
      <w:pPr>
        <w:pStyle w:val="DGTextstand-alone"/>
        <w:rPr>
          <w:noProof w:val="0"/>
        </w:rPr>
      </w:pPr>
      <w:r>
        <w:t xml:space="preserve">En </w:t>
      </w:r>
      <w:r w:rsidRPr="00031A85">
        <w:t>2016</w:t>
      </w:r>
      <w:r>
        <w:t xml:space="preserve">, l’UE a conclu deux contrats de change à terme afin de couvrir le risque de change lié aux titres de créance libellés en USD détenus dans le Fonds de garantie de l’EFSI. En vertu de ces contrats, l’UE paie le montant notionnel convenu dans le contrat en devise («branche payeur») et recevra le montant notionnel en EUR («branche receveur») à la date d'échéance. Ces contrats dérivés sont évalués à la juste valeur à la date de clôture et classés en tant qu’actifs financiers ou en tant que passifs financiers à leur juste valeur par le biais de l’excédent ou du déficit selon que la juste valeur est positive ou négative. Au </w:t>
      </w:r>
      <w:r w:rsidRPr="00031A85">
        <w:t>31</w:t>
      </w:r>
      <w:r>
        <w:t> décembre </w:t>
      </w:r>
      <w:r w:rsidRPr="00031A85">
        <w:t>2016</w:t>
      </w:r>
      <w:r>
        <w:t xml:space="preserve">, un contrat de change à terme, dont le montant notionnel était de </w:t>
      </w:r>
      <w:r w:rsidRPr="00031A85">
        <w:t>50</w:t>
      </w:r>
      <w:r>
        <w:t xml:space="preserve"> millions d’EUR, a donné une juste valeur positive de </w:t>
      </w:r>
      <w:r w:rsidRPr="00031A85">
        <w:t>0</w:t>
      </w:r>
      <w:r>
        <w:t>,</w:t>
      </w:r>
      <w:r w:rsidRPr="00031A85">
        <w:t>5</w:t>
      </w:r>
      <w:r>
        <w:t xml:space="preserve"> million d’EUR et a été comptabilisé dans les actifs financiers. L’autre contrat, dont le montant notionnel était de </w:t>
      </w:r>
      <w:r w:rsidRPr="00031A85">
        <w:t>101</w:t>
      </w:r>
      <w:r>
        <w:t> millions d’EUR, a donné une juste valeur négative et a donc été comptabilisé dans le passif financier - voir la note </w:t>
      </w:r>
      <w:r w:rsidRPr="00031A85">
        <w:rPr>
          <w:b/>
          <w:noProof w:val="0"/>
        </w:rPr>
        <w:t>2</w:t>
      </w:r>
      <w:r>
        <w:rPr>
          <w:b/>
          <w:noProof w:val="0"/>
        </w:rPr>
        <w:t>.</w:t>
      </w:r>
      <w:r w:rsidRPr="00031A85">
        <w:rPr>
          <w:b/>
          <w:noProof w:val="0"/>
        </w:rPr>
        <w:t>11</w:t>
      </w:r>
      <w:r>
        <w:rPr>
          <w:b/>
          <w:noProof w:val="0"/>
        </w:rPr>
        <w:t>.</w:t>
      </w:r>
      <w:r w:rsidRPr="00031A85">
        <w:rPr>
          <w:b/>
          <w:noProof w:val="0"/>
        </w:rPr>
        <w:t>2</w:t>
      </w:r>
      <w:r>
        <w:t>.</w:t>
      </w:r>
    </w:p>
    <w:p w:rsidR="00FB0C75" w:rsidRPr="00B723D7" w:rsidRDefault="00525E53" w:rsidP="00FB0C75">
      <w:pPr>
        <w:pStyle w:val="DGTextstand-alone"/>
        <w:spacing w:before="0" w:after="0"/>
        <w:rPr>
          <w:noProof w:val="0"/>
        </w:rPr>
      </w:pPr>
      <w:r>
        <w:t xml:space="preserve">Au </w:t>
      </w:r>
      <w:r w:rsidRPr="00031A85">
        <w:t>31</w:t>
      </w:r>
      <w:r>
        <w:t> décembre </w:t>
      </w:r>
      <w:r w:rsidRPr="00031A85">
        <w:t>2016</w:t>
      </w:r>
      <w:r>
        <w:t>, tous les actifs financiers à la juste valeur par le biais de l’excédent ou du déficit sont classés au niveau </w:t>
      </w:r>
      <w:r w:rsidRPr="00031A85">
        <w:t>2</w:t>
      </w:r>
      <w:r>
        <w:t xml:space="preserve"> de la hiérarchie des justes valeurs – voir le tableau ci-dessous.</w:t>
      </w:r>
    </w:p>
    <w:p w:rsidR="00FB0C75" w:rsidRPr="00B723D7" w:rsidRDefault="00FB0C75" w:rsidP="00FB0C75">
      <w:pPr>
        <w:pStyle w:val="DGTextstand-alone"/>
        <w:spacing w:before="0" w:after="0"/>
        <w:rPr>
          <w:noProof w:val="0"/>
        </w:rPr>
      </w:pPr>
    </w:p>
    <w:p w:rsidR="00FB0C75" w:rsidRDefault="00FB0C75" w:rsidP="00FB0C75">
      <w:pPr>
        <w:pStyle w:val="HEADER5"/>
        <w:rPr>
          <w:b w:val="0"/>
        </w:rPr>
        <w:sectPr w:rsidR="00FB0C75" w:rsidSect="00FB0C75">
          <w:headerReference w:type="even" r:id="rId154"/>
          <w:headerReference w:type="default" r:id="rId155"/>
          <w:footerReference w:type="even" r:id="rId156"/>
          <w:footerReference w:type="default" r:id="rId157"/>
          <w:headerReference w:type="first" r:id="rId158"/>
          <w:footerReference w:type="first" r:id="rId159"/>
          <w:type w:val="continuous"/>
          <w:pgSz w:w="11906" w:h="16838"/>
          <w:pgMar w:top="1134" w:right="1134" w:bottom="1134" w:left="1134" w:header="709" w:footer="709" w:gutter="0"/>
          <w:cols w:space="708"/>
          <w:docGrid w:linePitch="360"/>
        </w:sectPr>
      </w:pPr>
    </w:p>
    <w:p w:rsidR="00FB0C75" w:rsidRPr="00B723D7" w:rsidRDefault="00525E53" w:rsidP="00FB0C75">
      <w:pPr>
        <w:pStyle w:val="HEADER5"/>
        <w:rPr>
          <w:b w:val="0"/>
        </w:rPr>
      </w:pPr>
      <w:r>
        <w:rPr>
          <w:b w:val="0"/>
        </w:rPr>
        <w:t>Hiérarchie des justes valeurs des actifs financiers évalués à la juste valeur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040"/>
        <w:gridCol w:w="1840"/>
      </w:tblGrid>
      <w:tr w:rsidR="005B4EEC" w:rsidTr="00DA481C">
        <w:tc>
          <w:tcPr>
            <w:tcW w:w="58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4" w:name="DOC_TBL00017_1_1"/>
            <w:bookmarkEnd w:id="214"/>
          </w:p>
        </w:tc>
        <w:tc>
          <w:tcPr>
            <w:tcW w:w="204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84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DA481C">
        <w:tc>
          <w:tcPr>
            <w:tcW w:w="58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04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rsidTr="00DA481C">
        <w:tc>
          <w:tcPr>
            <w:tcW w:w="586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Niveau </w:t>
            </w:r>
            <w:r w:rsidRPr="00031A85">
              <w:t>1</w:t>
            </w:r>
            <w:r>
              <w:t>: prix cotés sur des marchés actifs</w:t>
            </w: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910</w:t>
            </w:r>
          </w:p>
        </w:tc>
        <w:tc>
          <w:tcPr>
            <w:tcW w:w="18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123</w:t>
            </w:r>
          </w:p>
        </w:tc>
      </w:tr>
      <w:tr w:rsidR="005B4EEC" w:rsidTr="00DA481C">
        <w:tc>
          <w:tcPr>
            <w:tcW w:w="586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Niveau </w:t>
            </w:r>
            <w:r w:rsidRPr="00031A85">
              <w:t>2</w:t>
            </w:r>
            <w:r>
              <w:t>: données observables autres que les prix cotés</w:t>
            </w: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231</w:t>
            </w:r>
          </w:p>
        </w:tc>
        <w:tc>
          <w:tcPr>
            <w:tcW w:w="18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188</w:t>
            </w:r>
          </w:p>
        </w:tc>
      </w:tr>
      <w:tr w:rsidR="005B4EEC" w:rsidTr="00DA481C">
        <w:tc>
          <w:tcPr>
            <w:tcW w:w="586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Niveau </w:t>
            </w:r>
            <w:r w:rsidRPr="00031A85">
              <w:t>3</w:t>
            </w:r>
            <w:r>
              <w:t>: techniques de valorisation utilisant des données qui ne sont pas fondées sur des données de marché observables</w:t>
            </w:r>
          </w:p>
        </w:tc>
        <w:tc>
          <w:tcPr>
            <w:tcW w:w="204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302</w:t>
            </w:r>
          </w:p>
        </w:tc>
        <w:tc>
          <w:tcPr>
            <w:tcW w:w="184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310</w:t>
            </w:r>
          </w:p>
        </w:tc>
      </w:tr>
      <w:tr w:rsidR="005B4EEC" w:rsidTr="00DA481C">
        <w:tc>
          <w:tcPr>
            <w:tcW w:w="58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04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442</w:t>
            </w:r>
          </w:p>
        </w:tc>
        <w:tc>
          <w:tcPr>
            <w:tcW w:w="184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w:t>
            </w:r>
            <w:r>
              <w:t xml:space="preserve"> </w:t>
            </w:r>
            <w:r w:rsidRPr="00031A85">
              <w:t>620</w:t>
            </w:r>
          </w:p>
        </w:tc>
      </w:tr>
    </w:tbl>
    <w:p w:rsidR="00FB0C75" w:rsidRPr="00B723D7" w:rsidRDefault="00525E53" w:rsidP="00FB0C75">
      <w:pPr>
        <w:pStyle w:val="Textstand-alone"/>
        <w:spacing w:after="480"/>
        <w:rPr>
          <w:noProof w:val="0"/>
        </w:rPr>
      </w:pPr>
      <w:r>
        <w:t>Il n’y a pas eu de transfert entre le niveau </w:t>
      </w:r>
      <w:r w:rsidRPr="00031A85">
        <w:t>1</w:t>
      </w:r>
      <w:r>
        <w:t xml:space="preserve"> et le niveau </w:t>
      </w:r>
      <w:r w:rsidRPr="00031A85">
        <w:t>2</w:t>
      </w:r>
      <w:r>
        <w:t xml:space="preserve"> au cours de la période.</w:t>
      </w:r>
    </w:p>
    <w:p w:rsidR="00FB0C75" w:rsidRPr="00B723D7" w:rsidRDefault="00525E53" w:rsidP="00FB0C75">
      <w:pPr>
        <w:pStyle w:val="HEADER5"/>
        <w:rPr>
          <w:b w:val="0"/>
        </w:rPr>
      </w:pPr>
      <w:r>
        <w:rPr>
          <w:b w:val="0"/>
        </w:rPr>
        <w:t xml:space="preserve">Rapprochement des actifs financiers évalués à l’aide de techniques de valorisation utilisant des données qui ne sont pas fondées sur des données de marché observables (niveau </w:t>
      </w:r>
      <w:r w:rsidRPr="00031A85">
        <w:rPr>
          <w:b w:val="0"/>
        </w:rPr>
        <w:t>3</w:t>
      </w:r>
      <w:r>
        <w:rPr>
          <w:b w:val="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5" w:name="DOC_TBL00018_1_1"/>
            <w:bookmarkEnd w:id="215"/>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Solde d’ouverture au </w:t>
            </w:r>
            <w:r w:rsidRPr="00031A85">
              <w:t>31</w:t>
            </w:r>
            <w:r>
              <w:t>.</w:t>
            </w:r>
            <w:r w:rsidRPr="00031A85">
              <w:t>12</w:t>
            </w:r>
            <w:r>
              <w:t>.</w:t>
            </w:r>
            <w:r w:rsidRPr="00031A85">
              <w:t>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310</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Achats et ventes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Plus-values et moins-values pour la période en produits financiers ou charges financières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54</w:t>
            </w: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Plus-values et moins-values en actifs nets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Transferts vers le niveau </w:t>
            </w:r>
            <w:r w:rsidRPr="00031A85">
              <w:t>3</w:t>
            </w:r>
            <w:r>
              <w:t xml:space="preserv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Transferts depuis le niveau </w:t>
            </w:r>
            <w:r w:rsidRPr="00031A85">
              <w:t>3</w:t>
            </w:r>
            <w:r>
              <w:t xml:space="preserv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Solde de clôture au </w:t>
            </w:r>
            <w:r w:rsidRPr="00031A85">
              <w:t>31</w:t>
            </w:r>
            <w:r>
              <w:t>.</w:t>
            </w:r>
            <w:r w:rsidRPr="00031A85">
              <w:t>12</w:t>
            </w:r>
            <w:r>
              <w:t>.</w:t>
            </w:r>
            <w:r w:rsidRPr="00031A85">
              <w:t>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302</w:t>
            </w:r>
          </w:p>
        </w:tc>
      </w:tr>
    </w:tbl>
    <w:p w:rsidR="00FB0C75" w:rsidRPr="00B723D7" w:rsidRDefault="00525E53" w:rsidP="00FB0C75">
      <w:pPr>
        <w:pStyle w:val="Textstand-alone"/>
        <w:spacing w:before="0"/>
        <w:rPr>
          <w:noProof w:val="0"/>
        </w:rPr>
      </w:pPr>
      <w:r>
        <w:t xml:space="preserve"> </w:t>
      </w:r>
    </w:p>
    <w:p w:rsidR="00FB0C75" w:rsidRPr="00B723D7" w:rsidRDefault="00525E53" w:rsidP="00FB0C75">
      <w:pPr>
        <w:pStyle w:val="HEADER3Part2"/>
        <w:spacing w:before="0" w:after="0"/>
      </w:pPr>
      <w:r>
        <w:t>Prêts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6" w:name="DOC_TBL00019_1_1"/>
            <w:bookmarkEnd w:id="216"/>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 d'assistance financière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3</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55</w:t>
            </w:r>
            <w:r>
              <w:t xml:space="preserve"> </w:t>
            </w:r>
            <w:r w:rsidRPr="00031A85">
              <w:t>134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56</w:t>
            </w:r>
            <w:r>
              <w:t xml:space="preserve"> </w:t>
            </w:r>
            <w:r w:rsidRPr="00031A85">
              <w:t>874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 prêts</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4</w:t>
            </w:r>
            <w:r>
              <w:t>.</w:t>
            </w:r>
            <w:r w:rsidRPr="00031A85">
              <w:t>3</w:t>
            </w:r>
            <w:r>
              <w:t>.</w:t>
            </w:r>
            <w:r w:rsidRPr="00031A85">
              <w:t>2</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343</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377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55</w:t>
            </w:r>
            <w:r>
              <w:t xml:space="preserve"> </w:t>
            </w:r>
            <w:r w:rsidRPr="00031A85">
              <w:t>477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57</w:t>
            </w:r>
            <w:r>
              <w:t xml:space="preserve"> </w:t>
            </w:r>
            <w:r w:rsidRPr="00031A85">
              <w:t>251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Non courants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53</w:t>
            </w:r>
            <w:r>
              <w:t xml:space="preserve"> </w:t>
            </w:r>
            <w:r w:rsidRPr="00031A85">
              <w:t>116</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49</w:t>
            </w:r>
            <w:r>
              <w:t xml:space="preserve"> </w:t>
            </w:r>
            <w:r w:rsidRPr="00031A85">
              <w:t>743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2</w:t>
            </w:r>
            <w:r>
              <w:t xml:space="preserve"> </w:t>
            </w:r>
            <w:r w:rsidRPr="00031A85">
              <w:t>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7</w:t>
            </w:r>
            <w:r>
              <w:t xml:space="preserve"> </w:t>
            </w:r>
            <w:r w:rsidRPr="00031A85">
              <w:t>508</w:t>
            </w:r>
          </w:p>
        </w:tc>
      </w:tr>
    </w:tbl>
    <w:p w:rsidR="00FB0C75" w:rsidRPr="00B723D7" w:rsidRDefault="00FB0C75" w:rsidP="00FB0C75">
      <w:pPr>
        <w:pStyle w:val="DGTextstand-alone"/>
        <w:spacing w:before="0" w:after="0"/>
        <w:rPr>
          <w:noProof w:val="0"/>
        </w:rPr>
      </w:pPr>
    </w:p>
    <w:p w:rsidR="00FB0C75" w:rsidRPr="00B723D7" w:rsidRDefault="00525E53" w:rsidP="00FB0C75">
      <w:pPr>
        <w:pStyle w:val="HEADER4Part2"/>
        <w:spacing w:after="0"/>
      </w:pPr>
      <w:r>
        <w:t>Prêts d'assistance financière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rPr>
          <w:cantSplit/>
        </w:trPr>
        <w:tc>
          <w:tcPr>
            <w:tcW w:w="2943"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7" w:name="DOC_TBL00020_1_1"/>
            <w:bookmarkEnd w:id="217"/>
          </w:p>
        </w:tc>
        <w:tc>
          <w:tcPr>
            <w:tcW w:w="107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7pItalicLeft"/>
              <w:rPr>
                <w:rFonts w:cs="Verdana"/>
                <w:noProof w:val="0"/>
              </w:rPr>
            </w:pPr>
            <w:r>
              <w:t>en Mio EUR</w:t>
            </w:r>
          </w:p>
        </w:tc>
      </w:tr>
      <w:tr w:rsidR="005B4EEC">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MESF</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BDP</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AMF</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Euratom</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CECA en liquidation</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Total</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 xml:space="preserve">Total au </w:t>
            </w:r>
            <w:r w:rsidRPr="00031A85">
              <w:t>31</w:t>
            </w:r>
            <w:r>
              <w:t>.</w:t>
            </w:r>
            <w:r w:rsidRPr="00031A85">
              <w:t>12</w:t>
            </w:r>
            <w:r>
              <w:t>.</w:t>
            </w:r>
            <w:r w:rsidRPr="00031A85">
              <w:t>2015</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47</w:t>
            </w:r>
            <w:r>
              <w:t xml:space="preserve"> </w:t>
            </w:r>
            <w:r w:rsidRPr="00031A85">
              <w:t>509</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5</w:t>
            </w:r>
            <w:r>
              <w:t xml:space="preserve"> </w:t>
            </w:r>
            <w:r w:rsidRPr="00031A85">
              <w:t>811</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3</w:t>
            </w:r>
            <w:r>
              <w:t xml:space="preserve"> </w:t>
            </w:r>
            <w:r w:rsidRPr="00031A85">
              <w:t>024</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301</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229</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56</w:t>
            </w:r>
            <w:r>
              <w:t xml:space="preserve"> </w:t>
            </w:r>
            <w:r w:rsidRPr="00031A85">
              <w:t>874</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Nouveaux prêts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4</w:t>
            </w:r>
            <w:r>
              <w:t xml:space="preserve"> </w:t>
            </w:r>
            <w:r w:rsidRPr="00031A85">
              <w:t>750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10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4</w:t>
            </w:r>
            <w:r>
              <w:t xml:space="preserve"> </w:t>
            </w:r>
            <w:r w:rsidRPr="00031A85">
              <w:t>760</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Remboursements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r w:rsidRPr="00031A85">
              <w:t>4</w:t>
            </w:r>
            <w:r>
              <w:t xml:space="preserve"> </w:t>
            </w:r>
            <w:r w:rsidRPr="00031A85">
              <w:t>750</w:t>
            </w:r>
            <w:r>
              <w:t>)</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r w:rsidRPr="00031A85">
              <w:t>1</w:t>
            </w:r>
            <w:r>
              <w:t xml:space="preserve"> </w:t>
            </w:r>
            <w:r w:rsidRPr="00031A85">
              <w:t>500</w:t>
            </w: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70</w:t>
            </w:r>
            <w: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49</w:t>
            </w: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r w:rsidRPr="00031A85">
              <w:t>6</w:t>
            </w:r>
            <w:r>
              <w:t xml:space="preserve"> </w:t>
            </w:r>
            <w:r w:rsidRPr="00031A85">
              <w:t>369</w:t>
            </w:r>
            <w:r>
              <w:t>)</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Écarts de change</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33</w:t>
            </w: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33</w:t>
            </w:r>
            <w:r>
              <w:t>)</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Variations de la valeur comptable</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53</w:t>
            </w:r>
            <w:r>
              <w:t>)</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40</w:t>
            </w: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5</w:t>
            </w: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w:t>
            </w:r>
            <w:r w:rsidRPr="00031A85">
              <w:t>98</w:t>
            </w:r>
            <w:r>
              <w:t>)</w:t>
            </w:r>
          </w:p>
        </w:tc>
      </w:tr>
      <w:tr w:rsidR="005B4EEC">
        <w:trPr>
          <w:cantSplit/>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Dépréciation</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r w:rsidR="005B4EEC">
        <w:trPr>
          <w:cantSplit/>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t xml:space="preserve">Total au </w:t>
            </w:r>
            <w:r w:rsidRPr="00031A85">
              <w:t>31</w:t>
            </w:r>
            <w:r>
              <w:t>.</w:t>
            </w:r>
            <w:r w:rsidRPr="00031A85">
              <w:t>12</w:t>
            </w:r>
            <w:r>
              <w:t>.</w:t>
            </w:r>
            <w:r w:rsidRPr="00031A85">
              <w:t>2016</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031A85">
              <w:t>47</w:t>
            </w:r>
            <w:r>
              <w:t xml:space="preserve"> </w:t>
            </w:r>
            <w:r w:rsidRPr="00031A85">
              <w:t>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031A85">
              <w:t>4</w:t>
            </w:r>
            <w:r>
              <w:t xml:space="preserve"> </w:t>
            </w:r>
            <w:r w:rsidRPr="00031A85">
              <w:t>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031A85">
              <w:t>2</w:t>
            </w:r>
            <w:r>
              <w:t xml:space="preserve"> </w:t>
            </w:r>
            <w:r w:rsidRPr="00031A85">
              <w:t>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 xml:space="preserve"> </w:t>
            </w:r>
            <w:r w:rsidRPr="00031A85">
              <w:t>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 xml:space="preserve"> </w:t>
            </w:r>
            <w:r w:rsidRPr="00031A85">
              <w:t>191</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031A85">
              <w:t>55</w:t>
            </w:r>
            <w:r>
              <w:t xml:space="preserve"> </w:t>
            </w:r>
            <w:r w:rsidRPr="00031A85">
              <w:t>134</w:t>
            </w:r>
          </w:p>
        </w:tc>
      </w:tr>
      <w:tr w:rsidR="005B4EEC">
        <w:trPr>
          <w:cantSplit/>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Pr>
                <w:noProof w:val="0"/>
                <w:color w:val="016794"/>
              </w:rPr>
              <w:t>Non courants</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46</w:t>
            </w:r>
            <w:r>
              <w:t xml:space="preserve"> </w:t>
            </w:r>
            <w:r w:rsidRPr="00031A85">
              <w:t>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3</w:t>
            </w:r>
            <w:r>
              <w:t xml:space="preserve"> </w:t>
            </w:r>
            <w:r w:rsidRPr="00031A85">
              <w:t>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2</w:t>
            </w:r>
            <w:r>
              <w:t xml:space="preserve"> </w:t>
            </w:r>
            <w:r w:rsidRPr="00031A85">
              <w:t>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101</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53</w:t>
            </w:r>
            <w:r>
              <w:t xml:space="preserve"> </w:t>
            </w:r>
            <w:r w:rsidRPr="00031A85">
              <w:t>039</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Pr>
                <w:noProof w:val="0"/>
                <w:color w:val="016794"/>
              </w:rPr>
              <w:t>Courants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656</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1</w:t>
            </w:r>
            <w:r>
              <w:t xml:space="preserve"> </w:t>
            </w:r>
            <w:r w:rsidRPr="00031A85">
              <w:t>222</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75</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53</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w:t>
            </w:r>
            <w:r w:rsidRPr="00031A85">
              <w:t>90</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031A85">
              <w:t>2</w:t>
            </w:r>
            <w:r>
              <w:t xml:space="preserve"> </w:t>
            </w:r>
            <w:r w:rsidRPr="00031A85">
              <w:t>096</w:t>
            </w:r>
          </w:p>
        </w:tc>
      </w:tr>
    </w:tbl>
    <w:p w:rsidR="00FB0C75" w:rsidRPr="00B723D7" w:rsidRDefault="00525E53" w:rsidP="00FB0C75">
      <w:pPr>
        <w:pStyle w:val="DGTextstand-alone"/>
        <w:spacing w:before="120" w:after="120"/>
        <w:rPr>
          <w:i/>
          <w:noProof w:val="0"/>
          <w:sz w:val="16"/>
        </w:rPr>
      </w:pPr>
      <w:r>
        <w:rPr>
          <w:i/>
          <w:noProof w:val="0"/>
          <w:sz w:val="16"/>
        </w:rPr>
        <w:t>La variation observée dans la valeur comptable correspond aux nouveaux intérêts cumulés.</w:t>
      </w:r>
    </w:p>
    <w:p w:rsidR="00FB0C75" w:rsidRPr="00B723D7" w:rsidRDefault="00525E53" w:rsidP="00FB0C75">
      <w:pPr>
        <w:pStyle w:val="DGTextstand-alone"/>
        <w:spacing w:before="120" w:after="120"/>
        <w:rPr>
          <w:noProof w:val="0"/>
        </w:rPr>
      </w:pPr>
      <w:r>
        <w:t xml:space="preserve">La valeur nominale totale des prêts d’assistance financière au </w:t>
      </w:r>
      <w:r w:rsidRPr="00031A85">
        <w:t>31</w:t>
      </w:r>
      <w:r>
        <w:t> décembre </w:t>
      </w:r>
      <w:r w:rsidRPr="00031A85">
        <w:t>2016</w:t>
      </w:r>
      <w:r>
        <w:t xml:space="preserve"> s'élève à </w:t>
      </w:r>
      <w:r w:rsidRPr="00031A85">
        <w:t>54</w:t>
      </w:r>
      <w:r>
        <w:t>,</w:t>
      </w:r>
      <w:r w:rsidRPr="00031A85">
        <w:t>373</w:t>
      </w:r>
      <w:r>
        <w:t xml:space="preserve"> milliards d’EUR (contre </w:t>
      </w:r>
      <w:r w:rsidRPr="00031A85">
        <w:t>56</w:t>
      </w:r>
      <w:r>
        <w:t>,</w:t>
      </w:r>
      <w:r w:rsidRPr="00031A85">
        <w:t>011</w:t>
      </w:r>
      <w:r>
        <w:t> milliards d’EUR en </w:t>
      </w:r>
      <w:r w:rsidRPr="00031A85">
        <w:t>2015</w:t>
      </w:r>
      <w:r>
        <w:t xml:space="preserve">). </w:t>
      </w:r>
    </w:p>
    <w:p w:rsidR="00FB0C75" w:rsidRPr="00B723D7" w:rsidRDefault="00525E53" w:rsidP="00FB0C75">
      <w:pPr>
        <w:pStyle w:val="DGTextstand-alone"/>
        <w:spacing w:before="120" w:after="120"/>
        <w:rPr>
          <w:noProof w:val="0"/>
        </w:rPr>
      </w:pPr>
      <w:r>
        <w:t xml:space="preserve">Le MESF permet l’octroi d’une assistance financière à un État membre qui connaît des difficultés, ou qui risque sérieusement d'en rencontrer, en raison d’événements exceptionnels échappant à son contrôle. L’assistance peut consister en un prêt ou une ligne de crédit. Conformément aux conclusions du Conseil Ecofin du </w:t>
      </w:r>
      <w:r w:rsidRPr="00031A85">
        <w:t>9</w:t>
      </w:r>
      <w:r>
        <w:t> mai </w:t>
      </w:r>
      <w:r w:rsidRPr="00031A85">
        <w:t>2010</w:t>
      </w:r>
      <w:r>
        <w:t xml:space="preserve">, le mécanisme est limité à </w:t>
      </w:r>
      <w:r w:rsidRPr="00031A85">
        <w:t>60</w:t>
      </w:r>
      <w:r>
        <w:t xml:space="preserve"> milliards d’EUR. Du point de vue juridique, la limite restreint l’encours des prêts ou lignes de crédit à la marge disponible sous le plafond des ressources propres. Les emprunts relatifs à des prêts accordés dans le cadre du MESF sont garantis par le budget de l’UE. Il n’est pas prévu que le MESF s’engage dans de nouveaux programmes de financement ou conclue de nouvelles conventions de prêt. </w:t>
      </w:r>
    </w:p>
    <w:p w:rsidR="00FB0C75" w:rsidRPr="00B723D7" w:rsidRDefault="00525E53" w:rsidP="00FB0C75">
      <w:pPr>
        <w:pStyle w:val="DGTextstand-alone"/>
        <w:spacing w:before="120" w:after="120"/>
        <w:rPr>
          <w:noProof w:val="0"/>
        </w:rPr>
      </w:pPr>
      <w:r>
        <w:t xml:space="preserve">Le mécanisme de la BDP, instrument financier à base politique, apporte une assistance financière à moyen terme aux États membres de l’UE qui n’ont pas adopté l’euro. Il permet d’accorder des prêts aux États membres qui rencontrent des difficultés, ou qui risquent sérieusement d'en rencontrer, dans leur balance des paiements ou leurs mouvements de capitaux. L’encours maximal des prêts accordé au titre de cet instrument est limité à </w:t>
      </w:r>
      <w:r w:rsidRPr="00031A85">
        <w:t>50</w:t>
      </w:r>
      <w:r>
        <w:t> milliards d’EUR. Les emprunts associés à ces prêts BDP sont garantis par le budget de l’UE.</w:t>
      </w:r>
    </w:p>
    <w:p w:rsidR="00FB0C75" w:rsidRPr="00B723D7" w:rsidRDefault="00525E53" w:rsidP="00FB0C75">
      <w:pPr>
        <w:pStyle w:val="DGTextstand-alone"/>
        <w:spacing w:before="120" w:after="120"/>
        <w:rPr>
          <w:noProof w:val="0"/>
        </w:rPr>
      </w:pPr>
      <w:r>
        <w:t xml:space="preserve">L’AMF est un instrument financier axé sur une politique d’aide au redressement de la balance des paiements et/ou une aide budgétaire, non liées et sans affectation particulière, en faveur de pays partenaires suivant actuellement un programme du FMI. Elle consiste en des subventions ou des prêts à moyen/long terme, voire en une combinaison appropriée des deux, et complète généralement un financement octroyé dans le cadre d’un programme de réforme et d’ajustement appuyé par le FMI. Ces prêts sont garantis par le Fonds de garantie relatif aux actions extérieures. Au </w:t>
      </w:r>
      <w:r w:rsidRPr="00031A85">
        <w:t>31</w:t>
      </w:r>
      <w:r>
        <w:t> décembre </w:t>
      </w:r>
      <w:r w:rsidRPr="00031A85">
        <w:t>2016</w:t>
      </w:r>
      <w:r>
        <w:t xml:space="preserve">, un montant de </w:t>
      </w:r>
      <w:r w:rsidRPr="00031A85">
        <w:t>1</w:t>
      </w:r>
      <w:r>
        <w:t>,</w:t>
      </w:r>
      <w:r w:rsidRPr="00031A85">
        <w:t>313</w:t>
      </w:r>
      <w:r>
        <w:t> milliard d’EUR lié à une convention de prêt au titre de l’AMF a été accordé à l’Ukraine (</w:t>
      </w:r>
      <w:r w:rsidRPr="00031A85">
        <w:t>1</w:t>
      </w:r>
      <w:r>
        <w:t>,</w:t>
      </w:r>
      <w:r w:rsidRPr="00031A85">
        <w:t>2</w:t>
      </w:r>
      <w:r>
        <w:t> milliard d’EUR), à la Tunisie (</w:t>
      </w:r>
      <w:r w:rsidRPr="00031A85">
        <w:t>100</w:t>
      </w:r>
      <w:r>
        <w:t> millions d’EUR) et à la Géorgie (</w:t>
      </w:r>
      <w:r w:rsidRPr="00031A85">
        <w:t>13</w:t>
      </w:r>
      <w:r>
        <w:t> millions d’EUR), mais n’a pas encore été décaissé – voir la note </w:t>
      </w:r>
      <w:r w:rsidRPr="00031A85">
        <w:rPr>
          <w:b/>
          <w:noProof w:val="0"/>
        </w:rPr>
        <w:t>4</w:t>
      </w:r>
      <w:r>
        <w:rPr>
          <w:b/>
          <w:noProof w:val="0"/>
        </w:rPr>
        <w:t>.</w:t>
      </w:r>
      <w:r w:rsidRPr="00031A85">
        <w:rPr>
          <w:b/>
          <w:noProof w:val="0"/>
        </w:rPr>
        <w:t>1</w:t>
      </w:r>
      <w:r>
        <w:rPr>
          <w:b/>
          <w:noProof w:val="0"/>
        </w:rPr>
        <w:t>.</w:t>
      </w:r>
      <w:r w:rsidRPr="00031A85">
        <w:rPr>
          <w:b/>
          <w:noProof w:val="0"/>
        </w:rPr>
        <w:t>2</w:t>
      </w:r>
      <w:r>
        <w:t>.</w:t>
      </w:r>
    </w:p>
    <w:p w:rsidR="00FB0C75" w:rsidRPr="00B723D7" w:rsidRDefault="00525E53" w:rsidP="00FB0C75">
      <w:pPr>
        <w:pStyle w:val="DGTextstand-alone"/>
        <w:spacing w:before="120" w:after="120"/>
        <w:rPr>
          <w:noProof w:val="0"/>
        </w:rPr>
      </w:pPr>
      <w:r>
        <w:t xml:space="preserve">L’entité juridique Euratom (représentée par la Commission) prête de l’argent à la fois aux États membres et aux pays tiers afin de financer des projets relatifs à des installations énergétiques. Au </w:t>
      </w:r>
      <w:r w:rsidRPr="00031A85">
        <w:t>31</w:t>
      </w:r>
      <w:r>
        <w:t> décembre </w:t>
      </w:r>
      <w:r w:rsidRPr="00031A85">
        <w:t>2016</w:t>
      </w:r>
      <w:r>
        <w:t xml:space="preserve">, des prêts d’un montant de </w:t>
      </w:r>
      <w:r w:rsidRPr="00031A85">
        <w:t>300</w:t>
      </w:r>
      <w:r>
        <w:t> millions d’EUR ont été accordés à l’Ukraine mais n’ont pas encore été décaissés – voir la note </w:t>
      </w:r>
      <w:r w:rsidRPr="00031A85">
        <w:rPr>
          <w:b/>
          <w:noProof w:val="0"/>
        </w:rPr>
        <w:t>4</w:t>
      </w:r>
      <w:r>
        <w:rPr>
          <w:b/>
          <w:noProof w:val="0"/>
        </w:rPr>
        <w:t>.</w:t>
      </w:r>
      <w:r w:rsidRPr="00031A85">
        <w:rPr>
          <w:b/>
          <w:noProof w:val="0"/>
        </w:rPr>
        <w:t>1</w:t>
      </w:r>
      <w:r>
        <w:rPr>
          <w:b/>
          <w:noProof w:val="0"/>
        </w:rPr>
        <w:t>.</w:t>
      </w:r>
      <w:r w:rsidRPr="00031A85">
        <w:rPr>
          <w:b/>
          <w:noProof w:val="0"/>
        </w:rPr>
        <w:t>2</w:t>
      </w:r>
      <w:r>
        <w:t xml:space="preserve">. Des garanties de tiers à hauteur de </w:t>
      </w:r>
      <w:r w:rsidRPr="00031A85">
        <w:t>252</w:t>
      </w:r>
      <w:r>
        <w:t xml:space="preserve"> millions d’EUR (contre </w:t>
      </w:r>
      <w:r w:rsidRPr="00031A85">
        <w:t>301</w:t>
      </w:r>
      <w:r>
        <w:t> millions d’EUR en </w:t>
      </w:r>
      <w:r w:rsidRPr="00031A85">
        <w:t>2015</w:t>
      </w:r>
      <w:r>
        <w:t>) ont été reçues pour couvrir les prêts Euratom.</w:t>
      </w:r>
    </w:p>
    <w:p w:rsidR="00FB0C75" w:rsidRPr="00B723D7" w:rsidRDefault="00525E53" w:rsidP="00FB0C75">
      <w:pPr>
        <w:pStyle w:val="Textstand-alone"/>
        <w:spacing w:after="0"/>
        <w:rPr>
          <w:noProof w:val="0"/>
        </w:rPr>
      </w:pPr>
      <w:r>
        <w:t>Les prêts de la CECA en liquidation ont été accordés sur fonds d’emprunts conformément aux articles </w:t>
      </w:r>
      <w:r w:rsidRPr="00031A85">
        <w:t>54</w:t>
      </w:r>
      <w:r>
        <w:t xml:space="preserve"> et </w:t>
      </w:r>
      <w:r w:rsidRPr="00031A85">
        <w:t>56</w:t>
      </w:r>
      <w:r>
        <w:t xml:space="preserve"> du traité CECA.</w:t>
      </w:r>
    </w:p>
    <w:p w:rsidR="00FB0C75" w:rsidRPr="00B723D7" w:rsidRDefault="00FB0C75" w:rsidP="00FB0C75">
      <w:pPr>
        <w:pStyle w:val="Textstand-alone"/>
        <w:spacing w:before="0" w:after="0"/>
        <w:rPr>
          <w:noProof w:val="0"/>
        </w:rPr>
      </w:pPr>
    </w:p>
    <w:p w:rsidR="00FB0C75" w:rsidRPr="00B723D7" w:rsidRDefault="00525E53" w:rsidP="00FB0C75">
      <w:pPr>
        <w:pStyle w:val="HEADER5"/>
        <w:keepNext/>
        <w:rPr>
          <w:b w:val="0"/>
        </w:rPr>
      </w:pPr>
      <w:r>
        <w:rPr>
          <w:b w:val="0"/>
        </w:rPr>
        <w:t>Taux d’intérêt effectifs pour les prêts (exprimés sous forme de fourchettes de taux d’intérêt)</w:t>
      </w:r>
    </w:p>
    <w:p w:rsidR="00FB0C75" w:rsidRPr="00B723D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2280"/>
        <w:gridCol w:w="2200"/>
      </w:tblGrid>
      <w:tr w:rsidR="005B4EEC" w:rsidTr="00DA481C">
        <w:tc>
          <w:tcPr>
            <w:tcW w:w="526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bookmarkStart w:id="218" w:name="DOC_TBL00021_1_1"/>
            <w:bookmarkEnd w:id="218"/>
          </w:p>
        </w:tc>
        <w:tc>
          <w:tcPr>
            <w:tcW w:w="228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031A85">
              <w:t>31</w:t>
            </w:r>
            <w:r>
              <w:t>.</w:t>
            </w:r>
            <w:r w:rsidRPr="00031A85">
              <w:t>12</w:t>
            </w:r>
            <w:r>
              <w:t>.</w:t>
            </w:r>
            <w:r w:rsidRPr="00031A85">
              <w:t>2016</w:t>
            </w:r>
          </w:p>
        </w:tc>
        <w:tc>
          <w:tcPr>
            <w:tcW w:w="220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031A85">
              <w:t>31</w:t>
            </w:r>
            <w:r>
              <w:t>.</w:t>
            </w:r>
            <w:r w:rsidRPr="00031A85">
              <w:t>12</w:t>
            </w:r>
            <w:r>
              <w:t>.</w:t>
            </w:r>
            <w:r w:rsidRPr="00031A85">
              <w:t>2015</w:t>
            </w:r>
          </w:p>
        </w:tc>
      </w:tr>
      <w:tr w:rsidR="005B4EEC" w:rsidTr="00DA481C">
        <w:tc>
          <w:tcPr>
            <w:tcW w:w="526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Assistance macrofinancière (AMF)</w:t>
            </w:r>
          </w:p>
        </w:tc>
        <w:tc>
          <w:tcPr>
            <w:tcW w:w="22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 xml:space="preserve"> % - </w:t>
            </w:r>
            <w:r w:rsidRPr="00031A85">
              <w:t>4</w:t>
            </w:r>
            <w:r>
              <w:t>,</w:t>
            </w:r>
            <w:r w:rsidRPr="00031A85">
              <w:t>54</w:t>
            </w:r>
            <w:r>
              <w:t> %</w:t>
            </w:r>
          </w:p>
        </w:tc>
        <w:tc>
          <w:tcPr>
            <w:tcW w:w="2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 xml:space="preserve"> % - </w:t>
            </w:r>
            <w:r w:rsidRPr="00031A85">
              <w:t>4</w:t>
            </w:r>
            <w:r>
              <w:t>,</w:t>
            </w:r>
            <w:r w:rsidRPr="00031A85">
              <w:t>54</w:t>
            </w:r>
            <w:r>
              <w:t> %</w:t>
            </w:r>
          </w:p>
        </w:tc>
      </w:tr>
      <w:tr w:rsidR="005B4EEC" w:rsidTr="00DA481C">
        <w:tc>
          <w:tcPr>
            <w:tcW w:w="526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Euratom</w:t>
            </w:r>
          </w:p>
        </w:tc>
        <w:tc>
          <w:tcPr>
            <w:tcW w:w="22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 xml:space="preserve"> % - </w:t>
            </w:r>
            <w:r w:rsidRPr="00031A85">
              <w:t>5</w:t>
            </w:r>
            <w:r>
              <w:t>,</w:t>
            </w:r>
            <w:r w:rsidRPr="00031A85">
              <w:t>76</w:t>
            </w:r>
            <w:r>
              <w:t> %</w:t>
            </w:r>
          </w:p>
        </w:tc>
        <w:tc>
          <w:tcPr>
            <w:tcW w:w="2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w:t>
            </w:r>
            <w:r w:rsidRPr="00031A85">
              <w:t>08</w:t>
            </w:r>
            <w:r>
              <w:t xml:space="preserve"> % - </w:t>
            </w:r>
            <w:r w:rsidRPr="00031A85">
              <w:t>5</w:t>
            </w:r>
            <w:r>
              <w:t>,</w:t>
            </w:r>
            <w:r w:rsidRPr="00031A85">
              <w:t>76</w:t>
            </w:r>
            <w:r>
              <w:t> %</w:t>
            </w:r>
          </w:p>
        </w:tc>
      </w:tr>
      <w:tr w:rsidR="005B4EEC" w:rsidTr="00DA481C">
        <w:tc>
          <w:tcPr>
            <w:tcW w:w="526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Balance des paiements (BDP)</w:t>
            </w:r>
          </w:p>
        </w:tc>
        <w:tc>
          <w:tcPr>
            <w:tcW w:w="22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w:t>
            </w:r>
            <w:r w:rsidRPr="00031A85">
              <w:t>37</w:t>
            </w:r>
            <w:r>
              <w:t xml:space="preserve"> % - </w:t>
            </w:r>
            <w:r w:rsidRPr="00031A85">
              <w:t>3</w:t>
            </w:r>
            <w:r>
              <w:t>,</w:t>
            </w:r>
            <w:r w:rsidRPr="00031A85">
              <w:t>37</w:t>
            </w:r>
            <w:r>
              <w:t> %</w:t>
            </w:r>
          </w:p>
        </w:tc>
        <w:tc>
          <w:tcPr>
            <w:tcW w:w="2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2</w:t>
            </w:r>
            <w:r>
              <w:t>,</w:t>
            </w:r>
            <w:r w:rsidRPr="00031A85">
              <w:t>37</w:t>
            </w:r>
            <w:r>
              <w:t xml:space="preserve"> % - </w:t>
            </w:r>
            <w:r w:rsidRPr="00031A85">
              <w:t>3</w:t>
            </w:r>
            <w:r>
              <w:t>,</w:t>
            </w:r>
            <w:r w:rsidRPr="00031A85">
              <w:t>62</w:t>
            </w:r>
            <w:r>
              <w:t> %</w:t>
            </w:r>
          </w:p>
        </w:tc>
      </w:tr>
      <w:tr w:rsidR="005B4EEC" w:rsidTr="00DA481C">
        <w:tc>
          <w:tcPr>
            <w:tcW w:w="526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Mécanisme européen de stabilisation financière (MESF)</w:t>
            </w:r>
          </w:p>
        </w:tc>
        <w:tc>
          <w:tcPr>
            <w:tcW w:w="22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w:t>
            </w:r>
            <w:r w:rsidRPr="00031A85">
              <w:t>62</w:t>
            </w:r>
            <w:r>
              <w:t xml:space="preserve"> % - </w:t>
            </w:r>
            <w:r w:rsidRPr="00031A85">
              <w:t>3</w:t>
            </w:r>
            <w:r>
              <w:t>,</w:t>
            </w:r>
            <w:r w:rsidRPr="00031A85">
              <w:t>75</w:t>
            </w:r>
            <w:r>
              <w:t> %</w:t>
            </w:r>
          </w:p>
        </w:tc>
        <w:tc>
          <w:tcPr>
            <w:tcW w:w="2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0</w:t>
            </w:r>
            <w:r>
              <w:t>,</w:t>
            </w:r>
            <w:r w:rsidRPr="00031A85">
              <w:t>62</w:t>
            </w:r>
            <w:r>
              <w:t xml:space="preserve"> % - </w:t>
            </w:r>
            <w:r w:rsidRPr="00031A85">
              <w:t>3</w:t>
            </w:r>
            <w:r>
              <w:t>,</w:t>
            </w:r>
            <w:r w:rsidRPr="00031A85">
              <w:t>75</w:t>
            </w:r>
            <w:r>
              <w:t> %</w:t>
            </w:r>
          </w:p>
        </w:tc>
      </w:tr>
      <w:tr w:rsidR="005B4EEC" w:rsidTr="00DA481C">
        <w:tc>
          <w:tcPr>
            <w:tcW w:w="526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CECA en liquidation</w:t>
            </w:r>
          </w:p>
        </w:tc>
        <w:tc>
          <w:tcPr>
            <w:tcW w:w="228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5</w:t>
            </w:r>
            <w:r>
              <w:t>,</w:t>
            </w:r>
            <w:r w:rsidRPr="00031A85">
              <w:t>23</w:t>
            </w:r>
            <w:r>
              <w:t xml:space="preserve"> % - </w:t>
            </w:r>
            <w:r w:rsidRPr="00031A85">
              <w:t>5</w:t>
            </w:r>
            <w:r>
              <w:t>,</w:t>
            </w:r>
            <w:r w:rsidRPr="00031A85">
              <w:t>81</w:t>
            </w:r>
            <w:r>
              <w:t> %</w:t>
            </w:r>
          </w:p>
        </w:tc>
        <w:tc>
          <w:tcPr>
            <w:tcW w:w="220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031A85">
              <w:t>5</w:t>
            </w:r>
            <w:r>
              <w:t>,</w:t>
            </w:r>
            <w:r w:rsidRPr="00031A85">
              <w:t>23</w:t>
            </w:r>
            <w:r>
              <w:t xml:space="preserve"> % - </w:t>
            </w:r>
            <w:r w:rsidRPr="00031A85">
              <w:t>5</w:t>
            </w:r>
            <w:r>
              <w:t>,</w:t>
            </w:r>
            <w:r w:rsidRPr="00031A85">
              <w:t>81</w:t>
            </w:r>
            <w:r>
              <w:t xml:space="preserve"> %</w:t>
            </w:r>
          </w:p>
        </w:tc>
      </w:tr>
    </w:tbl>
    <w:p w:rsidR="00FB0C75" w:rsidRPr="00B723D7" w:rsidRDefault="00FB0C75" w:rsidP="00FB0C75">
      <w:pPr>
        <w:pStyle w:val="Textstand-alone"/>
        <w:spacing w:before="0"/>
        <w:rPr>
          <w:noProof w:val="0"/>
        </w:rPr>
      </w:pPr>
    </w:p>
    <w:p w:rsidR="00FB0C75" w:rsidRPr="00B723D7" w:rsidRDefault="00525E53" w:rsidP="00FB0C75">
      <w:pPr>
        <w:pStyle w:val="HEADER4Part2"/>
        <w:spacing w:after="0"/>
      </w:pPr>
      <w:r>
        <w:t>Autres prêts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9" w:name="DOC_TBL00022_1_1"/>
            <w:bookmarkEnd w:id="21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 spéciaux</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113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 subordonnés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 au logement de la CECA en liquidation</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Dépôts à terme entre </w:t>
            </w:r>
            <w:r w:rsidRPr="00031A85">
              <w:t>3</w:t>
            </w:r>
            <w:r>
              <w:t xml:space="preserve"> et </w:t>
            </w:r>
            <w:r w:rsidRPr="00031A85">
              <w:t>12</w:t>
            </w:r>
            <w:r>
              <w:t xml:space="preserve"> mois </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245</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343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377</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Non courants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77</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88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Courants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266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290</w:t>
            </w:r>
          </w:p>
        </w:tc>
      </w:tr>
    </w:tbl>
    <w:p w:rsidR="00FB0C75" w:rsidRPr="00B723D7" w:rsidRDefault="00525E53" w:rsidP="00FB0C75">
      <w:pPr>
        <w:pStyle w:val="Textstand-alone"/>
        <w:rPr>
          <w:noProof w:val="0"/>
        </w:rPr>
      </w:pPr>
      <w:r>
        <w:t xml:space="preserve">La valeur nominale des autres prêts au </w:t>
      </w:r>
      <w:r w:rsidRPr="00031A85">
        <w:t>31</w:t>
      </w:r>
      <w:r>
        <w:t> décembre </w:t>
      </w:r>
      <w:r w:rsidRPr="00031A85">
        <w:t>2016</w:t>
      </w:r>
      <w:r>
        <w:t xml:space="preserve"> s'élève à </w:t>
      </w:r>
      <w:r w:rsidRPr="00031A85">
        <w:t>673</w:t>
      </w:r>
      <w:r>
        <w:t xml:space="preserve"> millions d’EUR (contre </w:t>
      </w:r>
      <w:r w:rsidRPr="00031A85">
        <w:t>609</w:t>
      </w:r>
      <w:r>
        <w:t> millions d’EUR en </w:t>
      </w:r>
      <w:r w:rsidRPr="00031A85">
        <w:t>2015</w:t>
      </w:r>
      <w:r>
        <w:t>).</w:t>
      </w:r>
    </w:p>
    <w:p w:rsidR="00FB0C75" w:rsidRPr="00B723D7" w:rsidRDefault="00525E53" w:rsidP="00FB0C75">
      <w:pPr>
        <w:pStyle w:val="Textstand-alone"/>
        <w:rPr>
          <w:noProof w:val="0"/>
        </w:rPr>
      </w:pPr>
      <w:r>
        <w:t>Les prêts spéciaux sont des prêts accordés à des taux préférentiels dans le cadre de la coopération avec les pays tiers.</w:t>
      </w:r>
    </w:p>
    <w:p w:rsidR="00FB0C75" w:rsidRPr="00B723D7" w:rsidRDefault="00525E53" w:rsidP="00FB0C75">
      <w:pPr>
        <w:pStyle w:val="Textstand-alone"/>
        <w:spacing w:after="0"/>
        <w:rPr>
          <w:noProof w:val="0"/>
        </w:rPr>
      </w:pPr>
      <w:r>
        <w:t xml:space="preserve">Les prêts subordonnés sont des prêts défaillants qui ont été accordés par la BEI et dont les droits ont été cédés à l’UE à la suite du versement du Fonds de garantie relatif aux actions extérieures. Ils sont entièrement dépréciés pour un montant de </w:t>
      </w:r>
      <w:r w:rsidRPr="00031A85">
        <w:t>332</w:t>
      </w:r>
      <w:r>
        <w:t xml:space="preserve"> millions d’EUR (contre </w:t>
      </w:r>
      <w:r w:rsidRPr="00031A85">
        <w:t>218</w:t>
      </w:r>
      <w:r>
        <w:t> millions d’EUR en </w:t>
      </w:r>
      <w:r w:rsidRPr="00031A85">
        <w:t>2015</w:t>
      </w:r>
      <w:r>
        <w:t>).</w:t>
      </w:r>
    </w:p>
    <w:p w:rsidR="00FB0C75" w:rsidRPr="00B723D7" w:rsidRDefault="00FB0C75" w:rsidP="00FB0C75">
      <w:pPr>
        <w:pStyle w:val="Textstand-alone"/>
        <w:spacing w:before="0" w:after="0"/>
        <w:rPr>
          <w:noProof w:val="0"/>
        </w:rPr>
      </w:pPr>
    </w:p>
    <w:p w:rsidR="00FB0C75" w:rsidRPr="00B723D7" w:rsidRDefault="00525E53" w:rsidP="00FB0C75">
      <w:pPr>
        <w:pStyle w:val="HEADER5"/>
        <w:rPr>
          <w:b w:val="0"/>
        </w:rPr>
      </w:pPr>
      <w:r>
        <w:rPr>
          <w:b w:val="0"/>
        </w:rPr>
        <w:t>Dépréciation des autres prêts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366"/>
        <w:gridCol w:w="1080"/>
        <w:gridCol w:w="1381"/>
      </w:tblGrid>
      <w:tr w:rsidR="005B4EEC" w:rsidTr="00DA481C">
        <w:tc>
          <w:tcPr>
            <w:tcW w:w="195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0" w:name="DOC_TBL00023_1_1"/>
            <w:bookmarkEnd w:id="220"/>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6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08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81"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rsidTr="00DA481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2015</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Ajouts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Reprises</w:t>
            </w:r>
          </w:p>
        </w:tc>
        <w:tc>
          <w:tcPr>
            <w:tcW w:w="136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Dépréciations </w:t>
            </w:r>
          </w:p>
        </w:tc>
        <w:tc>
          <w:tcPr>
            <w:tcW w:w="108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Autre</w:t>
            </w:r>
          </w:p>
        </w:tc>
        <w:tc>
          <w:tcPr>
            <w:tcW w:w="138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2016</w:t>
            </w:r>
          </w:p>
        </w:tc>
      </w:tr>
      <w:tr w:rsidR="005B4EEC" w:rsidTr="00DA481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Prêts spéciaux</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13</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w:t>
            </w:r>
            <w:r>
              <w:t>)</w:t>
            </w:r>
          </w:p>
        </w:tc>
        <w:tc>
          <w:tcPr>
            <w:tcW w:w="13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080"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381"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w:t>
            </w:r>
          </w:p>
        </w:tc>
      </w:tr>
      <w:tr w:rsidR="005B4EEC" w:rsidTr="00DA481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Prêts subordonnés</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114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3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080"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p>
        </w:tc>
        <w:tc>
          <w:tcPr>
            <w:tcW w:w="1381"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332</w:t>
            </w:r>
          </w:p>
        </w:tc>
      </w:tr>
      <w:tr w:rsidR="005B4EEC" w:rsidTr="00DA481C">
        <w:trPr>
          <w:trHeight w:val="247"/>
        </w:trPr>
        <w:tc>
          <w:tcPr>
            <w:tcW w:w="19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8pItalicLeft"/>
              <w:rPr>
                <w:rFonts w:cs="Verdana"/>
              </w:rPr>
            </w:pPr>
            <w:r>
              <w:t>Prêts au logement de la CECA en liquidation</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5"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366"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080"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381"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r>
      <w:tr w:rsidR="005B4EEC" w:rsidTr="00DA481C">
        <w:trPr>
          <w:trHeight w:val="247"/>
        </w:trPr>
        <w:tc>
          <w:tcPr>
            <w:tcW w:w="19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231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114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6</w:t>
            </w:r>
            <w:r>
              <w:t>)</w:t>
            </w:r>
          </w:p>
        </w:tc>
        <w:tc>
          <w:tcPr>
            <w:tcW w:w="136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0</w:t>
            </w:r>
          </w:p>
        </w:tc>
        <w:tc>
          <w:tcPr>
            <w:tcW w:w="108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0</w:t>
            </w:r>
          </w:p>
        </w:tc>
        <w:tc>
          <w:tcPr>
            <w:tcW w:w="138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339</w:t>
            </w:r>
          </w:p>
        </w:tc>
      </w:tr>
    </w:tbl>
    <w:p w:rsidR="00FB0C75" w:rsidRDefault="00FB0C75" w:rsidP="00FB0C75">
      <w:pPr>
        <w:pStyle w:val="HEADER2Part2"/>
        <w:sectPr w:rsidR="00FB0C75" w:rsidSect="00FB0C75">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1134" w:right="1134" w:bottom="1134" w:left="1134" w:header="709" w:footer="709" w:gutter="0"/>
          <w:cols w:space="708"/>
          <w:docGrid w:linePitch="360"/>
        </w:sectPr>
      </w:pPr>
      <w:bookmarkStart w:id="221" w:name="_DMBM_8920"/>
      <w:bookmarkEnd w:id="209"/>
    </w:p>
    <w:p w:rsidR="00FB0C75" w:rsidRPr="001007FE" w:rsidRDefault="00525E53" w:rsidP="00FB0C75">
      <w:pPr>
        <w:pStyle w:val="HEADER2Part2"/>
      </w:pPr>
      <w: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2" w:name="DOC_TBL00024_1_1"/>
            <w:bookmarkEnd w:id="222"/>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Préfinancements non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20</w:t>
            </w:r>
            <w:r>
              <w:t xml:space="preserve"> </w:t>
            </w:r>
            <w:r w:rsidRPr="00031A85">
              <w:t>219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28</w:t>
            </w:r>
            <w:r>
              <w:t xml:space="preserve"> </w:t>
            </w:r>
            <w:r w:rsidRPr="00031A85">
              <w:t>543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avances payées aux États membres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332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Contribution aux fonds fiduciaires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21</w:t>
            </w:r>
            <w:r>
              <w:t xml:space="preserve"> </w:t>
            </w:r>
            <w:r w:rsidRPr="00031A85">
              <w:t>901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29</w:t>
            </w:r>
            <w:r>
              <w:t xml:space="preserve"> </w:t>
            </w:r>
            <w:r w:rsidRPr="00031A85">
              <w:t>879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Préfinancements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Préfinancements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21</w:t>
            </w:r>
            <w:r>
              <w:t xml:space="preserve"> </w:t>
            </w:r>
            <w:r w:rsidRPr="00031A85">
              <w:t>386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11</w:t>
            </w:r>
            <w:r>
              <w:t xml:space="preserve"> </w:t>
            </w:r>
            <w:r w:rsidRPr="00031A85">
              <w:t>498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avances payées aux États membres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5</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183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779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23</w:t>
            </w:r>
            <w:r>
              <w:t xml:space="preserve"> </w:t>
            </w:r>
            <w:r w:rsidRPr="00031A85">
              <w:t>569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15</w:t>
            </w:r>
            <w:r>
              <w:t xml:space="preserve"> </w:t>
            </w:r>
            <w:r w:rsidRPr="00031A85">
              <w:t>277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45</w:t>
            </w:r>
            <w:r>
              <w:t xml:space="preserve"> </w:t>
            </w:r>
            <w:r w:rsidRPr="00031A85">
              <w:t>470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45</w:t>
            </w:r>
            <w:r>
              <w:t xml:space="preserve"> </w:t>
            </w:r>
            <w:r w:rsidRPr="00031A85">
              <w:t>156</w:t>
            </w:r>
          </w:p>
        </w:tc>
      </w:tr>
    </w:tbl>
    <w:p w:rsidR="00FB0C75" w:rsidRPr="00D354BC" w:rsidRDefault="00525E53" w:rsidP="00FB0C75">
      <w:pPr>
        <w:pStyle w:val="Textstand-alone"/>
      </w:pPr>
      <w:r>
        <w:t xml:space="preserve">Le niveau des préfinancements dans les différents programmes doit être suffisant pour garantir les fonds nécessaires au bénéficiaire pour entamer le projet, tout en préservant également les intérêts financiers de l’UE et en prenant en considération les contraintes en matière de coût/efficacité et sur les plans juridique et opérationnel. Tous ces éléments ont été dûment pris en compte par la Commission en vue d’améliorer le suivi des préfinancements. </w:t>
      </w:r>
    </w:p>
    <w:p w:rsidR="00FB0C75" w:rsidRDefault="00525E53" w:rsidP="00FB0C75">
      <w:pPr>
        <w:pStyle w:val="HEADER3Part2"/>
        <w:spacing w:before="240" w:after="240"/>
      </w:pPr>
      <w: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297"/>
        <w:gridCol w:w="1276"/>
        <w:gridCol w:w="1276"/>
        <w:gridCol w:w="1417"/>
        <w:gridCol w:w="1276"/>
        <w:gridCol w:w="1417"/>
      </w:tblGrid>
      <w:tr w:rsidR="005B4EEC" w:rsidTr="001C05A2">
        <w:tc>
          <w:tcPr>
            <w:tcW w:w="17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3" w:name="DOC_TBL00025_1_1"/>
            <w:bookmarkEnd w:id="223"/>
          </w:p>
        </w:tc>
        <w:tc>
          <w:tcPr>
            <w:tcW w:w="129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rsidTr="001C05A2">
        <w:trPr>
          <w:trHeight w:val="247"/>
        </w:trPr>
        <w:tc>
          <w:tcPr>
            <w:tcW w:w="178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29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Apurement (coupure de l'exercice)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AB079D">
            <w:pPr>
              <w:pStyle w:val="Heading8pNormalCentered"/>
              <w:ind w:left="-108" w:firstLine="108"/>
              <w:rPr>
                <w:rFonts w:eastAsia="Times New Roman" w:cs="Verdana"/>
              </w:rPr>
            </w:pPr>
            <w:r>
              <w:t xml:space="preserve">Valeur nette au </w:t>
            </w:r>
            <w:r w:rsidRPr="00031A85">
              <w:t>31</w:t>
            </w:r>
            <w:r>
              <w:t>.</w:t>
            </w:r>
            <w:r w:rsidRPr="00031A85">
              <w:t>12</w:t>
            </w:r>
            <w:r>
              <w:t>.</w:t>
            </w:r>
            <w:r w:rsidRPr="00031A85">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Apurement (coupure de l'exercice)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Valeur nette </w:t>
            </w:r>
            <w:r>
              <w:br/>
              <w:t xml:space="preserve">au </w:t>
            </w:r>
            <w:r w:rsidRPr="00031A85">
              <w:t>31</w:t>
            </w:r>
            <w:r>
              <w:t>.</w:t>
            </w:r>
            <w:r w:rsidRPr="00031A85">
              <w:t>12</w:t>
            </w:r>
            <w:r>
              <w:t>.</w:t>
            </w:r>
            <w:r w:rsidRPr="00031A85">
              <w:t>2015</w:t>
            </w:r>
          </w:p>
        </w:tc>
      </w:tr>
      <w:tr w:rsidR="00AB079D" w:rsidTr="00972E9E">
        <w:trPr>
          <w:trHeight w:val="247"/>
        </w:trPr>
        <w:tc>
          <w:tcPr>
            <w:tcW w:w="3085" w:type="dxa"/>
            <w:gridSpan w:val="2"/>
            <w:tcBorders>
              <w:top w:val="nil"/>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Gestion partagée</w:t>
            </w: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AB079D" w:rsidRDefault="00525E53" w:rsidP="00AB079D">
            <w:pPr>
              <w:pStyle w:val="Text8pItalicLeft"/>
              <w:rPr>
                <w:rFonts w:cs="Verdana"/>
              </w:rPr>
            </w:pPr>
            <w:r>
              <w:t>Feader et autres instruments de développement rural</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955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955</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726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1</w:t>
            </w:r>
            <w:r>
              <w:t xml:space="preserve"> </w:t>
            </w:r>
            <w:r w:rsidRPr="00031A85">
              <w:t>629</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097</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FEDER et FC</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19</w:t>
            </w:r>
            <w:r>
              <w:t xml:space="preserve"> </w:t>
            </w:r>
            <w:r w:rsidRPr="00031A85">
              <w:t>858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4</w:t>
            </w:r>
            <w:r>
              <w:t xml:space="preserve"> </w:t>
            </w:r>
            <w:r w:rsidRPr="00031A85">
              <w:t>727</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15</w:t>
            </w:r>
            <w:r>
              <w:t xml:space="preserve"> </w:t>
            </w:r>
            <w:r w:rsidRPr="00031A85">
              <w:t>131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24</w:t>
            </w:r>
            <w:r>
              <w:t xml:space="preserve"> </w:t>
            </w:r>
            <w:r w:rsidRPr="00031A85">
              <w:t>268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7</w:t>
            </w:r>
            <w:r>
              <w:t xml:space="preserve"> </w:t>
            </w:r>
            <w:r w:rsidRPr="00031A85">
              <w:t>416</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16</w:t>
            </w:r>
            <w:r>
              <w:t xml:space="preserve"> </w:t>
            </w:r>
            <w:r w:rsidRPr="00031A85">
              <w:t>852</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FSE</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6</w:t>
            </w:r>
            <w:r>
              <w:t xml:space="preserve"> </w:t>
            </w:r>
            <w:r w:rsidRPr="00031A85">
              <w:t>477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617</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5</w:t>
            </w:r>
            <w:r>
              <w:t xml:space="preserve"> </w:t>
            </w:r>
            <w:r w:rsidRPr="00031A85">
              <w:t>860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7</w:t>
            </w:r>
            <w:r>
              <w:t xml:space="preserve"> </w:t>
            </w:r>
            <w:r w:rsidRPr="00031A85">
              <w:t>251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1</w:t>
            </w:r>
            <w:r>
              <w:t xml:space="preserve"> </w:t>
            </w:r>
            <w:r w:rsidRPr="00031A85">
              <w:t>325</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5</w:t>
            </w:r>
            <w:r>
              <w:t xml:space="preserve"> </w:t>
            </w:r>
            <w:r w:rsidRPr="00031A85">
              <w:t>926</w:t>
            </w:r>
          </w:p>
        </w:tc>
      </w:tr>
      <w:tr w:rsidR="005B4EEC" w:rsidTr="001C05A2">
        <w:trPr>
          <w:trHeight w:val="247"/>
        </w:trPr>
        <w:tc>
          <w:tcPr>
            <w:tcW w:w="178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Autres</w:t>
            </w:r>
          </w:p>
        </w:tc>
        <w:tc>
          <w:tcPr>
            <w:tcW w:w="129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219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2</w:t>
            </w:r>
            <w:r>
              <w:t xml:space="preserve"> </w:t>
            </w:r>
            <w:r w:rsidRPr="00031A85">
              <w:t>393</w:t>
            </w:r>
            <w:r>
              <w:t>)</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826</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359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2</w:t>
            </w:r>
            <w:r>
              <w:t xml:space="preserve"> </w:t>
            </w:r>
            <w:r w:rsidRPr="00031A85">
              <w:t>365</w:t>
            </w:r>
            <w:r>
              <w:t>)</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994</w:t>
            </w:r>
          </w:p>
        </w:tc>
      </w:tr>
      <w:tr w:rsidR="005B4EEC" w:rsidTr="001C05A2">
        <w:trPr>
          <w:trHeight w:val="247"/>
        </w:trPr>
        <w:tc>
          <w:tcPr>
            <w:tcW w:w="17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29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34</w:t>
            </w:r>
            <w:r>
              <w:t xml:space="preserve"> </w:t>
            </w:r>
            <w:r w:rsidRPr="00031A85">
              <w:t>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7</w:t>
            </w:r>
            <w:r>
              <w:t xml:space="preserve"> </w:t>
            </w:r>
            <w:r w:rsidRPr="00031A85">
              <w:t>737</w:t>
            </w:r>
            <w:r>
              <w:t>)</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26</w:t>
            </w:r>
            <w:r>
              <w:t xml:space="preserve"> </w:t>
            </w:r>
            <w:r w:rsidRPr="00031A85">
              <w:t>772</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40</w:t>
            </w:r>
            <w:r>
              <w:t xml:space="preserve"> </w:t>
            </w:r>
            <w:r w:rsidRPr="00031A85">
              <w:t>604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12</w:t>
            </w:r>
            <w:r>
              <w:t xml:space="preserve"> </w:t>
            </w:r>
            <w:r w:rsidRPr="00031A85">
              <w:t>735</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27</w:t>
            </w:r>
            <w:r>
              <w:t xml:space="preserve"> </w:t>
            </w:r>
            <w:r w:rsidRPr="00031A85">
              <w:t>869</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Gestion directe</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Exécution par: </w:t>
            </w:r>
          </w:p>
        </w:tc>
        <w:tc>
          <w:tcPr>
            <w:tcW w:w="129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Commission</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12</w:t>
            </w:r>
            <w:r>
              <w:t xml:space="preserve"> </w:t>
            </w:r>
            <w:r w:rsidRPr="00031A85">
              <w:t>424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8</w:t>
            </w:r>
            <w:r>
              <w:t xml:space="preserve"> </w:t>
            </w:r>
            <w:r w:rsidRPr="00031A85">
              <w:t>843</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581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12</w:t>
            </w:r>
            <w:r>
              <w:t xml:space="preserve"> </w:t>
            </w:r>
            <w:r w:rsidRPr="00031A85">
              <w:t>512</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9</w:t>
            </w:r>
            <w:r>
              <w:t xml:space="preserve"> </w:t>
            </w:r>
            <w:r w:rsidRPr="00031A85">
              <w:t>536</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976</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Agences exécutives de l’UE</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13</w:t>
            </w:r>
            <w:r>
              <w:t xml:space="preserve"> </w:t>
            </w:r>
            <w:r w:rsidRPr="00031A85">
              <w:t>136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8</w:t>
            </w:r>
            <w:r>
              <w:t xml:space="preserve"> </w:t>
            </w:r>
            <w:r w:rsidRPr="00031A85">
              <w:t>348</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788</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11</w:t>
            </w:r>
            <w:r>
              <w:t xml:space="preserve"> </w:t>
            </w:r>
            <w:r w:rsidRPr="00031A85">
              <w:t>065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7</w:t>
            </w:r>
            <w:r>
              <w:t xml:space="preserve"> </w:t>
            </w:r>
            <w:r w:rsidRPr="00031A85">
              <w:t>767</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298</w:t>
            </w:r>
          </w:p>
        </w:tc>
      </w:tr>
      <w:tr w:rsidR="005B4EEC" w:rsidTr="001C05A2">
        <w:trPr>
          <w:trHeight w:val="247"/>
        </w:trPr>
        <w:tc>
          <w:tcPr>
            <w:tcW w:w="178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Fonds fiduciaires</w:t>
            </w:r>
          </w:p>
        </w:tc>
        <w:tc>
          <w:tcPr>
            <w:tcW w:w="129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142</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82</w:t>
            </w:r>
            <w:r>
              <w:t>)</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60</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w:t>
            </w:r>
            <w:r>
              <w:t>)</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w:t>
            </w:r>
          </w:p>
        </w:tc>
      </w:tr>
      <w:tr w:rsidR="005B4EEC" w:rsidTr="001C05A2">
        <w:trPr>
          <w:trHeight w:val="247"/>
        </w:trPr>
        <w:tc>
          <w:tcPr>
            <w:tcW w:w="17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29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25</w:t>
            </w:r>
            <w:r>
              <w:t xml:space="preserve"> </w:t>
            </w:r>
            <w:r w:rsidRPr="00031A85">
              <w:t>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17</w:t>
            </w:r>
            <w:r>
              <w:t xml:space="preserve"> </w:t>
            </w:r>
            <w:r w:rsidRPr="00031A85">
              <w:t>273</w:t>
            </w:r>
            <w:r>
              <w:t>)</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8</w:t>
            </w:r>
            <w:r>
              <w:t xml:space="preserve"> </w:t>
            </w:r>
            <w:r w:rsidRPr="00031A85">
              <w:t>429</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23</w:t>
            </w:r>
            <w:r>
              <w:t xml:space="preserve"> </w:t>
            </w:r>
            <w:r w:rsidRPr="00031A85">
              <w:t>591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17</w:t>
            </w:r>
            <w:r>
              <w:t xml:space="preserve"> </w:t>
            </w:r>
            <w:r w:rsidRPr="00031A85">
              <w:t>308</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6</w:t>
            </w:r>
            <w:r>
              <w:t xml:space="preserve"> </w:t>
            </w:r>
            <w:r w:rsidRPr="00031A85">
              <w:t>283</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Gestion indirecte</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Exécution par:</w:t>
            </w:r>
          </w:p>
        </w:tc>
        <w:tc>
          <w:tcPr>
            <w:tcW w:w="129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Autres agences et organes de l’UE</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616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157</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459</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627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95</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532</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Pays tiers</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861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1</w:t>
            </w:r>
            <w:r>
              <w:t xml:space="preserve"> </w:t>
            </w:r>
            <w:r w:rsidRPr="00031A85">
              <w:t>135</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726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151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1</w:t>
            </w:r>
            <w:r>
              <w:t xml:space="preserve"> </w:t>
            </w:r>
            <w:r w:rsidRPr="00031A85">
              <w:t>229</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922</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Organisations internationales</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7</w:t>
            </w:r>
            <w:r>
              <w:t xml:space="preserve"> </w:t>
            </w:r>
            <w:r w:rsidRPr="00031A85">
              <w:t>230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4</w:t>
            </w:r>
            <w:r>
              <w:t xml:space="preserve"> </w:t>
            </w:r>
            <w:r w:rsidRPr="00031A85">
              <w:t>432</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797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6</w:t>
            </w:r>
            <w:r>
              <w:t xml:space="preserve"> </w:t>
            </w:r>
            <w:r w:rsidRPr="00031A85">
              <w:t>640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4</w:t>
            </w:r>
            <w:r>
              <w:t xml:space="preserve"> </w:t>
            </w:r>
            <w:r w:rsidRPr="00031A85">
              <w:t>014</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626</w:t>
            </w:r>
          </w:p>
        </w:tc>
      </w:tr>
      <w:tr w:rsidR="005B4EEC" w:rsidTr="001C05A2">
        <w:trPr>
          <w:trHeight w:val="247"/>
        </w:trPr>
        <w:tc>
          <w:tcPr>
            <w:tcW w:w="178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Autres entités</w:t>
            </w:r>
          </w:p>
        </w:tc>
        <w:tc>
          <w:tcPr>
            <w:tcW w:w="129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6</w:t>
            </w:r>
            <w:r>
              <w:t xml:space="preserve"> </w:t>
            </w:r>
            <w:r w:rsidRPr="00031A85">
              <w:t>498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4</w:t>
            </w:r>
            <w:r>
              <w:t xml:space="preserve"> </w:t>
            </w:r>
            <w:r w:rsidRPr="00031A85">
              <w:t>077</w:t>
            </w:r>
            <w:r>
              <w:t>)</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422</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5</w:t>
            </w:r>
            <w:r>
              <w:t xml:space="preserve"> </w:t>
            </w:r>
            <w:r w:rsidRPr="00031A85">
              <w:t>330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r w:rsidRPr="00031A85">
              <w:t>3</w:t>
            </w:r>
            <w:r>
              <w:t xml:space="preserve"> </w:t>
            </w:r>
            <w:r w:rsidRPr="00031A85">
              <w:t>521</w:t>
            </w:r>
            <w:r>
              <w:t>)</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809</w:t>
            </w:r>
          </w:p>
        </w:tc>
      </w:tr>
      <w:tr w:rsidR="005B4EEC" w:rsidTr="001C05A2">
        <w:trPr>
          <w:trHeight w:val="247"/>
        </w:trPr>
        <w:tc>
          <w:tcPr>
            <w:tcW w:w="17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29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16</w:t>
            </w:r>
            <w:r>
              <w:t xml:space="preserve"> </w:t>
            </w:r>
            <w:r w:rsidRPr="00031A85">
              <w:t>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9</w:t>
            </w:r>
            <w:r>
              <w:t xml:space="preserve"> </w:t>
            </w:r>
            <w:r w:rsidRPr="00031A85">
              <w:t>801</w:t>
            </w:r>
            <w:r>
              <w:t>)</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6</w:t>
            </w:r>
            <w:r>
              <w:t xml:space="preserve"> </w:t>
            </w:r>
            <w:r w:rsidRPr="00031A85">
              <w:t>404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14</w:t>
            </w:r>
            <w:r>
              <w:t xml:space="preserve"> </w:t>
            </w:r>
            <w:r w:rsidRPr="00031A85">
              <w:t>748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8</w:t>
            </w:r>
            <w:r>
              <w:t xml:space="preserve"> </w:t>
            </w:r>
            <w:r w:rsidRPr="00031A85">
              <w:t>859</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5</w:t>
            </w:r>
            <w:r>
              <w:t xml:space="preserve"> </w:t>
            </w:r>
            <w:r w:rsidRPr="00031A85">
              <w:t>889</w:t>
            </w:r>
          </w:p>
        </w:tc>
      </w:tr>
      <w:tr w:rsidR="005B4EEC" w:rsidTr="001C05A2">
        <w:trPr>
          <w:trHeight w:val="247"/>
        </w:trPr>
        <w:tc>
          <w:tcPr>
            <w:tcW w:w="17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129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76</w:t>
            </w:r>
            <w:r>
              <w:t xml:space="preserve"> </w:t>
            </w:r>
            <w:r w:rsidRPr="00031A85">
              <w:t>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34</w:t>
            </w:r>
            <w:r>
              <w:t xml:space="preserve"> </w:t>
            </w:r>
            <w:r w:rsidRPr="00031A85">
              <w:t>811</w:t>
            </w:r>
            <w:r>
              <w:t>)</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41</w:t>
            </w:r>
            <w:r>
              <w:t xml:space="preserve"> </w:t>
            </w:r>
            <w:r w:rsidRPr="00031A85">
              <w:t>605</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78</w:t>
            </w:r>
            <w:r>
              <w:t xml:space="preserve"> </w:t>
            </w:r>
            <w:r w:rsidRPr="00031A85">
              <w:t>943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38</w:t>
            </w:r>
            <w:r>
              <w:t xml:space="preserve"> </w:t>
            </w:r>
            <w:r w:rsidRPr="00031A85">
              <w:t>902</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40</w:t>
            </w:r>
            <w:r>
              <w:t xml:space="preserve"> </w:t>
            </w:r>
            <w:r w:rsidRPr="00031A85">
              <w:t>041</w:t>
            </w:r>
          </w:p>
        </w:tc>
      </w:tr>
      <w:tr w:rsidR="005B4EEC" w:rsidTr="001C05A2">
        <w:trPr>
          <w:trHeight w:val="247"/>
        </w:trPr>
        <w:tc>
          <w:tcPr>
            <w:tcW w:w="17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Non courants</w:t>
            </w:r>
          </w:p>
        </w:tc>
        <w:tc>
          <w:tcPr>
            <w:tcW w:w="129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20</w:t>
            </w:r>
            <w:r>
              <w:t xml:space="preserve"> </w:t>
            </w:r>
            <w:r w:rsidRPr="00031A85">
              <w:t>219</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rsidRPr="00031A85">
              <w:t>20</w:t>
            </w:r>
            <w:r>
              <w:t xml:space="preserve"> </w:t>
            </w:r>
            <w:r w:rsidRPr="00031A85">
              <w:t>219</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28</w:t>
            </w:r>
            <w:r>
              <w:t xml:space="preserve"> </w:t>
            </w:r>
            <w:r w:rsidRPr="00031A85">
              <w:t>543</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28</w:t>
            </w:r>
            <w:r>
              <w:t xml:space="preserve"> </w:t>
            </w:r>
            <w:r w:rsidRPr="00031A85">
              <w:t>543</w:t>
            </w:r>
          </w:p>
        </w:tc>
      </w:tr>
      <w:tr w:rsidR="005B4EEC" w:rsidTr="001C05A2">
        <w:trPr>
          <w:trHeight w:val="247"/>
        </w:trPr>
        <w:tc>
          <w:tcPr>
            <w:tcW w:w="178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Courants</w:t>
            </w:r>
          </w:p>
        </w:tc>
        <w:tc>
          <w:tcPr>
            <w:tcW w:w="129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56</w:t>
            </w:r>
            <w:r>
              <w:t xml:space="preserve"> </w:t>
            </w:r>
            <w:r w:rsidRPr="00031A85">
              <w:t>197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r w:rsidRPr="00031A85">
              <w:t>34</w:t>
            </w:r>
            <w:r>
              <w:t xml:space="preserve"> </w:t>
            </w:r>
            <w:r w:rsidRPr="00031A85">
              <w:t>811</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rsidRPr="00031A85">
              <w:t>21</w:t>
            </w:r>
            <w:r>
              <w:t xml:space="preserve"> </w:t>
            </w:r>
            <w:r w:rsidRPr="00031A85">
              <w:t>386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50</w:t>
            </w:r>
            <w:r>
              <w:t xml:space="preserve"> </w:t>
            </w:r>
            <w:r w:rsidRPr="00031A85">
              <w:t>401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r w:rsidRPr="00031A85">
              <w:t>38</w:t>
            </w:r>
            <w:r>
              <w:t xml:space="preserve"> </w:t>
            </w:r>
            <w:r w:rsidRPr="00031A85">
              <w:t>902</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sidRPr="00031A85">
              <w:t>11</w:t>
            </w:r>
            <w:r>
              <w:t xml:space="preserve"> </w:t>
            </w:r>
            <w:r w:rsidRPr="00031A85">
              <w:t>498</w:t>
            </w:r>
          </w:p>
        </w:tc>
      </w:tr>
    </w:tbl>
    <w:p w:rsidR="00FB0C75" w:rsidRDefault="00525E53" w:rsidP="00FB0C75">
      <w:pPr>
        <w:pStyle w:val="Textstand-alone"/>
        <w:spacing w:before="0"/>
      </w:pPr>
      <w:r>
        <w:t xml:space="preserve"> </w:t>
      </w:r>
    </w:p>
    <w:p w:rsidR="00FB0C75" w:rsidRDefault="00525E53" w:rsidP="00FB0C75">
      <w:pPr>
        <w:pStyle w:val="Textstand-alone"/>
      </w:pPr>
      <w:r>
        <w:t>Les préfinancements représentent des fonds versés et donc une exécution de crédits de paiement. Comme expliqué dans la note </w:t>
      </w:r>
      <w:r w:rsidRPr="00031A85">
        <w:rPr>
          <w:b/>
        </w:rPr>
        <w:t>1</w:t>
      </w:r>
      <w:r>
        <w:rPr>
          <w:b/>
        </w:rPr>
        <w:t>.</w:t>
      </w:r>
      <w:r w:rsidRPr="00031A85">
        <w:rPr>
          <w:b/>
        </w:rPr>
        <w:t>5</w:t>
      </w:r>
      <w:r>
        <w:rPr>
          <w:b/>
        </w:rPr>
        <w:t>.</w:t>
      </w:r>
      <w:r w:rsidRPr="00031A85">
        <w:rPr>
          <w:b/>
        </w:rPr>
        <w:t>7</w:t>
      </w:r>
      <w:r>
        <w:t>, il s’agit d’avances non encore passées en charges. Ainsi, si les préfinancements réduisent les engagements restant à liquider (voir la note </w:t>
      </w:r>
      <w:r w:rsidRPr="00031A85">
        <w:rPr>
          <w:b/>
        </w:rPr>
        <w:t>5</w:t>
      </w:r>
      <w:r>
        <w:rPr>
          <w:b/>
        </w:rPr>
        <w:t>.</w:t>
      </w:r>
      <w:r w:rsidRPr="00031A85">
        <w:rPr>
          <w:b/>
        </w:rPr>
        <w:t>1</w:t>
      </w:r>
      <w:r>
        <w:t>), ils représentent des dépenses restant à comptabiliser dans le compte de résultat économique.</w:t>
      </w:r>
    </w:p>
    <w:p w:rsidR="00FB0C75" w:rsidRDefault="00525E53" w:rsidP="00FB0C75">
      <w:pPr>
        <w:pStyle w:val="Textstand-alone"/>
      </w:pPr>
      <w:r>
        <w:t>La clôture de la période de programmation </w:t>
      </w:r>
      <w:r w:rsidRPr="00031A85">
        <w:t>2007</w:t>
      </w:r>
      <w:r>
        <w:t>-</w:t>
      </w:r>
      <w:r w:rsidRPr="00031A85">
        <w:t>2013</w:t>
      </w:r>
      <w:r>
        <w:t xml:space="preserve"> et la mise en place progressive de programmes au titre de la période </w:t>
      </w:r>
      <w:r w:rsidRPr="00031A85">
        <w:t>2014</w:t>
      </w:r>
      <w:r>
        <w:t>-</w:t>
      </w:r>
      <w:r w:rsidRPr="00031A85">
        <w:t>2020</w:t>
      </w:r>
      <w:r>
        <w:t xml:space="preserve"> sont les principaux facteurs qui influent sur les montants inscrits au bilan: les préfinancements relatifs aux anciens programmes diminuent compte tenu de l’acceptation des coûts, tandis que d’autres préfinancements ont été versés pour la nouvelle période de programmation.</w:t>
      </w:r>
    </w:p>
    <w:p w:rsidR="00FB0C75" w:rsidRDefault="00525E53" w:rsidP="00FB0C75">
      <w:pPr>
        <w:pStyle w:val="Textstand-alone"/>
      </w:pPr>
      <w:r>
        <w:t xml:space="preserve">Pour la gestion partagée, cette transition entre périodes de programmation explique aussi les variations entre soldes courants et non courants. La période de programmation </w:t>
      </w:r>
      <w:r w:rsidRPr="00031A85">
        <w:t>2007</w:t>
      </w:r>
      <w:r>
        <w:t>-</w:t>
      </w:r>
      <w:r w:rsidRPr="00031A85">
        <w:t>2013</w:t>
      </w:r>
      <w:r>
        <w:t xml:space="preserve"> est entrée dans sa phase de clôture et, par conséquent, les montants exigibles dans les douze mois sont en augmentation. En ce qui concerne la période de programmation </w:t>
      </w:r>
      <w:r w:rsidRPr="00031A85">
        <w:t>2014</w:t>
      </w:r>
      <w:r>
        <w:t>-</w:t>
      </w:r>
      <w:r w:rsidRPr="00031A85">
        <w:t>2020</w:t>
      </w:r>
      <w:r>
        <w:t>, les préfinancements initiaux versés sont comptabilisés comme non courants, tandis que les préfinancements annuels sont comptabilisés comme courants.</w:t>
      </w:r>
    </w:p>
    <w:p w:rsidR="00FB0C75" w:rsidRDefault="00525E53" w:rsidP="00FB0C75">
      <w:pPr>
        <w:pStyle w:val="Textstand-alone"/>
      </w:pPr>
      <w:r>
        <w:t xml:space="preserve">Le tableau ci-dessus fait état d'une baisse significative des montants bruts des préfinancements en gestion partagée, qui s’explique par l’apurement de </w:t>
      </w:r>
      <w:r w:rsidRPr="00031A85">
        <w:t>18</w:t>
      </w:r>
      <w:r>
        <w:t>,</w:t>
      </w:r>
      <w:r w:rsidRPr="00031A85">
        <w:t>521</w:t>
      </w:r>
      <w:r>
        <w:t xml:space="preserve"> milliards d’EUR de coûts partiellement compensé par le versement de nouveaux préfinancements, pour un montant de </w:t>
      </w:r>
      <w:r w:rsidRPr="00031A85">
        <w:t>12</w:t>
      </w:r>
      <w:r>
        <w:t>,</w:t>
      </w:r>
      <w:r w:rsidRPr="00031A85">
        <w:t>426</w:t>
      </w:r>
      <w:r>
        <w:t> milliards d’EUR.</w:t>
      </w:r>
    </w:p>
    <w:p w:rsidR="00FB0C75" w:rsidRPr="00AD28FB" w:rsidRDefault="00525E53" w:rsidP="00FB0C75">
      <w:pPr>
        <w:pStyle w:val="HEADER5"/>
        <w:rPr>
          <w:b w:val="0"/>
        </w:rPr>
      </w:pPr>
      <w:r>
        <w:rPr>
          <w:b w:val="0"/>
        </w:rPr>
        <w:t>Garanties reçues en rapport avec des préfinancements</w:t>
      </w:r>
    </w:p>
    <w:p w:rsidR="00FB0C75" w:rsidRDefault="00525E53" w:rsidP="00FB0C75">
      <w:pPr>
        <w:pStyle w:val="Textstand-alone"/>
      </w:pPr>
      <w:r>
        <w:t xml:space="preserve">Il s’agit de garanties que la Commission exige parfois de la part des bénéficiaires qui ne sont pas des États membres en cas de versement d’avances (préfinancements). Pour ce type de garantie, deux valeurs doivent être indiquées: la valeur «nominale» et la valeur «en cours». Pour la valeur nominale, le fait générateur est lié à l’existence de la garantie. Pour la valeur en cours, le fait générateur de la garantie est le versement du préfinancement et/ou l’apurement ultérieur. Au </w:t>
      </w:r>
      <w:r w:rsidRPr="00031A85">
        <w:t>31</w:t>
      </w:r>
      <w:r>
        <w:t> décembre </w:t>
      </w:r>
      <w:r w:rsidRPr="00031A85">
        <w:t>2016</w:t>
      </w:r>
      <w:r>
        <w:t xml:space="preserve">, la valeur nominale des garanties reçues pour les préfinancements était de </w:t>
      </w:r>
      <w:r w:rsidRPr="00031A85">
        <w:t>683</w:t>
      </w:r>
      <w:r>
        <w:t xml:space="preserve"> millions d’EUR, tandis que la valeur en cours de ces garanties était de </w:t>
      </w:r>
      <w:r w:rsidRPr="00031A85">
        <w:t>496</w:t>
      </w:r>
      <w:r>
        <w:t xml:space="preserve"> millions d’EUR (contre </w:t>
      </w:r>
      <w:r w:rsidRPr="00031A85">
        <w:t>844</w:t>
      </w:r>
      <w:r>
        <w:t xml:space="preserve"> millions et </w:t>
      </w:r>
      <w:r w:rsidRPr="00031A85">
        <w:t>626</w:t>
      </w:r>
      <w:r>
        <w:t> millions d’EUR respectivement en </w:t>
      </w:r>
      <w:r w:rsidRPr="00031A85">
        <w:t>2015</w:t>
      </w:r>
      <w:r>
        <w:t>).</w:t>
      </w:r>
    </w:p>
    <w:p w:rsidR="00FB0C75" w:rsidRDefault="00525E53" w:rsidP="009A6003">
      <w:pPr>
        <w:jc w:val="both"/>
        <w:rPr>
          <w:rFonts w:ascii="Verdana" w:hAnsi="Verdana"/>
          <w:sz w:val="18"/>
          <w:szCs w:val="18"/>
        </w:rPr>
      </w:pPr>
      <w:r>
        <w:rPr>
          <w:rFonts w:ascii="Verdana" w:hAnsi="Verdana"/>
          <w:sz w:val="18"/>
        </w:rPr>
        <w:t xml:space="preserve">Certains préfinancements versés au titre du </w:t>
      </w:r>
      <w:r w:rsidRPr="00031A85">
        <w:rPr>
          <w:rFonts w:ascii="Verdana" w:hAnsi="Verdana"/>
          <w:sz w:val="18"/>
        </w:rPr>
        <w:t>7</w:t>
      </w:r>
      <w:r>
        <w:rPr>
          <w:rFonts w:ascii="Verdana" w:hAnsi="Verdana"/>
          <w:sz w:val="18"/>
          <w:vertAlign w:val="superscript"/>
        </w:rPr>
        <w:t>e</w:t>
      </w:r>
      <w:r>
        <w:rPr>
          <w:rFonts w:ascii="Verdana" w:hAnsi="Verdana"/>
          <w:sz w:val="18"/>
        </w:rPr>
        <w:t xml:space="preserve"> programme-cadre de recherche et de développement technologique (</w:t>
      </w:r>
      <w:r w:rsidRPr="00031A85">
        <w:rPr>
          <w:rFonts w:ascii="Verdana" w:hAnsi="Verdana"/>
          <w:sz w:val="18"/>
        </w:rPr>
        <w:t>7</w:t>
      </w:r>
      <w:r>
        <w:rPr>
          <w:rFonts w:ascii="Verdana" w:hAnsi="Verdana"/>
          <w:sz w:val="18"/>
          <w:vertAlign w:val="superscript"/>
        </w:rPr>
        <w:t>e</w:t>
      </w:r>
      <w:r>
        <w:rPr>
          <w:rFonts w:ascii="Verdana" w:hAnsi="Verdana"/>
          <w:sz w:val="18"/>
        </w:rPr>
        <w:t xml:space="preserve"> PC) et d’Horizon </w:t>
      </w:r>
      <w:r w:rsidRPr="00031A85">
        <w:rPr>
          <w:rFonts w:ascii="Verdana" w:hAnsi="Verdana"/>
          <w:sz w:val="18"/>
        </w:rPr>
        <w:t>2020</w:t>
      </w:r>
      <w:r>
        <w:rPr>
          <w:rFonts w:ascii="Verdana" w:hAnsi="Verdana"/>
          <w:sz w:val="18"/>
        </w:rPr>
        <w:t xml:space="preserve"> sont effectivement couverts par un Fonds de garantie des participants (FGP).</w:t>
      </w:r>
      <w:r>
        <w:rPr>
          <w:sz w:val="18"/>
        </w:rPr>
        <w:t xml:space="preserve"> </w:t>
      </w:r>
      <w:r>
        <w:rPr>
          <w:rFonts w:ascii="Verdana" w:hAnsi="Verdana"/>
          <w:sz w:val="18"/>
        </w:rPr>
        <w:t xml:space="preserve">Le FGP est un instrument de garantie mutuelle visant à couvrir les risques liés au non-paiement de montants par les bénéficiaires dans le cadre de la mise en œuvre des actions indirectes du </w:t>
      </w:r>
      <w:r w:rsidRPr="00031A85">
        <w:rPr>
          <w:rFonts w:ascii="Verdana" w:hAnsi="Verdana"/>
          <w:sz w:val="18"/>
        </w:rPr>
        <w:t>7</w:t>
      </w:r>
      <w:r>
        <w:rPr>
          <w:rFonts w:ascii="Verdana" w:hAnsi="Verdana"/>
          <w:sz w:val="18"/>
          <w:vertAlign w:val="superscript"/>
        </w:rPr>
        <w:t>e</w:t>
      </w:r>
      <w:r>
        <w:rPr>
          <w:rFonts w:ascii="Verdana" w:hAnsi="Verdana"/>
          <w:sz w:val="18"/>
        </w:rPr>
        <w:t xml:space="preserve"> PC et d’Horizon </w:t>
      </w:r>
      <w:r w:rsidRPr="00031A85">
        <w:rPr>
          <w:rFonts w:ascii="Verdana" w:hAnsi="Verdana"/>
          <w:sz w:val="18"/>
        </w:rPr>
        <w:t>2020</w:t>
      </w:r>
      <w:r>
        <w:rPr>
          <w:rFonts w:ascii="Verdana" w:hAnsi="Verdana"/>
          <w:sz w:val="18"/>
        </w:rPr>
        <w:t xml:space="preserve">. Chaque participant à une action indirecte qui reçoit une subvention de l’UE verse </w:t>
      </w:r>
      <w:r w:rsidRPr="00031A85">
        <w:rPr>
          <w:rFonts w:ascii="Verdana" w:hAnsi="Verdana"/>
          <w:sz w:val="18"/>
        </w:rPr>
        <w:t>5</w:t>
      </w:r>
      <w:r>
        <w:rPr>
          <w:rFonts w:ascii="Verdana" w:hAnsi="Verdana"/>
          <w:sz w:val="18"/>
        </w:rPr>
        <w:t> % du montant total reçu au capital du FGP.</w:t>
      </w:r>
    </w:p>
    <w:p w:rsidR="00FB0C75" w:rsidRDefault="00FB0C75" w:rsidP="009A6003">
      <w:pPr>
        <w:jc w:val="both"/>
        <w:rPr>
          <w:rFonts w:ascii="Verdana" w:hAnsi="Verdana"/>
          <w:sz w:val="18"/>
          <w:szCs w:val="18"/>
        </w:rPr>
      </w:pPr>
    </w:p>
    <w:p w:rsidR="00FB0C75" w:rsidRDefault="00525E53" w:rsidP="009A6003">
      <w:pPr>
        <w:jc w:val="both"/>
        <w:rPr>
          <w:rFonts w:ascii="Verdana" w:hAnsi="Verdana"/>
          <w:sz w:val="18"/>
          <w:szCs w:val="18"/>
        </w:rPr>
      </w:pPr>
      <w:r>
        <w:rPr>
          <w:rFonts w:ascii="Verdana" w:hAnsi="Verdana"/>
          <w:sz w:val="18"/>
        </w:rPr>
        <w:t xml:space="preserve">Au </w:t>
      </w:r>
      <w:r w:rsidRPr="00031A85">
        <w:rPr>
          <w:rFonts w:ascii="Verdana" w:hAnsi="Verdana"/>
          <w:sz w:val="18"/>
        </w:rPr>
        <w:t>31</w:t>
      </w:r>
      <w:r>
        <w:rPr>
          <w:rFonts w:ascii="Verdana" w:hAnsi="Verdana"/>
          <w:sz w:val="18"/>
        </w:rPr>
        <w:t> décembre </w:t>
      </w:r>
      <w:r w:rsidRPr="00031A85">
        <w:rPr>
          <w:rFonts w:ascii="Verdana" w:hAnsi="Verdana"/>
          <w:sz w:val="18"/>
        </w:rPr>
        <w:t>2016</w:t>
      </w:r>
      <w:r>
        <w:rPr>
          <w:rFonts w:ascii="Verdana" w:hAnsi="Verdana"/>
          <w:sz w:val="18"/>
        </w:rPr>
        <w:t xml:space="preserve">, les préfinancements couverts par le FGP s’élevaient à </w:t>
      </w:r>
      <w:r w:rsidRPr="00031A85">
        <w:rPr>
          <w:rFonts w:ascii="Verdana" w:hAnsi="Verdana"/>
          <w:sz w:val="18"/>
        </w:rPr>
        <w:t>1</w:t>
      </w:r>
      <w:r>
        <w:rPr>
          <w:rFonts w:ascii="Verdana" w:hAnsi="Verdana"/>
          <w:sz w:val="18"/>
        </w:rPr>
        <w:t>,</w:t>
      </w:r>
      <w:r w:rsidRPr="00031A85">
        <w:rPr>
          <w:rFonts w:ascii="Verdana" w:hAnsi="Verdana"/>
          <w:sz w:val="18"/>
        </w:rPr>
        <w:t>8</w:t>
      </w:r>
      <w:r>
        <w:rPr>
          <w:rFonts w:ascii="Verdana" w:hAnsi="Verdana"/>
          <w:sz w:val="18"/>
        </w:rPr>
        <w:t xml:space="preserve"> milliard d’EUR (contre </w:t>
      </w:r>
      <w:r w:rsidRPr="00031A85">
        <w:rPr>
          <w:rFonts w:ascii="Verdana" w:hAnsi="Verdana"/>
          <w:sz w:val="18"/>
        </w:rPr>
        <w:t>1</w:t>
      </w:r>
      <w:r>
        <w:rPr>
          <w:rFonts w:ascii="Verdana" w:hAnsi="Verdana"/>
          <w:sz w:val="18"/>
        </w:rPr>
        <w:t>,</w:t>
      </w:r>
      <w:r w:rsidRPr="00031A85">
        <w:rPr>
          <w:rFonts w:ascii="Verdana" w:hAnsi="Verdana"/>
          <w:sz w:val="18"/>
        </w:rPr>
        <w:t>7</w:t>
      </w:r>
      <w:r>
        <w:rPr>
          <w:rFonts w:ascii="Verdana" w:hAnsi="Verdana"/>
          <w:sz w:val="18"/>
        </w:rPr>
        <w:t> milliard d’EUR en </w:t>
      </w:r>
      <w:r w:rsidRPr="00031A85">
        <w:rPr>
          <w:rFonts w:ascii="Verdana" w:hAnsi="Verdana"/>
          <w:sz w:val="18"/>
        </w:rPr>
        <w:t>2015</w:t>
      </w:r>
      <w:r>
        <w:rPr>
          <w:rFonts w:ascii="Verdana" w:hAnsi="Verdana"/>
          <w:sz w:val="18"/>
        </w:rPr>
        <w:t>). L’UE (représentée par la Commission) agit en tant qu’agent exécutif pour les participants du FGP, mais ces derniers en sont les propriétaires.</w:t>
      </w:r>
    </w:p>
    <w:p w:rsidR="00FB0C75" w:rsidRDefault="00FB0C75" w:rsidP="00FB0C75">
      <w:pPr>
        <w:rPr>
          <w:rFonts w:ascii="Verdana" w:hAnsi="Verdana"/>
          <w:sz w:val="18"/>
          <w:szCs w:val="18"/>
        </w:rPr>
      </w:pPr>
    </w:p>
    <w:p w:rsidR="00FB0C75" w:rsidRDefault="00525E53" w:rsidP="00FB0C75">
      <w:pPr>
        <w:pStyle w:val="Textstand-alone"/>
        <w:spacing w:before="0"/>
      </w:pPr>
      <w:r>
        <w:t xml:space="preserve">En fin d’exercice, le total des actifs du FGP s’établissait à </w:t>
      </w:r>
      <w:r w:rsidRPr="00031A85">
        <w:t>1</w:t>
      </w:r>
      <w:r>
        <w:t>,</w:t>
      </w:r>
      <w:r w:rsidRPr="00031A85">
        <w:t>951</w:t>
      </w:r>
      <w:r>
        <w:t xml:space="preserve"> milliard d’EUR (contre </w:t>
      </w:r>
      <w:r w:rsidRPr="00031A85">
        <w:t>1</w:t>
      </w:r>
      <w:r>
        <w:t>,</w:t>
      </w:r>
      <w:r w:rsidRPr="00031A85">
        <w:t>838</w:t>
      </w:r>
      <w:r>
        <w:t> milliard d’EUR en </w:t>
      </w:r>
      <w:r w:rsidRPr="00031A85">
        <w:t>2015</w:t>
      </w:r>
      <w:r>
        <w:t>). Les actifs du FGP incluent aussi des actifs financiers gérés par la direction générale des affaires économiques et financières de la Commission. Le PGF étant une entité distincte, ses actifs ne sont pas consolidés dans les présents comptes annuels.</w:t>
      </w:r>
    </w:p>
    <w:p w:rsidR="00FB0C75" w:rsidRPr="007702CE" w:rsidRDefault="00525E53" w:rsidP="00FB0C75">
      <w:pPr>
        <w:pStyle w:val="HEADER3Part2"/>
      </w:pPr>
      <w:r>
        <w:t>Autres avances payées aux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4" w:name="DOC_TBL00026_1_1"/>
            <w:bookmarkEnd w:id="22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DC6845">
            <w:pPr>
              <w:pStyle w:val="Text9pItalicLeft"/>
              <w:rPr>
                <w:rFonts w:cs="Verdana"/>
              </w:rPr>
            </w:pPr>
            <w:r>
              <w:t>Avances payées aux États membres pour les instruments financiers en gestion partagée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534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287</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Programmes d’aide</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300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824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3</w:t>
            </w:r>
            <w:r>
              <w:rPr>
                <w:b/>
                <w:i w:val="0"/>
              </w:rPr>
              <w:t xml:space="preserve"> </w:t>
            </w:r>
            <w:r w:rsidRPr="00031A85">
              <w:rPr>
                <w:b/>
                <w:i w:val="0"/>
              </w:rPr>
              <w:t>834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5</w:t>
            </w:r>
            <w:r>
              <w:rPr>
                <w:b/>
                <w:i w:val="0"/>
              </w:rPr>
              <w:t xml:space="preserve"> </w:t>
            </w:r>
            <w:r w:rsidRPr="00031A85">
              <w:rPr>
                <w:b/>
                <w:i w:val="0"/>
              </w:rPr>
              <w:t>111</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Non courantes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1</w:t>
            </w:r>
            <w:r>
              <w:t xml:space="preserve"> </w:t>
            </w:r>
            <w:r w:rsidRPr="00031A85">
              <w:t>651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1</w:t>
            </w:r>
            <w:r>
              <w:t xml:space="preserve"> </w:t>
            </w:r>
            <w:r w:rsidRPr="00031A85">
              <w:t>332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Courantes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2</w:t>
            </w:r>
            <w:r>
              <w:t xml:space="preserve"> </w:t>
            </w:r>
            <w:r w:rsidRPr="00031A85">
              <w:t>183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3</w:t>
            </w:r>
            <w:r>
              <w:t xml:space="preserve"> </w:t>
            </w:r>
            <w:r w:rsidRPr="00031A85">
              <w:t>779</w:t>
            </w:r>
          </w:p>
        </w:tc>
      </w:tr>
    </w:tbl>
    <w:p w:rsidR="00FB0C75" w:rsidRPr="007702CE" w:rsidRDefault="00FB0C75" w:rsidP="00FB0C75">
      <w:pPr>
        <w:pStyle w:val="Textstand-alone"/>
        <w:rPr>
          <w:strike/>
        </w:rPr>
      </w:pPr>
    </w:p>
    <w:p w:rsidR="00FB0C75" w:rsidRDefault="00FB0C75" w:rsidP="00FB0C75">
      <w:pPr>
        <w:pStyle w:val="HEADER5"/>
        <w:rPr>
          <w:b w:val="0"/>
        </w:rPr>
        <w:sectPr w:rsidR="00FB0C75" w:rsidSect="00FB0C75">
          <w:headerReference w:type="even" r:id="rId166"/>
          <w:headerReference w:type="default" r:id="rId167"/>
          <w:footerReference w:type="even" r:id="rId168"/>
          <w:footerReference w:type="default" r:id="rId169"/>
          <w:headerReference w:type="first" r:id="rId170"/>
          <w:footerReference w:type="first" r:id="rId171"/>
          <w:pgSz w:w="11906" w:h="16838"/>
          <w:pgMar w:top="1134" w:right="1134" w:bottom="1134" w:left="1134" w:header="709" w:footer="709" w:gutter="0"/>
          <w:cols w:space="708"/>
          <w:docGrid w:linePitch="360"/>
        </w:sectPr>
      </w:pPr>
    </w:p>
    <w:p w:rsidR="00FB0C75" w:rsidRPr="00A02544" w:rsidRDefault="00525E53" w:rsidP="00FB0C75">
      <w:pPr>
        <w:pStyle w:val="HEADER5"/>
        <w:rPr>
          <w:b w:val="0"/>
        </w:rPr>
      </w:pPr>
      <w:r>
        <w:rPr>
          <w:b w:val="0"/>
        </w:rPr>
        <w:t>Avances payées aux États membres pour les instruments financiers en gestion partagée</w:t>
      </w:r>
    </w:p>
    <w:p w:rsidR="00FB0C75" w:rsidRDefault="00525E53" w:rsidP="00FB0C75">
      <w:pPr>
        <w:pStyle w:val="Textstand-alone"/>
      </w:pPr>
      <w:r>
        <w:t>Dans le cadre des programmes des Fonds structurels et d’investissement européens (Fonds ESI), les paiements des avances peuvent être effectués à partir du budget de l’UE en faveur des États membres afin de leur permettre de contribuer aux instruments financiers (sous la forme de prêts, de garanties ou de prises de participation). Ces instruments financiers sont mis en place et gérés sous la responsabilité des États membres, et non de la Commission. Néanmoins, les fonds inutilisés par ces instruments en fin d’exercice sont la propriété de l’UE (comme tout préfinancement) et sont donc considérés comme un actif inscrit au bilan de l’Union.</w:t>
      </w:r>
    </w:p>
    <w:p w:rsidR="00FB0C75" w:rsidRPr="00E7481F" w:rsidRDefault="00525E53" w:rsidP="00FB0C75">
      <w:pPr>
        <w:pStyle w:val="Textstand-alone"/>
        <w:spacing w:before="0"/>
        <w:rPr>
          <w:i/>
        </w:rPr>
      </w:pPr>
      <w:r>
        <w:rPr>
          <w:i/>
        </w:rPr>
        <w:t>Période </w:t>
      </w:r>
      <w:r w:rsidRPr="00031A85">
        <w:rPr>
          <w:i/>
        </w:rPr>
        <w:t>2014</w:t>
      </w:r>
      <w:r>
        <w:rPr>
          <w:i/>
        </w:rPr>
        <w:t>-</w:t>
      </w:r>
      <w:r w:rsidRPr="00031A85">
        <w:rPr>
          <w:i/>
        </w:rPr>
        <w:t>2020</w:t>
      </w:r>
      <w:r>
        <w:rPr>
          <w:i/>
        </w:rPr>
        <w:t>:</w:t>
      </w:r>
    </w:p>
    <w:p w:rsidR="00FB0C75" w:rsidRDefault="00525E53" w:rsidP="00FB0C75">
      <w:pPr>
        <w:pStyle w:val="Textstand-alone"/>
        <w:spacing w:before="0"/>
      </w:pPr>
      <w:r>
        <w:t xml:space="preserve">Au titre de la politique de cohésion, les États membres ont apporté une contribution de </w:t>
      </w:r>
      <w:r w:rsidRPr="00031A85">
        <w:t>3</w:t>
      </w:r>
      <w:r>
        <w:t>,</w:t>
      </w:r>
      <w:r w:rsidRPr="00031A85">
        <w:t>681</w:t>
      </w:r>
      <w:r>
        <w:t xml:space="preserve"> milliards d’EUR, dont il restait à exécuter au </w:t>
      </w:r>
      <w:r w:rsidRPr="00031A85">
        <w:t>31</w:t>
      </w:r>
      <w:r>
        <w:t> décembre </w:t>
      </w:r>
      <w:r w:rsidRPr="00031A85">
        <w:t>2016</w:t>
      </w:r>
      <w:r>
        <w:t xml:space="preserve"> un montant estimé à </w:t>
      </w:r>
      <w:r w:rsidRPr="00031A85">
        <w:t>1</w:t>
      </w:r>
      <w:r>
        <w:t>,</w:t>
      </w:r>
      <w:r w:rsidRPr="00031A85">
        <w:t>842</w:t>
      </w:r>
      <w:r>
        <w:t> milliard d’EUR. Ce montant comprend la contribution des États membres à l’initiative PME, instrument dont l’objectif est d’encourager le secteur bancaire à accorder davantage de prêts aux PME (</w:t>
      </w:r>
      <w:r w:rsidRPr="00031A85">
        <w:t>745</w:t>
      </w:r>
      <w:r>
        <w:t xml:space="preserve"> millions d’EUR versés, dont il reste à exécuter un montant estimé à </w:t>
      </w:r>
      <w:r w:rsidRPr="00031A85">
        <w:t>481</w:t>
      </w:r>
      <w:r>
        <w:t> millions d’EUR).</w:t>
      </w:r>
    </w:p>
    <w:p w:rsidR="00FB0C75" w:rsidRDefault="00525E53" w:rsidP="00FB0C75">
      <w:pPr>
        <w:pStyle w:val="Textstand-alone"/>
        <w:spacing w:before="0"/>
      </w:pPr>
      <w:r>
        <w:t xml:space="preserve">Pour le développement rural, </w:t>
      </w:r>
      <w:r w:rsidRPr="00031A85">
        <w:t>6</w:t>
      </w:r>
      <w:r>
        <w:t> millions d’EUR demeuraient inutilisés en fin d’exercice.</w:t>
      </w:r>
    </w:p>
    <w:p w:rsidR="00FB0C75" w:rsidRDefault="00525E53" w:rsidP="00FB0C75">
      <w:pPr>
        <w:pStyle w:val="Textstand-alone"/>
        <w:spacing w:before="0"/>
        <w:rPr>
          <w:i/>
        </w:rPr>
      </w:pPr>
      <w:r>
        <w:rPr>
          <w:i/>
        </w:rPr>
        <w:t>Période </w:t>
      </w:r>
      <w:r w:rsidRPr="00031A85">
        <w:rPr>
          <w:i/>
        </w:rPr>
        <w:t>2007</w:t>
      </w:r>
      <w:r>
        <w:rPr>
          <w:i/>
        </w:rPr>
        <w:t>-</w:t>
      </w:r>
      <w:r w:rsidRPr="00031A85">
        <w:rPr>
          <w:i/>
        </w:rPr>
        <w:t>2013</w:t>
      </w:r>
      <w:r>
        <w:rPr>
          <w:i/>
        </w:rPr>
        <w:t xml:space="preserve">: </w:t>
      </w:r>
    </w:p>
    <w:p w:rsidR="00FB0C75" w:rsidRPr="00E7481F" w:rsidRDefault="00525E53" w:rsidP="00FB0C75">
      <w:pPr>
        <w:pStyle w:val="Textstand-alone"/>
        <w:spacing w:before="0"/>
      </w:pPr>
      <w:r>
        <w:t xml:space="preserve">Lors de la période de programmation précédente, les actes juridiques de base n’imposaient pas aux États membres de fournir des rapports périodiques à la Commission sur l’utilisation de ces avances, ni même, dans certains cas, de les identifier dans les déclarations de dépenses soumises à la Commission. </w:t>
      </w:r>
    </w:p>
    <w:p w:rsidR="00FB0C75" w:rsidRDefault="00525E53" w:rsidP="00FB0C75">
      <w:pPr>
        <w:pStyle w:val="Textstand-alone"/>
        <w:spacing w:before="0"/>
      </w:pPr>
      <w:r>
        <w:t xml:space="preserve">En ce qui concerne la politique de cohésion, la Commission recueille chaque année des informations auprès des États membres sur ces instruments financiers et elle les consolide dans un rapport annuel sur l'exécution. Le prochain rapport sera le rapport final sur l’exécution, mais celui-ci ne sera pas prêt à temps pour être inclus dans les comptes. En conséquence, comme lors des années précédentes, la valeur est estimée sur la base des informations les plus récentes et fiables disponibles, c’est-à-dire le rapport annuel sur l'exécution au </w:t>
      </w:r>
      <w:r w:rsidRPr="00031A85">
        <w:t>31</w:t>
      </w:r>
      <w:r>
        <w:t> décembre </w:t>
      </w:r>
      <w:r w:rsidRPr="00031A85">
        <w:t>2015</w:t>
      </w:r>
      <w:r>
        <w:t xml:space="preserve"> et les versements effectués en </w:t>
      </w:r>
      <w:r w:rsidRPr="00031A85">
        <w:t>2016</w:t>
      </w:r>
      <w:r>
        <w:t xml:space="preserve">. L’estimation repose également sur l’hypothèse d'une utilisation intégrale et uniforme des fonds sur la période d’exploitation restante (qui se termine le </w:t>
      </w:r>
      <w:r w:rsidRPr="00031A85">
        <w:t>31</w:t>
      </w:r>
      <w:r>
        <w:t> mars </w:t>
      </w:r>
      <w:r w:rsidRPr="00031A85">
        <w:t>2017</w:t>
      </w:r>
      <w:r>
        <w:t>). On estime qu’à la fin de l’exercice </w:t>
      </w:r>
      <w:r w:rsidRPr="00031A85">
        <w:t>2016</w:t>
      </w:r>
      <w:r>
        <w:t xml:space="preserve">, il restait encore un montant de </w:t>
      </w:r>
      <w:r w:rsidRPr="00031A85">
        <w:t>686</w:t>
      </w:r>
      <w:r>
        <w:t xml:space="preserve"> millions d’EUR à utiliser pour des investissements en faveur des bénéficiaires finals. </w:t>
      </w:r>
    </w:p>
    <w:p w:rsidR="00FB0C75" w:rsidRDefault="00525E53" w:rsidP="00FB0C75">
      <w:pPr>
        <w:pStyle w:val="Textstand-alone"/>
        <w:spacing w:before="0"/>
      </w:pPr>
      <w:r>
        <w:t>Pour le développement rural, en fin d’exercice, tous les montants avaient été exécutés ou réaffectés à d’autres mesures avant la fin de la période de programmation.</w:t>
      </w:r>
    </w:p>
    <w:p w:rsidR="00FB0C75" w:rsidRPr="00E7481F" w:rsidRDefault="00525E53" w:rsidP="00FB0C75">
      <w:pPr>
        <w:pStyle w:val="HEADER5"/>
        <w:rPr>
          <w:b w:val="0"/>
        </w:rPr>
      </w:pPr>
      <w:r>
        <w:rPr>
          <w:b w:val="0"/>
        </w:rPr>
        <w:t>Programmes d’aide</w:t>
      </w:r>
    </w:p>
    <w:p w:rsidR="00FB0C75" w:rsidRDefault="00525E53" w:rsidP="00FB0C75">
      <w:pPr>
        <w:pStyle w:val="Textstand-alone"/>
      </w:pPr>
      <w:r>
        <w:t>Dans le même ordre d'idée que ce qui précède, les avances payées par les États membres pour différents programmes d’aides (aides d’État, mesures de marché du FEAGA ou mesures d'investissement du Feader) et non utilisées à la fin de l’exercice sont comptabilisées à l’actif du bilan de l’UE. La Commission a estimé la valeur de ces avances en se fondant sur les informations communiquées par les États membres; les montants qui en résultent sont inscrits dans la sous-rubrique «Programmes d’aide» ci-dessus.</w:t>
      </w:r>
    </w:p>
    <w:p w:rsidR="00FB0C75" w:rsidRDefault="00525E53" w:rsidP="00FB0C75">
      <w:pPr>
        <w:pStyle w:val="Textstand-alone"/>
        <w:spacing w:before="0"/>
        <w:rPr>
          <w:i/>
        </w:rPr>
      </w:pPr>
      <w:r>
        <w:rPr>
          <w:i/>
        </w:rPr>
        <w:t>Période </w:t>
      </w:r>
      <w:r w:rsidRPr="00031A85">
        <w:rPr>
          <w:i/>
        </w:rPr>
        <w:t>2014</w:t>
      </w:r>
      <w:r>
        <w:rPr>
          <w:i/>
        </w:rPr>
        <w:t>-</w:t>
      </w:r>
      <w:r w:rsidRPr="00031A85">
        <w:rPr>
          <w:i/>
        </w:rPr>
        <w:t>2020</w:t>
      </w:r>
      <w:r>
        <w:rPr>
          <w:i/>
        </w:rPr>
        <w:t>:</w:t>
      </w:r>
    </w:p>
    <w:p w:rsidR="00FB0C75" w:rsidRDefault="00525E53" w:rsidP="00FB0C75">
      <w:pPr>
        <w:pStyle w:val="Textstand-alone"/>
        <w:spacing w:before="0"/>
      </w:pPr>
      <w:r>
        <w:t xml:space="preserve">Pour la politique de cohésion, </w:t>
      </w:r>
      <w:r w:rsidRPr="00031A85">
        <w:t>117</w:t>
      </w:r>
      <w:r>
        <w:t> millions d’EUR demeuraient inutilisés en fin d’exercice.</w:t>
      </w:r>
    </w:p>
    <w:p w:rsidR="00FB0C75" w:rsidRPr="00D60B3B" w:rsidRDefault="00525E53" w:rsidP="00FB0C75">
      <w:pPr>
        <w:pStyle w:val="Textstand-alone"/>
        <w:spacing w:before="0"/>
      </w:pPr>
      <w:r>
        <w:t xml:space="preserve">Pour la politique agricole, la Commission a demandé des informations sur les montants inutilisés directement auprès des organismes payeurs des États membres. Sur la base de ces informations, il est estimé que </w:t>
      </w:r>
      <w:r w:rsidRPr="00031A85">
        <w:t>721</w:t>
      </w:r>
      <w:r>
        <w:t> millions d’EUR demeuraient inutilisés en fin d’exercice.</w:t>
      </w:r>
    </w:p>
    <w:p w:rsidR="00FB0C75" w:rsidRPr="00D60B3B" w:rsidRDefault="00525E53" w:rsidP="00FB0C75">
      <w:pPr>
        <w:pStyle w:val="Textstand-alone"/>
        <w:spacing w:before="0"/>
        <w:rPr>
          <w:i/>
        </w:rPr>
      </w:pPr>
      <w:r>
        <w:rPr>
          <w:i/>
        </w:rPr>
        <w:t>Période </w:t>
      </w:r>
      <w:r w:rsidRPr="00031A85">
        <w:rPr>
          <w:i/>
        </w:rPr>
        <w:t>2007</w:t>
      </w:r>
      <w:r>
        <w:rPr>
          <w:i/>
        </w:rPr>
        <w:t>-</w:t>
      </w:r>
      <w:r w:rsidRPr="00031A85">
        <w:rPr>
          <w:i/>
        </w:rPr>
        <w:t>2013</w:t>
      </w:r>
      <w:r>
        <w:rPr>
          <w:i/>
        </w:rPr>
        <w:t>:</w:t>
      </w:r>
    </w:p>
    <w:p w:rsidR="00FB0C75" w:rsidRPr="00282EE5" w:rsidRDefault="00525E53" w:rsidP="00FB0C75">
      <w:pPr>
        <w:pStyle w:val="Textstand-alone"/>
        <w:spacing w:before="0"/>
      </w:pPr>
      <w:r>
        <w:t xml:space="preserve">On estime qu’une somme de </w:t>
      </w:r>
      <w:r w:rsidRPr="00031A85">
        <w:t>461</w:t>
      </w:r>
      <w:r>
        <w:t xml:space="preserve"> millions d’EUR correspondant à des avances versées dans le cadre de la politique agricole est restée inutilisée à la fin de </w:t>
      </w:r>
      <w:r w:rsidRPr="00031A85">
        <w:t>2016</w:t>
      </w:r>
      <w:r>
        <w:t>.</w:t>
      </w:r>
    </w:p>
    <w:p w:rsidR="00FB0C75" w:rsidRDefault="00FB0C75" w:rsidP="00FB0C75">
      <w:pPr>
        <w:pStyle w:val="HEADER2Part2"/>
        <w:sectPr w:rsidR="00FB0C75" w:rsidSect="009A6003">
          <w:headerReference w:type="even" r:id="rId172"/>
          <w:headerReference w:type="default" r:id="rId173"/>
          <w:footerReference w:type="even" r:id="rId174"/>
          <w:footerReference w:type="default" r:id="rId175"/>
          <w:headerReference w:type="first" r:id="rId176"/>
          <w:footerReference w:type="first" r:id="rId177"/>
          <w:pgSz w:w="11906" w:h="16838"/>
          <w:pgMar w:top="1134" w:right="1134" w:bottom="1134" w:left="1134" w:header="709" w:footer="709" w:gutter="0"/>
          <w:cols w:space="708"/>
          <w:docGrid w:linePitch="360"/>
        </w:sectPr>
      </w:pPr>
      <w:bookmarkStart w:id="225" w:name="_DMBM_8947"/>
      <w:bookmarkEnd w:id="221"/>
    </w:p>
    <w:p w:rsidR="00FB0C75" w:rsidRPr="00A74997" w:rsidRDefault="00525E53" w:rsidP="00FB0C75">
      <w:pPr>
        <w:pStyle w:val="HEADER2Part2"/>
      </w:pPr>
      <w:r>
        <w:t>CRÉANCES À RECEVOIR AVEC CONTREPARTIE DIRECTE ET CRÉANCES À RECOUVRER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6" w:name="DOC_TBL00027_1_1"/>
            <w:bookmarkEnd w:id="226"/>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Non courantes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recouvrer des opérations sans contrepartie directe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857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recevoir des opérations avec contrepartie directe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717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870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Courantes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recouvrer des opérations sans contrepartie directe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347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882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recevoir des opérations avec contrepartie directe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558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572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905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9</w:t>
            </w:r>
            <w:r>
              <w:t xml:space="preserve"> </w:t>
            </w:r>
            <w:r w:rsidRPr="00031A85">
              <w:t>454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11</w:t>
            </w:r>
            <w:r>
              <w:t xml:space="preserve"> </w:t>
            </w:r>
            <w:r w:rsidRPr="00031A85">
              <w:t>621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324</w:t>
            </w:r>
          </w:p>
        </w:tc>
      </w:tr>
    </w:tbl>
    <w:p w:rsidR="00FB0C75" w:rsidRPr="007A13F2" w:rsidRDefault="00525E53" w:rsidP="00FB0C75">
      <w:pPr>
        <w:pStyle w:val="HEADER3Part2"/>
      </w:pPr>
      <w:r>
        <w:t>Créances à recouvrer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7" w:name="DOC_TBL00028_1_1"/>
            <w:bookmarkEnd w:id="22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Non courantes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États membres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r>
              <w:t>.</w:t>
            </w:r>
            <w:r w:rsidRPr="00031A85">
              <w:t>1</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700</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857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700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857</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Courantes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États membres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162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845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Amendes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808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601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à recevoir et charges à reporter</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6</w:t>
            </w:r>
            <w:r>
              <w:t>.</w:t>
            </w:r>
            <w:r w:rsidRPr="00031A85">
              <w:t>1</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369</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créances à recouvrer</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47</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347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882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11</w:t>
            </w:r>
            <w:r>
              <w:t xml:space="preserve"> </w:t>
            </w:r>
            <w:r w:rsidRPr="00031A85">
              <w:t>047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w:t>
            </w:r>
            <w:r>
              <w:t xml:space="preserve"> </w:t>
            </w:r>
            <w:r w:rsidRPr="00031A85">
              <w:t>739</w:t>
            </w:r>
          </w:p>
        </w:tc>
      </w:tr>
    </w:tbl>
    <w:p w:rsidR="00FB0C75" w:rsidRPr="007A13F2" w:rsidRDefault="00525E53" w:rsidP="00FB0C75">
      <w:pPr>
        <w:pStyle w:val="HEADER4Part2"/>
      </w:pPr>
      <w:r>
        <w:t>Créances à recouvrer auprès des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8" w:name="DOC_TBL00029_1_1"/>
            <w:bookmarkEnd w:id="22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RPT constatées dans la comptabilité A</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261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041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RPT constatées dans la comptabilité séparée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437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283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Ressources propres à recevoir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Dépréciation</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753</w:t>
            </w:r>
            <w:r>
              <w:t>)</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760</w:t>
            </w:r>
            <w:r>
              <w:t>)</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Créances à recouvrer au titre des ressources propres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031A85">
              <w:rPr>
                <w:i w:val="0"/>
              </w:rPr>
              <w:t>5</w:t>
            </w:r>
            <w:r>
              <w:rPr>
                <w:i w:val="0"/>
              </w:rPr>
              <w:t xml:space="preserve"> </w:t>
            </w:r>
            <w:r w:rsidRPr="00031A85">
              <w:rPr>
                <w:i w:val="0"/>
              </w:rPr>
              <w:t>745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031A85">
              <w:rPr>
                <w:i w:val="0"/>
              </w:rPr>
              <w:t>3</w:t>
            </w:r>
            <w:r>
              <w:rPr>
                <w:i w:val="0"/>
              </w:rPr>
              <w:t xml:space="preserve"> </w:t>
            </w:r>
            <w:r w:rsidRPr="00031A85">
              <w:rPr>
                <w:i w:val="0"/>
              </w:rPr>
              <w:t>573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Fonds européen agricole de garantie (FEAGA)</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606</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846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Fonds européen agricole pour le développement rural (Feader)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750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Instrument temporaire de développement rural (ITDR)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Programme spécial d’adhésion pour l’agriculture et le développement rural (SAPARD)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175</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Dépréciation</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999</w:t>
            </w:r>
            <w:r>
              <w:t>)</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092</w:t>
            </w:r>
            <w: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Créances à recouvrer au titre du FEAGA et du développement rural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031A85">
              <w:rPr>
                <w:i w:val="0"/>
              </w:rPr>
              <w:t>2</w:t>
            </w:r>
            <w:r>
              <w:rPr>
                <w:i w:val="0"/>
              </w:rPr>
              <w:t xml:space="preserve"> </w:t>
            </w:r>
            <w:r w:rsidRPr="00031A85">
              <w:rPr>
                <w:i w:val="0"/>
              </w:rPr>
              <w:t>729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031A85">
              <w:rPr>
                <w:i w:val="0"/>
              </w:rPr>
              <w:t>3</w:t>
            </w:r>
            <w:r>
              <w:rPr>
                <w:i w:val="0"/>
              </w:rPr>
              <w:t xml:space="preserve"> </w:t>
            </w:r>
            <w:r w:rsidRPr="00031A85">
              <w:rPr>
                <w:i w:val="0"/>
              </w:rPr>
              <w:t>705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Recouvrement de préfinancements attendu</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293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313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TVA payée et à récupérer</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41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36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Autres créances à recouvrer auprès des États membres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55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w:t>
            </w:r>
            <w:r w:rsidRPr="00031A85">
              <w:rPr>
                <w:i w:val="0"/>
              </w:rPr>
              <w:t>75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863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7</w:t>
            </w:r>
            <w:r>
              <w:t xml:space="preserve"> </w:t>
            </w:r>
            <w:r w:rsidRPr="00031A85">
              <w:t>701</w:t>
            </w:r>
          </w:p>
        </w:tc>
      </w:tr>
      <w:tr w:rsidR="005B4EEC" w:rsidTr="009A6003">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Non courantes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700</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857</w:t>
            </w:r>
          </w:p>
        </w:tc>
      </w:tr>
      <w:tr w:rsidR="005B4EEC" w:rsidTr="009A6003">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Courantes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8</w:t>
            </w:r>
            <w:r>
              <w:t xml:space="preserve"> </w:t>
            </w:r>
            <w:r w:rsidRPr="00031A85">
              <w:t>162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sidRPr="00031A85">
              <w:t>6</w:t>
            </w:r>
            <w:r>
              <w:t xml:space="preserve"> </w:t>
            </w:r>
            <w:r w:rsidRPr="00031A85">
              <w:t>845</w:t>
            </w:r>
          </w:p>
        </w:tc>
      </w:tr>
    </w:tbl>
    <w:p w:rsidR="00FB0C75" w:rsidRDefault="00525E53" w:rsidP="00FB0C75">
      <w:pPr>
        <w:pStyle w:val="Textstand-alone"/>
      </w:pPr>
      <w:r>
        <w:t>Les montants non courants dus par les États membres concernent des décisions d’apurement de conformité non exécutées pour le Fonds européen agricole de garantie (FEAGA) et le Fonds européen agricole pour le développement rural (Feader) à mettre en œuvre par tranches annuelles et/ou reports annuels.</w:t>
      </w:r>
    </w:p>
    <w:p w:rsidR="00FB0C75" w:rsidRPr="00F47CA4" w:rsidRDefault="00525E53" w:rsidP="00FB0C75">
      <w:pPr>
        <w:pStyle w:val="Textstand-alone"/>
        <w:rPr>
          <w:b/>
        </w:rPr>
      </w:pPr>
      <w:r>
        <w:rPr>
          <w:noProof w:val="0"/>
          <w:color w:val="016794"/>
        </w:rPr>
        <w:t>Créances à recouvrer au titre des ressources propres</w:t>
      </w:r>
    </w:p>
    <w:p w:rsidR="00FB0C75" w:rsidRDefault="00525E53" w:rsidP="00FB0C75">
      <w:pPr>
        <w:pStyle w:val="Textstand-alone"/>
      </w:pPr>
      <w:r>
        <w:t>Les ressources propres traditionnelles (RPT), constituées des droits de douane et des cotisations «sucre», sont perçues par les États membres pour le compte de la Commission. Les États membres constatent les RPT et communiquent les montants des droits constatés à la Commission au moyen des relevés mensuels de la «comptabilité A». Les droits constatés qui n’ont pas été inscrits dans la «comptabilité A» parce qu'ils n’ont pas été recouvrés par les États membres et qu’aucune garantie n’a été constituée (ou même si une garantie a été fournie, lorsque les droits font tout de même l’objet d'une contestation) figurent dans la «comptabilité séparée».</w:t>
      </w:r>
    </w:p>
    <w:p w:rsidR="00FB0C75" w:rsidRDefault="00525E53" w:rsidP="00FB0C75">
      <w:pPr>
        <w:pStyle w:val="Textstand-alone"/>
      </w:pPr>
      <w:r>
        <w:t>La contribution des États membres fondée sur la TVA et le RNB est soumise chaque année à un ajustement effectué le premier jour ouvrable de décembre. Parmi les ressources propres à recevoir figuraient également les ajustements pour les exercices financiers </w:t>
      </w:r>
      <w:r w:rsidRPr="00031A85">
        <w:t>2014</w:t>
      </w:r>
      <w:r>
        <w:t xml:space="preserve">, </w:t>
      </w:r>
      <w:r w:rsidRPr="00031A85">
        <w:t>2015</w:t>
      </w:r>
      <w:r>
        <w:t xml:space="preserve"> et </w:t>
      </w:r>
      <w:r w:rsidRPr="00031A85">
        <w:t>2016</w:t>
      </w:r>
      <w:r>
        <w:t xml:space="preserve"> se rapportant aux nouvelles dispositions introduites par la décision relative aux ressources propres (DRP) de </w:t>
      </w:r>
      <w:r w:rsidRPr="00031A85">
        <w:t>2014</w:t>
      </w:r>
      <w:r>
        <w:t xml:space="preserve"> à la suite de l’achèvement du processus de ratification et de l’entrée en vigueur, le </w:t>
      </w:r>
      <w:r w:rsidRPr="00031A85">
        <w:t>1</w:t>
      </w:r>
      <w:r>
        <w:rPr>
          <w:vertAlign w:val="superscript"/>
        </w:rPr>
        <w:t>er</w:t>
      </w:r>
      <w:r>
        <w:t> octobre </w:t>
      </w:r>
      <w:r w:rsidRPr="00031A85">
        <w:t>2016</w:t>
      </w:r>
      <w:r>
        <w:t xml:space="preserve">, montants qui devaient être versés par les États membres le </w:t>
      </w:r>
      <w:r w:rsidRPr="00031A85">
        <w:t>1</w:t>
      </w:r>
      <w:r>
        <w:rPr>
          <w:vertAlign w:val="superscript"/>
        </w:rPr>
        <w:t>er</w:t>
      </w:r>
      <w:r>
        <w:t> janvier </w:t>
      </w:r>
      <w:r w:rsidRPr="00031A85">
        <w:t>2017</w:t>
      </w:r>
      <w:r>
        <w:t>.</w:t>
      </w:r>
    </w:p>
    <w:p w:rsidR="00FB0C75" w:rsidRPr="00A11F55" w:rsidRDefault="00525E53" w:rsidP="00FB0C75">
      <w:pPr>
        <w:pStyle w:val="Textstand-alone"/>
      </w:pPr>
      <w:r>
        <w:t>En dehors de la formulation de réserves, des corrections peuvent être apportées aux assiettes TVA et RNB au cours des quatre exercices suivants. Elles doivent être considérées comme des créances potentielles sur les États membres, dont le montant est incertain du fait que leur incidence financière ne peut être estimée avec précision. Lorsque le montant de ces créances peut être déterminé, les ressources TVA et RNB correspondantes sont appelées, soit en rapport avec les soldes TVA ou RNB, soit via des appels de fonds individuels.</w:t>
      </w:r>
    </w:p>
    <w:p w:rsidR="00FB0C75" w:rsidRDefault="00525E53" w:rsidP="00FB0C75">
      <w:pPr>
        <w:pStyle w:val="Textstand-alone"/>
        <w:rPr>
          <w:b/>
        </w:rPr>
      </w:pPr>
      <w:r>
        <w:rPr>
          <w:noProof w:val="0"/>
          <w:color w:val="016794"/>
        </w:rPr>
        <w:t>Créances à recouvrer au titre du FEAGA et du développement rural</w:t>
      </w:r>
    </w:p>
    <w:p w:rsidR="00FB0C75" w:rsidRDefault="00525E53" w:rsidP="00FB0C75">
      <w:pPr>
        <w:pStyle w:val="Textstand-alone"/>
      </w:pPr>
      <w:r>
        <w:t xml:space="preserve">Ce poste comprend principalement les montants dus par les États membres au </w:t>
      </w:r>
      <w:r w:rsidRPr="00031A85">
        <w:t>31</w:t>
      </w:r>
      <w:r>
        <w:t> décembre </w:t>
      </w:r>
      <w:r w:rsidRPr="00031A85">
        <w:t>2016</w:t>
      </w:r>
      <w:r>
        <w:t xml:space="preserve">, tels que déclarés et certifiés par eux au </w:t>
      </w:r>
      <w:r w:rsidRPr="00031A85">
        <w:t>15</w:t>
      </w:r>
      <w:r>
        <w:t> octobre </w:t>
      </w:r>
      <w:r w:rsidRPr="00031A85">
        <w:t>2016</w:t>
      </w:r>
      <w:r>
        <w:t xml:space="preserve">. Une estimation est effectuée pour les créances à recouvrer nées après cette déclaration et jusqu’au </w:t>
      </w:r>
      <w:r w:rsidRPr="00031A85">
        <w:t>31</w:t>
      </w:r>
      <w:r>
        <w:t> décembre </w:t>
      </w:r>
      <w:r w:rsidRPr="00031A85">
        <w:t>2016</w:t>
      </w:r>
      <w:r>
        <w:t xml:space="preserve">. La Commission estime également la réduction de valeur pour les montants dus par les bénéficiaires dont le recouvrement est improbable. La réalisation de cet ajustement n’implique pas que la Commission renonce au recouvrement futur de ces montants. Une déduction de </w:t>
      </w:r>
      <w:r w:rsidRPr="00031A85">
        <w:t>20</w:t>
      </w:r>
      <w:r>
        <w:t> % est en outre comprise dans cet ajustement et correspond à la retenue que les États membres sont autorisés à opérer pour couvrir leurs frais administratifs.</w:t>
      </w:r>
    </w:p>
    <w:p w:rsidR="00FB0C75" w:rsidRPr="007A13F2" w:rsidRDefault="00525E53" w:rsidP="00FB0C75">
      <w:pPr>
        <w:pStyle w:val="HEADER4Part2"/>
      </w:pPr>
      <w:r>
        <w:t>Amendes</w:t>
      </w:r>
    </w:p>
    <w:p w:rsidR="00FB0C75" w:rsidRDefault="00525E53" w:rsidP="00FB0C75">
      <w:pPr>
        <w:pStyle w:val="Textstand-alone"/>
      </w:pPr>
      <w:r>
        <w:t>Il s'agit des amendes infligées par la Commission n’ayant pas été encaissées (à titre provisionnel) à la fin de l’exercice (</w:t>
      </w:r>
      <w:r w:rsidRPr="00031A85">
        <w:t>1</w:t>
      </w:r>
      <w:r>
        <w:t>,</w:t>
      </w:r>
      <w:r w:rsidRPr="00031A85">
        <w:t>986</w:t>
      </w:r>
      <w:r>
        <w:t> milliard d’EUR), diminuées des réductions de valeur (</w:t>
      </w:r>
      <w:r w:rsidRPr="00031A85">
        <w:t>178</w:t>
      </w:r>
      <w:r>
        <w:t xml:space="preserve"> millions d’EUR). Des garanties s’élevant au total à </w:t>
      </w:r>
      <w:r w:rsidRPr="00031A85">
        <w:t>1</w:t>
      </w:r>
      <w:r>
        <w:t>,</w:t>
      </w:r>
      <w:r w:rsidRPr="00031A85">
        <w:t>012</w:t>
      </w:r>
      <w:r>
        <w:t xml:space="preserve"> milliard d’EUR avaient été reçues pour les amendes encore pendantes à la fin de l’exercice (contre </w:t>
      </w:r>
      <w:r w:rsidRPr="00031A85">
        <w:t>1</w:t>
      </w:r>
      <w:r>
        <w:t>,</w:t>
      </w:r>
      <w:r w:rsidRPr="00031A85">
        <w:t>428</w:t>
      </w:r>
      <w:r>
        <w:t> milliard d’EUR en </w:t>
      </w:r>
      <w:r w:rsidRPr="00031A85">
        <w:t>2015</w:t>
      </w:r>
      <w:r>
        <w:t xml:space="preserve">). Il convient de noter que </w:t>
      </w:r>
      <w:r w:rsidRPr="00031A85">
        <w:t>651</w:t>
      </w:r>
      <w:r>
        <w:t xml:space="preserve"> millions d’EUR de ces créances étaient exigibles après le </w:t>
      </w:r>
      <w:r w:rsidRPr="00031A85">
        <w:t>31</w:t>
      </w:r>
      <w:r>
        <w:t xml:space="preserve"> décembre </w:t>
      </w:r>
      <w:r w:rsidRPr="00031A85">
        <w:t>2016</w:t>
      </w:r>
      <w:r>
        <w:t>.</w:t>
      </w:r>
    </w:p>
    <w:p w:rsidR="00FB0C75" w:rsidRPr="007A13F2" w:rsidRDefault="00525E53" w:rsidP="00FB0C75">
      <w:pPr>
        <w:pStyle w:val="HEADER4Part2"/>
      </w:pPr>
      <w:r>
        <w:t>Produits à recevoir et charges à reporter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9" w:name="DOC_TBL00030_1_1"/>
            <w:bookmarkEnd w:id="22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B269C3">
            <w:pPr>
              <w:pStyle w:val="Text9pItalicLeft"/>
              <w:rPr>
                <w:rFonts w:cs="Verdana"/>
              </w:rPr>
            </w:pPr>
            <w:r>
              <w:t>Fonds de cohésion, Fonds pour l’agriculture et le développement rural: corrections financières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produits à recevoir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Charges à reporter relatives aux opérations sans contrepartie directe</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196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329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369</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Non courants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Courants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w:t>
            </w:r>
            <w:r w:rsidRPr="00031A85">
              <w:t>369</w:t>
            </w:r>
          </w:p>
        </w:tc>
      </w:tr>
    </w:tbl>
    <w:p w:rsidR="00FB0C75" w:rsidRPr="007A13F2" w:rsidRDefault="00525E53" w:rsidP="00FB0C75">
      <w:pPr>
        <w:pStyle w:val="HEADER3Part2"/>
      </w:pPr>
      <w:r>
        <w:t>Créances à recevoir des opérations avec contrepartie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0" w:name="DOC_TBL00031_1_1"/>
            <w:bookmarkEnd w:id="23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Non courantes</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créances à recevoir</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16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13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Courantes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Clients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Dépréciation des créances à recevoir de clients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128</w:t>
            </w:r>
            <w:r>
              <w:t>)</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107</w:t>
            </w: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Charges à reporter relatives aux opérations avec contrepartie directe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191</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558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572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574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585</w:t>
            </w:r>
          </w:p>
        </w:tc>
      </w:tr>
    </w:tbl>
    <w:p w:rsidR="00FB0C75" w:rsidRDefault="00FB0C75" w:rsidP="00FB0C75">
      <w:pPr>
        <w:pStyle w:val="Textstand-alone"/>
        <w:spacing w:before="0"/>
      </w:pPr>
    </w:p>
    <w:p w:rsidR="00FB0C75" w:rsidRDefault="00525E53" w:rsidP="00FB0C75">
      <w:pPr>
        <w:pStyle w:val="Textstand-alone"/>
        <w:spacing w:before="0"/>
      </w:pPr>
      <w:r>
        <w:t xml:space="preserve">La dépréciation des créances à recevoir de clients indiquée ci-dessus comprend un montant de dépréciation de </w:t>
      </w:r>
      <w:r w:rsidRPr="00031A85">
        <w:t>55</w:t>
      </w:r>
      <w:r>
        <w:t> millions d’EUR établi sur une base individuelle.</w:t>
      </w:r>
    </w:p>
    <w:p w:rsidR="00FB0C75" w:rsidRDefault="00525E53" w:rsidP="00FB0C75">
      <w:pPr>
        <w:pStyle w:val="Textstand-alone"/>
        <w:spacing w:before="0"/>
        <w:sectPr w:rsidR="00FB0C75" w:rsidSect="00FB0C75">
          <w:headerReference w:type="even" r:id="rId178"/>
          <w:headerReference w:type="default" r:id="rId179"/>
          <w:footerReference w:type="even" r:id="rId180"/>
          <w:footerReference w:type="default" r:id="rId181"/>
          <w:headerReference w:type="first" r:id="rId182"/>
          <w:footerReference w:type="first" r:id="rId183"/>
          <w:pgSz w:w="11906" w:h="16838"/>
          <w:pgMar w:top="1134" w:right="1134" w:bottom="1134" w:left="1134" w:header="709" w:footer="709" w:gutter="0"/>
          <w:cols w:space="708"/>
          <w:docGrid w:linePitch="360"/>
        </w:sectPr>
      </w:pPr>
      <w:r>
        <w:t xml:space="preserve"> </w:t>
      </w:r>
      <w:bookmarkEnd w:id="225"/>
    </w:p>
    <w:p w:rsidR="00FB0C75" w:rsidRDefault="00525E53" w:rsidP="00FB0C75">
      <w:pPr>
        <w:pStyle w:val="HEADER2Part2"/>
      </w:pPr>
      <w:bookmarkStart w:id="231" w:name="_DMBM_8949"/>
      <w:r>
        <w:t>STOCKS</w:t>
      </w:r>
    </w:p>
    <w:p w:rsidR="00FB0C75" w:rsidRPr="00F404F5" w:rsidRDefault="00525E53" w:rsidP="00FB0C75">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2" w:name="DOC_TBL00032_1_1"/>
            <w:bookmarkEnd w:id="23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Matériel scientifique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111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165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138</w:t>
            </w:r>
          </w:p>
        </w:tc>
      </w:tr>
    </w:tbl>
    <w:p w:rsidR="00FB0C75" w:rsidRDefault="00525E53" w:rsidP="00FB0C75">
      <w:pPr>
        <w:pStyle w:val="Textstand-alone"/>
        <w:spacing w:before="0" w:after="0"/>
      </w:pPr>
      <w:r>
        <w:t xml:space="preserve"> </w:t>
      </w:r>
      <w:bookmarkEnd w:id="231"/>
    </w:p>
    <w:p w:rsidR="00BD1908" w:rsidRDefault="00BD1908" w:rsidP="00FB0C75">
      <w:pPr>
        <w:pStyle w:val="Textstand-alone"/>
        <w:spacing w:before="0" w:after="0"/>
      </w:pPr>
    </w:p>
    <w:p w:rsidR="00BD1908" w:rsidRPr="0018243A" w:rsidRDefault="00BD1908" w:rsidP="00FB0C75">
      <w:pPr>
        <w:pStyle w:val="Textstand-alone"/>
        <w:spacing w:before="0" w:after="0"/>
        <w:sectPr w:rsidR="00BD1908" w:rsidRPr="0018243A" w:rsidSect="00FB0C75">
          <w:headerReference w:type="even" r:id="rId184"/>
          <w:headerReference w:type="default" r:id="rId185"/>
          <w:footerReference w:type="even" r:id="rId186"/>
          <w:footerReference w:type="default" r:id="rId187"/>
          <w:headerReference w:type="first" r:id="rId188"/>
          <w:footerReference w:type="first" r:id="rId189"/>
          <w:type w:val="continuous"/>
          <w:pgSz w:w="11906" w:h="16838"/>
          <w:pgMar w:top="1134" w:right="1134" w:bottom="1134" w:left="1134" w:header="709" w:footer="709" w:gutter="0"/>
          <w:cols w:space="708"/>
          <w:docGrid w:linePitch="360"/>
        </w:sectPr>
      </w:pPr>
    </w:p>
    <w:p w:rsidR="00FB0C75" w:rsidRDefault="00FB0C75" w:rsidP="00FB0C75">
      <w:pPr>
        <w:pStyle w:val="HEADER2Part2"/>
        <w:numPr>
          <w:ilvl w:val="0"/>
          <w:numId w:val="0"/>
        </w:numPr>
        <w:ind w:left="907"/>
      </w:pPr>
      <w:bookmarkStart w:id="233" w:name="_DMBM_8984"/>
    </w:p>
    <w:p w:rsidR="00FB0C75" w:rsidRPr="00624F4F" w:rsidRDefault="00525E53" w:rsidP="00FB0C75">
      <w:pPr>
        <w:pStyle w:val="HEADER2Part2"/>
      </w:pPr>
      <w:r>
        <w:t>TRÉSORERIE ET ÉQUIVALENTS DE TRÉSORERIE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4" w:name="DOC_TBL00033_1_1"/>
            <w:bookmarkEnd w:id="23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Comptes auprès du Trésor et des banques centrales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24</w:t>
            </w:r>
            <w:r>
              <w:t xml:space="preserve"> </w:t>
            </w:r>
            <w:r w:rsidRPr="00031A85">
              <w:t>566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17</w:t>
            </w:r>
            <w:r>
              <w:t xml:space="preserve"> </w:t>
            </w:r>
            <w:r w:rsidRPr="00031A85">
              <w:t>119</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Comptes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110</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Régies d’avances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Transferts (fonds en transit)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dépôts à terme</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9A6003">
            <w:pPr>
              <w:pStyle w:val="Text9pItalicLeft"/>
              <w:rPr>
                <w:rFonts w:cs="Verdana"/>
                <w:b/>
                <w:i w:val="0"/>
              </w:rPr>
            </w:pPr>
            <w:r>
              <w:rPr>
                <w:b/>
                <w:i w:val="0"/>
              </w:rPr>
              <w:t>Comptes bancaires pour l’exécution du budget et</w:t>
            </w:r>
            <w:r>
              <w:rPr>
                <w:rFonts w:cs="Verdana"/>
                <w:b/>
                <w:i w:val="0"/>
              </w:rPr>
              <w:br/>
            </w:r>
            <w:r>
              <w:rPr>
                <w:b/>
                <w:i w:val="0"/>
              </w:rPr>
              <w:t>autres dépôts à terme</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sidRPr="00031A85">
              <w:rPr>
                <w:i w:val="0"/>
              </w:rPr>
              <w:t>2</w:t>
            </w:r>
            <w:r>
              <w:rPr>
                <w:i w:val="0"/>
              </w:rPr>
              <w:t>.</w:t>
            </w:r>
            <w:r w:rsidRPr="00031A85">
              <w:rPr>
                <w:i w:val="0"/>
              </w:rPr>
              <w:t>8</w:t>
            </w:r>
            <w:r>
              <w:rPr>
                <w:i w:val="0"/>
              </w:rPr>
              <w:t>.</w:t>
            </w:r>
            <w:r w:rsidRPr="00031A85">
              <w:rPr>
                <w:i w:val="0"/>
              </w:rPr>
              <w:t>1</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24</w:t>
            </w:r>
            <w:r>
              <w:t xml:space="preserve"> </w:t>
            </w:r>
            <w:r w:rsidRPr="00031A85">
              <w:t>698</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17</w:t>
            </w:r>
            <w:r>
              <w:t xml:space="preserve"> </w:t>
            </w:r>
            <w:r w:rsidRPr="00031A85">
              <w:t>262</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Valeurs attachées à des instruments financiers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sidRPr="00031A85">
              <w:rPr>
                <w:i w:val="0"/>
              </w:rPr>
              <w:t>2</w:t>
            </w:r>
            <w:r>
              <w:rPr>
                <w:i w:val="0"/>
              </w:rPr>
              <w:t>.</w:t>
            </w:r>
            <w:r w:rsidRPr="00031A85">
              <w:rPr>
                <w:i w:val="0"/>
              </w:rPr>
              <w:t>8</w:t>
            </w:r>
            <w:r>
              <w:rPr>
                <w:i w:val="0"/>
              </w:rPr>
              <w:t>.</w:t>
            </w:r>
            <w:r w:rsidRPr="00031A85">
              <w:rPr>
                <w:i w:val="0"/>
              </w:rPr>
              <w:t>2</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390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298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Valeurs liées à des amendes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sidRPr="00031A85">
              <w:rPr>
                <w:i w:val="0"/>
              </w:rPr>
              <w:t>2</w:t>
            </w:r>
            <w:r>
              <w:rPr>
                <w:i w:val="0"/>
              </w:rPr>
              <w:t>.</w:t>
            </w:r>
            <w:r w:rsidRPr="00031A85">
              <w:rPr>
                <w:i w:val="0"/>
              </w:rPr>
              <w:t>8</w:t>
            </w:r>
            <w:r>
              <w:rPr>
                <w:i w:val="0"/>
              </w:rPr>
              <w:t>.</w:t>
            </w:r>
            <w:r w:rsidRPr="00031A85">
              <w:rPr>
                <w:i w:val="0"/>
              </w:rPr>
              <w:t>3</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325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908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 xml:space="preserve">Valeurs liées à d’autres institutions, agences </w:t>
            </w:r>
            <w:r>
              <w:rPr>
                <w:rFonts w:cs="Verdana"/>
                <w:b/>
                <w:i w:val="0"/>
              </w:rPr>
              <w:br/>
            </w:r>
            <w:r>
              <w:rPr>
                <w:b/>
                <w:i w:val="0"/>
              </w:rPr>
              <w:t>et organes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006</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012</w:t>
            </w:r>
          </w:p>
        </w:tc>
      </w:tr>
      <w:tr w:rsidR="005B4EEC" w:rsidTr="00FB0C7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Valeurs liées à des fonds fiduciaires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192</w:t>
            </w:r>
          </w:p>
        </w:tc>
      </w:tr>
      <w:tr w:rsidR="005B4EEC" w:rsidTr="00FB0C7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28</w:t>
            </w:r>
            <w:r>
              <w:t xml:space="preserve"> </w:t>
            </w:r>
            <w:r w:rsidRPr="00031A85">
              <w:t>585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21</w:t>
            </w:r>
            <w:r>
              <w:t xml:space="preserve"> </w:t>
            </w:r>
            <w:r w:rsidRPr="00031A85">
              <w:t>671</w:t>
            </w:r>
          </w:p>
        </w:tc>
      </w:tr>
    </w:tbl>
    <w:p w:rsidR="00FB0C75" w:rsidRPr="00624F4F" w:rsidRDefault="00525E53" w:rsidP="00FB0C75">
      <w:pPr>
        <w:pStyle w:val="HEADER3Part2"/>
      </w:pPr>
      <w:r>
        <w:t>Comptes bancaires pour l’exécution du budget et autres dépôts à terme</w:t>
      </w:r>
    </w:p>
    <w:p w:rsidR="00FB0C75" w:rsidRPr="00290872" w:rsidRDefault="00525E53" w:rsidP="00FB0C75">
      <w:pPr>
        <w:pStyle w:val="Textstand-alone"/>
        <w:spacing w:after="120"/>
      </w:pPr>
      <w:r>
        <w:t>Cette rubrique comprend les disponibilités financières de la Commission détenues sur des comptes bancaires auprès de chaque État membre et pays AELE (Trésor ou banque centrale), sur des comptes à vue détenus dans des banques commerciales ou dans des régies d’avances, ainsi que sous la forme de fonds de caisse. Le solde de trésorerie exceptionnellement élevé à la fin de </w:t>
      </w:r>
      <w:r w:rsidRPr="00031A85">
        <w:t>2016</w:t>
      </w:r>
      <w:r>
        <w:t xml:space="preserve"> est principalement dû aux éléments suivants:</w:t>
      </w:r>
    </w:p>
    <w:p w:rsidR="00FB0C75" w:rsidRPr="00290872" w:rsidRDefault="00525E53" w:rsidP="00FB0C75">
      <w:pPr>
        <w:pStyle w:val="Textstand-alone"/>
        <w:numPr>
          <w:ilvl w:val="0"/>
          <w:numId w:val="9"/>
        </w:numPr>
        <w:spacing w:before="120" w:after="120"/>
      </w:pPr>
      <w:r>
        <w:t xml:space="preserve">En ce qui concerne les ressources propres, le solde de fin d’exercice comprend un montant total net de </w:t>
      </w:r>
      <w:r w:rsidRPr="00031A85">
        <w:t>7</w:t>
      </w:r>
      <w:r>
        <w:t>,</w:t>
      </w:r>
      <w:r w:rsidRPr="00031A85">
        <w:t>7</w:t>
      </w:r>
      <w:r>
        <w:t> milliards d’EUR devant être remboursé aux États membres au début de l’année </w:t>
      </w:r>
      <w:r w:rsidRPr="00031A85">
        <w:t>2017</w:t>
      </w:r>
      <w:r>
        <w:t xml:space="preserve"> à la suite des budgets rectificatifs adoptés à la fin de </w:t>
      </w:r>
      <w:r w:rsidRPr="00031A85">
        <w:t>2016</w:t>
      </w:r>
      <w:r>
        <w:t xml:space="preserve">. En outre, des avances sur les ressources propres d’un montant de </w:t>
      </w:r>
      <w:r w:rsidRPr="00031A85">
        <w:t>1</w:t>
      </w:r>
      <w:r>
        <w:t>,</w:t>
      </w:r>
      <w:r w:rsidRPr="00031A85">
        <w:t>5</w:t>
      </w:r>
      <w:r>
        <w:t xml:space="preserve"> milliard d’EUR ont été reçues dans les derniers jours de </w:t>
      </w:r>
      <w:r w:rsidRPr="00031A85">
        <w:t>2016</w:t>
      </w:r>
      <w:r>
        <w:t>.</w:t>
      </w:r>
    </w:p>
    <w:p w:rsidR="00FB0C75" w:rsidRPr="00290872" w:rsidRDefault="00525E53" w:rsidP="00FB0C75">
      <w:pPr>
        <w:pStyle w:val="Textstand-alone"/>
        <w:numPr>
          <w:ilvl w:val="0"/>
          <w:numId w:val="9"/>
        </w:numPr>
        <w:spacing w:before="120" w:after="120"/>
      </w:pPr>
      <w:r>
        <w:t xml:space="preserve">Un montant substantiel de </w:t>
      </w:r>
      <w:r w:rsidRPr="00031A85">
        <w:t>4</w:t>
      </w:r>
      <w:r>
        <w:t>,</w:t>
      </w:r>
      <w:r w:rsidRPr="00031A85">
        <w:t>3</w:t>
      </w:r>
      <w:r>
        <w:t> milliards d’EUR correspondant à des amendes infligées par la Commission pour des infractions aux règles de concurrence a été définitivement encaissé en </w:t>
      </w:r>
      <w:r w:rsidRPr="00031A85">
        <w:t>2016</w:t>
      </w:r>
      <w:r>
        <w:t xml:space="preserve"> et fait partie du solde de trésorerie de fin d’exercice.</w:t>
      </w:r>
    </w:p>
    <w:p w:rsidR="00FB0C75" w:rsidRPr="00BD3246" w:rsidRDefault="00525E53" w:rsidP="00FB0C75">
      <w:pPr>
        <w:pStyle w:val="Textstand-alone"/>
        <w:numPr>
          <w:ilvl w:val="0"/>
          <w:numId w:val="9"/>
        </w:numPr>
        <w:spacing w:before="120"/>
      </w:pPr>
      <w:r>
        <w:t>Le solde de trésorerie comprend également les recettes affectées et les crédits de paiement non dépensés à la fin de l’exercice </w:t>
      </w:r>
      <w:r w:rsidRPr="00031A85">
        <w:t>2016</w:t>
      </w:r>
      <w:r>
        <w:t xml:space="preserve"> pour un montant de </w:t>
      </w:r>
      <w:r w:rsidRPr="00031A85">
        <w:t>11</w:t>
      </w:r>
      <w:r>
        <w:t> milliards d’EUR.</w:t>
      </w:r>
    </w:p>
    <w:p w:rsidR="00FB0C75" w:rsidRPr="00624F4F" w:rsidRDefault="00525E53" w:rsidP="00FB0C75">
      <w:pPr>
        <w:pStyle w:val="HEADER3Part2"/>
      </w:pPr>
      <w:r>
        <w:t>Valeurs attachées à des instruments financiers</w:t>
      </w:r>
    </w:p>
    <w:p w:rsidR="00FB0C75" w:rsidRDefault="00525E53" w:rsidP="00FB0C75">
      <w:pPr>
        <w:pStyle w:val="Textstand-alone"/>
      </w:pPr>
      <w:r>
        <w:t>Les montants relatifs à cette rubrique concernent essentiellement des équivalents de trésorerie gérés par des fiduciaires pour le compte de la Commission aux fins de la mise en œuvre de programmes d’instruments financiers spécifiques financés par le budget de l’UE (voir la note </w:t>
      </w:r>
      <w:r w:rsidRPr="00031A85">
        <w:rPr>
          <w:b/>
        </w:rPr>
        <w:t>2</w:t>
      </w:r>
      <w:r>
        <w:rPr>
          <w:b/>
        </w:rPr>
        <w:t>.</w:t>
      </w:r>
      <w:r w:rsidRPr="00031A85">
        <w:rPr>
          <w:b/>
        </w:rPr>
        <w:t>4</w:t>
      </w:r>
      <w:r>
        <w:rPr>
          <w:b/>
        </w:rPr>
        <w:t>.</w:t>
      </w:r>
      <w:r w:rsidRPr="00031A85">
        <w:rPr>
          <w:b/>
        </w:rPr>
        <w:t>1</w:t>
      </w:r>
      <w:r>
        <w:t>). Les valeurs attachées à des instruments financiers ne peuvent être utilisées que dans le programme correspondant.</w:t>
      </w:r>
    </w:p>
    <w:p w:rsidR="00FB0C75" w:rsidRPr="00624F4F" w:rsidRDefault="00525E53" w:rsidP="00FB0C75">
      <w:pPr>
        <w:pStyle w:val="HEADER3Part2"/>
      </w:pPr>
      <w:r>
        <w:t>Valeurs liées à des amendes</w:t>
      </w:r>
    </w:p>
    <w:p w:rsidR="00FB0C75" w:rsidRDefault="00525E53" w:rsidP="00FB0C75">
      <w:pPr>
        <w:pStyle w:val="Textstand-alone"/>
      </w:pPr>
      <w:r>
        <w:t>Il s’agit des montants reçus se rapportant à des amendes infligées par la Commission dans le cadre d’affaires encore en cours. Ces montants sont conservés sur des comptes de dépôt spécifiques qui ne sont utilisés à aucune autre fin. Si un recours a été formé ou si les intentions de la partie adverse en la matière ne sont pas connues, le montant sous-jacent est indiqué comme un passif éventuel dans la note </w:t>
      </w:r>
      <w:r w:rsidRPr="00031A85">
        <w:rPr>
          <w:b/>
        </w:rPr>
        <w:t>4</w:t>
      </w:r>
      <w:r>
        <w:rPr>
          <w:b/>
        </w:rPr>
        <w:t>.</w:t>
      </w:r>
      <w:r w:rsidRPr="00031A85">
        <w:rPr>
          <w:b/>
        </w:rPr>
        <w:t>1</w:t>
      </w:r>
      <w:r>
        <w:rPr>
          <w:b/>
        </w:rPr>
        <w:t>.</w:t>
      </w:r>
      <w:r w:rsidRPr="00031A85">
        <w:rPr>
          <w:b/>
        </w:rPr>
        <w:t>4</w:t>
      </w:r>
      <w:r>
        <w:t>.</w:t>
      </w:r>
    </w:p>
    <w:p w:rsidR="00FB0C75" w:rsidRDefault="00525E53" w:rsidP="00FB0C75">
      <w:pPr>
        <w:pStyle w:val="Textstand-alone"/>
        <w:spacing w:after="0"/>
      </w:pPr>
      <w:r>
        <w:t>La baisse de ce solde s’explique par le fait que depuis </w:t>
      </w:r>
      <w:r w:rsidRPr="00031A85">
        <w:t>2010</w:t>
      </w:r>
      <w:r>
        <w:t>, toutes les nouvelles amendes encaissées à titre provisionnel sont gérées par la Commission dans le fonds BUFI et investies dans des instruments financiers classés comme disponibles à la vente (voir la note </w:t>
      </w:r>
      <w:r w:rsidRPr="00031A85">
        <w:rPr>
          <w:b/>
        </w:rPr>
        <w:t>2</w:t>
      </w:r>
      <w:r>
        <w:rPr>
          <w:b/>
        </w:rPr>
        <w:t>.</w:t>
      </w:r>
      <w:r w:rsidRPr="00031A85">
        <w:rPr>
          <w:b/>
        </w:rPr>
        <w:t>4</w:t>
      </w:r>
      <w:r>
        <w:rPr>
          <w:b/>
        </w:rPr>
        <w:t>.</w:t>
      </w:r>
      <w:r w:rsidRPr="00031A85">
        <w:rPr>
          <w:b/>
        </w:rPr>
        <w:t>1</w:t>
      </w:r>
      <w:r>
        <w:t>).</w:t>
      </w:r>
    </w:p>
    <w:p w:rsidR="00FB0C75" w:rsidRPr="00A9244D" w:rsidRDefault="00525E53" w:rsidP="00FB0C75">
      <w:pPr>
        <w:pStyle w:val="Textstand-alone"/>
        <w:spacing w:before="0"/>
        <w:sectPr w:rsidR="00FB0C75" w:rsidRPr="00A9244D" w:rsidSect="00FB0C75">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1134" w:right="1134" w:bottom="1134" w:left="1134" w:header="709" w:footer="709" w:gutter="0"/>
          <w:cols w:space="708"/>
          <w:docGrid w:linePitch="360"/>
        </w:sectPr>
      </w:pPr>
      <w:r>
        <w:t xml:space="preserve"> </w:t>
      </w:r>
      <w:bookmarkEnd w:id="233"/>
    </w:p>
    <w:p w:rsidR="00FB0C75" w:rsidRDefault="00525E53" w:rsidP="00FB0C75">
      <w:pPr>
        <w:pStyle w:val="HEADERTABLE"/>
        <w:spacing w:after="0"/>
      </w:pPr>
      <w:bookmarkStart w:id="235" w:name="_DMBM_8926"/>
      <w:r>
        <w:t>PASSIF</w:t>
      </w:r>
    </w:p>
    <w:p w:rsidR="00FB0C75" w:rsidRPr="00A15F0C" w:rsidRDefault="00525E53" w:rsidP="00FB0C75">
      <w:pPr>
        <w:pStyle w:val="Textstand-alone"/>
        <w:spacing w:before="0" w:after="0"/>
        <w:sectPr w:rsidR="00FB0C75" w:rsidRPr="00A15F0C" w:rsidSect="00FB0C75">
          <w:headerReference w:type="even" r:id="rId196"/>
          <w:headerReference w:type="default" r:id="rId197"/>
          <w:footerReference w:type="even" r:id="rId198"/>
          <w:footerReference w:type="default" r:id="rId199"/>
          <w:headerReference w:type="first" r:id="rId200"/>
          <w:footerReference w:type="first" r:id="rId201"/>
          <w:pgSz w:w="11906" w:h="16838"/>
          <w:pgMar w:top="1134" w:right="1134" w:bottom="1134" w:left="1134" w:header="709" w:footer="709" w:gutter="0"/>
          <w:cols w:space="708"/>
          <w:docGrid w:linePitch="360"/>
        </w:sectPr>
      </w:pPr>
      <w:r>
        <w:t xml:space="preserve"> </w:t>
      </w:r>
      <w:bookmarkEnd w:id="235"/>
    </w:p>
    <w:p w:rsidR="00FB0C75" w:rsidRDefault="00525E53" w:rsidP="00FB0C75">
      <w:pPr>
        <w:pStyle w:val="HEADER2Part2"/>
      </w:pPr>
      <w:bookmarkStart w:id="236" w:name="_DMBM_8975"/>
      <w:r>
        <w:t>RETRAITES ET AUTRES AVANTAGES DU PERSONNEL</w:t>
      </w:r>
    </w:p>
    <w:p w:rsidR="00FB0C75" w:rsidRDefault="00FB0C75" w:rsidP="00FB0C75">
      <w:pPr>
        <w:pStyle w:val="HEADER2Part2"/>
        <w:numPr>
          <w:ilvl w:val="0"/>
          <w:numId w:val="0"/>
        </w:numPr>
        <w:ind w:left="907"/>
      </w:pPr>
    </w:p>
    <w:p w:rsidR="00FB0C75" w:rsidRPr="00BD1908" w:rsidRDefault="00525E53" w:rsidP="00FB0C75">
      <w:pPr>
        <w:pStyle w:val="HEADER5"/>
        <w:rPr>
          <w:b w:val="0"/>
        </w:rPr>
      </w:pPr>
      <w:r>
        <w:rPr>
          <w:b w:val="0"/>
        </w:rPr>
        <w:t>Passifs nets liés aux avantages du personnel</w:t>
      </w:r>
    </w:p>
    <w:p w:rsidR="00FB0C75" w:rsidRPr="00DD17B0" w:rsidRDefault="00FB0C75" w:rsidP="00FB0C75">
      <w:pPr>
        <w:pStyle w:val="HEADER5"/>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631"/>
        <w:gridCol w:w="1365"/>
        <w:gridCol w:w="1510"/>
        <w:gridCol w:w="1405"/>
        <w:gridCol w:w="1492"/>
      </w:tblGrid>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7" w:name="DOC_TBL00034_1_1"/>
            <w:bookmarkEnd w:id="237"/>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Régime de pension des fonctionnaires européens</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Autres régimes de prestations de retraite</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Régime commun d’assurance-maladie</w:t>
            </w:r>
          </w:p>
        </w:tc>
        <w:tc>
          <w:tcPr>
            <w:tcW w:w="112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sidRPr="00031A85">
              <w:t>31</w:t>
            </w:r>
            <w:r>
              <w:t>.</w:t>
            </w:r>
            <w:r w:rsidRPr="00031A85">
              <w:t>12</w:t>
            </w:r>
            <w:r>
              <w:t>.</w:t>
            </w:r>
            <w:r w:rsidRPr="00031A85">
              <w:t>2016</w:t>
            </w:r>
            <w:r>
              <w:t xml:space="preserve">  Total</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sidRPr="00031A85">
              <w:t>31</w:t>
            </w:r>
            <w:r>
              <w:t>.</w:t>
            </w:r>
            <w:r w:rsidRPr="00031A85">
              <w:t>12</w:t>
            </w:r>
            <w:r>
              <w:t>.</w:t>
            </w:r>
            <w:r w:rsidRPr="00031A85">
              <w:t>2015</w:t>
            </w:r>
            <w:r>
              <w:t xml:space="preserve">  Total</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Obligation au titre des prestations définies</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58</w:t>
            </w:r>
            <w:r>
              <w:t xml:space="preserve"> </w:t>
            </w:r>
            <w:r w:rsidRPr="00031A85">
              <w:t>746</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882</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036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67</w:t>
            </w:r>
            <w:r>
              <w:t xml:space="preserve"> </w:t>
            </w:r>
            <w:r w:rsidRPr="00031A85">
              <w:t>664</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64</w:t>
            </w:r>
            <w:r>
              <w:t xml:space="preserve"> </w:t>
            </w:r>
            <w:r w:rsidRPr="00031A85">
              <w:t>242</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Actifs du régime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s.o.</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139</w:t>
            </w: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293</w:t>
            </w:r>
            <w:r>
              <w:t>)</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432</w:t>
            </w: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428</w:t>
            </w:r>
            <w:r>
              <w:t>)</w:t>
            </w:r>
          </w:p>
        </w:tc>
      </w:tr>
      <w:tr w:rsidR="005B4EEC">
        <w:trPr>
          <w:cantSplit/>
        </w:trPr>
        <w:tc>
          <w:tcPr>
            <w:tcW w:w="321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Passifs nets</w:t>
            </w:r>
          </w:p>
        </w:tc>
        <w:tc>
          <w:tcPr>
            <w:tcW w:w="127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58</w:t>
            </w:r>
            <w:r>
              <w:t xml:space="preserve"> </w:t>
            </w:r>
            <w:r w:rsidRPr="00031A85">
              <w:t>746</w:t>
            </w:r>
          </w:p>
        </w:tc>
        <w:tc>
          <w:tcPr>
            <w:tcW w:w="130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743</w:t>
            </w:r>
          </w:p>
        </w:tc>
        <w:tc>
          <w:tcPr>
            <w:tcW w:w="12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742</w:t>
            </w:r>
          </w:p>
        </w:tc>
        <w:tc>
          <w:tcPr>
            <w:tcW w:w="112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231</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63</w:t>
            </w:r>
            <w:r>
              <w:t xml:space="preserve"> </w:t>
            </w:r>
            <w:r w:rsidRPr="00031A85">
              <w:t>814</w:t>
            </w:r>
          </w:p>
        </w:tc>
      </w:tr>
    </w:tbl>
    <w:p w:rsidR="00FB0C75" w:rsidRDefault="00FB0C75" w:rsidP="00FB0C75">
      <w:pPr>
        <w:pStyle w:val="Textstand-alone"/>
        <w:spacing w:before="0" w:after="0"/>
      </w:pPr>
    </w:p>
    <w:p w:rsidR="00FB0C75" w:rsidRDefault="00525E53" w:rsidP="00FB0C75">
      <w:pPr>
        <w:pStyle w:val="Textstand-alone"/>
      </w:pPr>
      <w:r>
        <w:t xml:space="preserve">L’augmentation du passif total lié aux avantages du personnel est principalement due à une hausse des passifs nets du régime de pension des fonctionnaires européens. Cette hausse est essentiellement imputable à la baisse du taux d’actualisation réel, qui est passé de </w:t>
      </w:r>
      <w:r w:rsidRPr="00031A85">
        <w:t>0</w:t>
      </w:r>
      <w:r>
        <w:t>,</w:t>
      </w:r>
      <w:r w:rsidRPr="00031A85">
        <w:t>6</w:t>
      </w:r>
      <w:r>
        <w:t xml:space="preserve"> % à </w:t>
      </w:r>
      <w:r w:rsidRPr="00031A85">
        <w:t>0</w:t>
      </w:r>
      <w:r>
        <w:t>,</w:t>
      </w:r>
      <w:r w:rsidRPr="00031A85">
        <w:t>3</w:t>
      </w:r>
      <w:r>
        <w:t> %, ainsi qu’au fait que les droits supplémentaires acquis par les affiliés au régime étaient supérieurs aux paiements des prestations à partir du régime.</w:t>
      </w:r>
    </w:p>
    <w:p w:rsidR="00FB0C75" w:rsidRDefault="00525E53" w:rsidP="00FB0C75">
      <w:pPr>
        <w:pStyle w:val="HEADER3Part2"/>
      </w:pPr>
      <w:r>
        <w:t>Régime de pension des fonctionnaires européens</w:t>
      </w:r>
    </w:p>
    <w:p w:rsidR="00FB0C75" w:rsidRDefault="00525E53" w:rsidP="00FB0C75">
      <w:pPr>
        <w:pStyle w:val="Textstand-alone"/>
      </w:pPr>
      <w:r>
        <w:t>Cette obligation au titre des prestations définies correspond à la valeur actualisée des paiements futurs de l'UE qui devraient être nécessaires pour régler l’obligation résultant des services rendus par les membres du personnel pendant la période considérée et les périodes antérieures. Le régime fonctionne en continu et, à ce titre, tous les paiements devant découler du régime sur une base annuelle sont inscrits chaque année au budget de l’UE.</w:t>
      </w:r>
    </w:p>
    <w:p w:rsidR="00FB0C75" w:rsidRDefault="00525E53" w:rsidP="00FB0C75">
      <w:pPr>
        <w:pStyle w:val="Textstand-alone"/>
      </w:pPr>
      <w:r>
        <w:t>Conformément à l’article </w:t>
      </w:r>
      <w:r w:rsidRPr="00031A85">
        <w:t>83</w:t>
      </w:r>
      <w:r>
        <w:t xml:space="preserve"> du statut, le paiement des prestations prévues au régime de pension du personnel constitue une dépense dans le budget de l’UE. Le régime n’est pas financé, mais les États membres garantissent le paiement de ces prestations de manière collective. Une contribution obligatoire au régime des pensions, actuellement fixée à </w:t>
      </w:r>
      <w:r w:rsidRPr="00031A85">
        <w:t>9</w:t>
      </w:r>
      <w:r>
        <w:t>,</w:t>
      </w:r>
      <w:r w:rsidRPr="00031A85">
        <w:t>8</w:t>
      </w:r>
      <w:r>
        <w:t> %, est déduite du traitement de base des membres actifs. Ces contributions sont considérées comme des recettes budgétaires de l’exercice et contribuent au financement des dépenses de l’UE en général, voir également la note </w:t>
      </w:r>
      <w:r w:rsidRPr="00031A85">
        <w:rPr>
          <w:b/>
        </w:rPr>
        <w:t>3</w:t>
      </w:r>
      <w:r>
        <w:rPr>
          <w:b/>
        </w:rPr>
        <w:t>.</w:t>
      </w:r>
      <w:r w:rsidRPr="00031A85">
        <w:rPr>
          <w:b/>
        </w:rPr>
        <w:t>6</w:t>
      </w:r>
      <w:r>
        <w:t>.</w:t>
      </w:r>
    </w:p>
    <w:p w:rsidR="00FB0C75" w:rsidRDefault="00525E53" w:rsidP="00FB0C75">
      <w:pPr>
        <w:pStyle w:val="Textstand-alone"/>
      </w:pPr>
      <w:r>
        <w:t xml:space="preserve">Le passif du régime des pensions a été évalué sur la base du nombre de fonctionnaires actifs et retraités au </w:t>
      </w:r>
      <w:r w:rsidRPr="00031A85">
        <w:t>31</w:t>
      </w:r>
      <w:r>
        <w:t xml:space="preserve"> décembre </w:t>
      </w:r>
      <w:r w:rsidRPr="00031A85">
        <w:t>2016</w:t>
      </w:r>
      <w:r>
        <w:t xml:space="preserve"> et des dispositions du statut en vigueur à cette date. Cette évaluation a été effectuée selon la méthodologie de la norme IPSAS </w:t>
      </w:r>
      <w:r w:rsidRPr="00031A85">
        <w:t>25</w:t>
      </w:r>
      <w:r>
        <w:t xml:space="preserve"> (et par conséquent de la règle comptable </w:t>
      </w:r>
      <w:r w:rsidRPr="00031A85">
        <w:t>12</w:t>
      </w:r>
      <w:r>
        <w:t xml:space="preserve"> de l’UE). En </w:t>
      </w:r>
      <w:r w:rsidRPr="00031A85">
        <w:t>2016</w:t>
      </w:r>
      <w:r>
        <w:t>, la Commission a pris des mesures pour renforcer les processus et la fiabilité de la collecte des données de base utilisées pour calculer le passif lié aux avantages du personnel. Elle poursuivra ses travaux en </w:t>
      </w:r>
      <w:r w:rsidRPr="00031A85">
        <w:t>2017</w:t>
      </w:r>
      <w:r>
        <w:t xml:space="preserve"> – les résultats possibles, le cas échéant, se refléteront dans les comptes de l’exercice </w:t>
      </w:r>
      <w:r w:rsidRPr="00031A85">
        <w:t>2017</w:t>
      </w:r>
      <w:r>
        <w:t>.</w:t>
      </w:r>
    </w:p>
    <w:p w:rsidR="00FB0C75" w:rsidRDefault="00525E53" w:rsidP="00FB0C75">
      <w:pPr>
        <w:pStyle w:val="HEADER3Part2"/>
      </w:pPr>
      <w:r>
        <w:t>Autres régimes de prestations de retraite</w:t>
      </w:r>
    </w:p>
    <w:p w:rsidR="00FB0C75" w:rsidRDefault="00525E53" w:rsidP="00FB0C75">
      <w:pPr>
        <w:pStyle w:val="Textstand-alone"/>
      </w:pPr>
      <w:r>
        <w:t>Cette rubrique comprend les obligations de pension envers les membres et anciens membres de la Commission, de la Cour de justice (et du Tribunal) et de la Cour des comptes, les secrétaires généraux du Conseil, le Médiateur européen, le Contrôleur européen de la protection des données et les membres du Tribunal de la fonction publique européenne. Y figurent également les obligations de pension envers certains membres du Parlement européen.</w:t>
      </w:r>
    </w:p>
    <w:p w:rsidR="00FB0C75" w:rsidRDefault="00525E53" w:rsidP="00FB0C75">
      <w:pPr>
        <w:pStyle w:val="HEADER3Part2"/>
      </w:pPr>
      <w:r>
        <w:t>Régime commun d’assurance-maladie</w:t>
      </w:r>
    </w:p>
    <w:p w:rsidR="00FB0C75" w:rsidRDefault="00525E53" w:rsidP="00FB0C75">
      <w:pPr>
        <w:pStyle w:val="Textstand-alone"/>
      </w:pPr>
      <w:r>
        <w:t xml:space="preserve">Outre les régimes de prestations de retraite susmentionnés, un calcul est effectué pour évaluer le passif que l’UE devra assumer au titre du régime commun d’assurance-maladie en ce qui concerne les dépenses de santé qui doivent être payées pendant les périodes postérieures au départ des membres du personnel (déduction faite de leur contribution). </w:t>
      </w:r>
    </w:p>
    <w:p w:rsidR="00FB0C75" w:rsidRDefault="00FB0C75" w:rsidP="00FB0C75">
      <w:pPr>
        <w:pStyle w:val="Textstand-alone"/>
        <w:spacing w:before="0" w:after="0"/>
      </w:pPr>
    </w:p>
    <w:p w:rsidR="00FB0C75" w:rsidRDefault="00FB0C75" w:rsidP="00FB0C75">
      <w:pPr>
        <w:pStyle w:val="HEADER5"/>
        <w:sectPr w:rsidR="00FB0C75" w:rsidSect="00FB0C75">
          <w:headerReference w:type="even" r:id="rId202"/>
          <w:headerReference w:type="default" r:id="rId203"/>
          <w:footerReference w:type="even" r:id="rId204"/>
          <w:footerReference w:type="default" r:id="rId205"/>
          <w:headerReference w:type="first" r:id="rId206"/>
          <w:footerReference w:type="first" r:id="rId207"/>
          <w:type w:val="continuous"/>
          <w:pgSz w:w="11906" w:h="16838"/>
          <w:pgMar w:top="1134" w:right="1134" w:bottom="1134" w:left="1134" w:header="709" w:footer="709" w:gutter="0"/>
          <w:cols w:space="708"/>
          <w:docGrid w:linePitch="360"/>
        </w:sectPr>
      </w:pPr>
    </w:p>
    <w:p w:rsidR="00D933E4" w:rsidRDefault="00D933E4" w:rsidP="00FB0C75">
      <w:pPr>
        <w:pStyle w:val="HEADER5"/>
        <w:rPr>
          <w:b w:val="0"/>
        </w:rPr>
      </w:pPr>
    </w:p>
    <w:p w:rsidR="00D933E4" w:rsidRDefault="00D933E4" w:rsidP="00FB0C75">
      <w:pPr>
        <w:pStyle w:val="HEADER5"/>
        <w:rPr>
          <w:b w:val="0"/>
        </w:rPr>
      </w:pPr>
    </w:p>
    <w:p w:rsidR="00D933E4" w:rsidRDefault="00D933E4" w:rsidP="00FB0C75">
      <w:pPr>
        <w:pStyle w:val="HEADER5"/>
        <w:rPr>
          <w:b w:val="0"/>
        </w:rPr>
      </w:pPr>
    </w:p>
    <w:p w:rsidR="00FB0C75" w:rsidRPr="00BD1908" w:rsidRDefault="00525E53" w:rsidP="00FB0C75">
      <w:pPr>
        <w:pStyle w:val="HEADER5"/>
        <w:rPr>
          <w:b w:val="0"/>
        </w:rPr>
      </w:pPr>
      <w:r>
        <w:rPr>
          <w:b w:val="0"/>
        </w:rPr>
        <w:t>Évolution de la valeur actuelle de l’obligation au titre des prestations définies pour les avantages du personnel</w:t>
      </w:r>
    </w:p>
    <w:p w:rsidR="00FB0C75" w:rsidRPr="00271FB3" w:rsidRDefault="00FB0C75" w:rsidP="00FB0C75">
      <w:pPr>
        <w:pStyle w:val="HEADER5"/>
        <w:rPr>
          <w:b w:val="0"/>
        </w:rPr>
      </w:pPr>
    </w:p>
    <w:p w:rsidR="00FB0C75" w:rsidRDefault="00525E53" w:rsidP="00FB0C75">
      <w:pPr>
        <w:pStyle w:val="Textstand-alone"/>
        <w:spacing w:before="0" w:after="0"/>
      </w:pPr>
      <w:r>
        <w:t xml:space="preserve">La valeur actuelle de l’obligation au titre de prestations définies est la valeur actualisée, sans déduction des actifs du régime, des paiements futurs qui devraient être nécessaires pour régler l’obligation résultant des services rendus par les membres du personnel pendant la période considérée et les périodes antérieures. </w:t>
      </w:r>
    </w:p>
    <w:p w:rsidR="00FB0C75" w:rsidRDefault="00525E53" w:rsidP="00FB0C75">
      <w:pPr>
        <w:pStyle w:val="Textstand-alone"/>
        <w:spacing w:before="0" w:after="0"/>
      </w:pPr>
      <w:r>
        <w:t xml:space="preserve"> </w:t>
      </w:r>
    </w:p>
    <w:p w:rsidR="00FB0C75" w:rsidRDefault="00525E53" w:rsidP="00FB0C75">
      <w:pPr>
        <w:pStyle w:val="Textstand-alone"/>
        <w:spacing w:before="0" w:after="0"/>
      </w:pPr>
      <w:r>
        <w:t>Une analyse de l’évolution de l’obligation au titre des prestations définies pour l’exercice en cours est présentée ci-dessous:</w:t>
      </w:r>
    </w:p>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8" w:name="DOC_TBL00035_1_1"/>
            <w:bookmarkEnd w:id="238"/>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 xml:space="preserve">Régime de pension des fonctionnaires européens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Autres régimes de prestations de retraite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Régime commun d’assurance-maladie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Total</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Valeur actuelle au </w:t>
            </w:r>
            <w:r w:rsidRPr="00031A85">
              <w:t>31</w:t>
            </w:r>
            <w:r>
              <w:t>.</w:t>
            </w:r>
            <w:r w:rsidRPr="00031A85">
              <w:t>12</w:t>
            </w:r>
            <w:r>
              <w:t>.</w:t>
            </w:r>
            <w:r w:rsidRPr="00031A85">
              <w:t>2015</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54</w:t>
            </w:r>
            <w:r>
              <w:t xml:space="preserve"> </w:t>
            </w:r>
            <w:r w:rsidRPr="00031A85">
              <w:t>967</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613</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7</w:t>
            </w:r>
            <w:r>
              <w:t xml:space="preserve"> </w:t>
            </w:r>
            <w:r w:rsidRPr="00031A85">
              <w:t>662</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64</w:t>
            </w:r>
            <w:r>
              <w:t xml:space="preserve"> </w:t>
            </w:r>
            <w:r w:rsidRPr="00031A85">
              <w:t>242</w:t>
            </w:r>
          </w:p>
        </w:tc>
      </w:tr>
      <w:tr w:rsidR="005B4EEC">
        <w:trPr>
          <w:cantSplit/>
        </w:trPr>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Coût des services rendus au cours de la période</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267</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634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Coût financier</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264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29</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161</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454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Écarts actuariels nets</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142</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039</w:t>
            </w: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251</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Contributions des membres</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Prestations servies</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330</w:t>
            </w: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44</w:t>
            </w: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55</w:t>
            </w: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429</w:t>
            </w:r>
            <w:r>
              <w:t>)</w:t>
            </w:r>
          </w:p>
        </w:tc>
      </w:tr>
      <w:tr w:rsidR="005B4EEC">
        <w:trPr>
          <w:cantSplit/>
        </w:trPr>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Augmentation/(diminution) du passif en raison des taxes sur les pensions</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565</w:t>
            </w: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513</w:t>
            </w:r>
            <w:r>
              <w:t>)</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Valeur actuelle au </w:t>
            </w:r>
            <w:r w:rsidRPr="00031A85">
              <w:t>31</w:t>
            </w:r>
            <w:r>
              <w:t>.</w:t>
            </w:r>
            <w:r w:rsidRPr="00031A85">
              <w:t>12</w:t>
            </w:r>
            <w:r>
              <w:t>.</w:t>
            </w:r>
            <w:r w:rsidRPr="00031A85">
              <w:t>2016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58</w:t>
            </w:r>
            <w:r>
              <w:t xml:space="preserve"> </w:t>
            </w:r>
            <w:r w:rsidRPr="00031A85">
              <w:t>746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882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7</w:t>
            </w:r>
            <w:r>
              <w:t xml:space="preserve"> </w:t>
            </w:r>
            <w:r w:rsidRPr="00031A85">
              <w:t>036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664</w:t>
            </w:r>
          </w:p>
        </w:tc>
      </w:tr>
    </w:tbl>
    <w:p w:rsidR="00FB0C75" w:rsidRDefault="00525E53" w:rsidP="00FB0C75">
      <w:pPr>
        <w:pStyle w:val="Textstand-alone"/>
        <w:spacing w:before="0" w:after="0"/>
      </w:pPr>
      <w:r>
        <w:t xml:space="preserve"> </w:t>
      </w:r>
    </w:p>
    <w:p w:rsidR="00FB0C75" w:rsidRDefault="00525E53" w:rsidP="00BD76EF">
      <w:pPr>
        <w:jc w:val="both"/>
        <w:rPr>
          <w:rFonts w:ascii="Verdana" w:hAnsi="Verdana"/>
          <w:sz w:val="18"/>
        </w:rPr>
      </w:pPr>
      <w:r>
        <w:rPr>
          <w:rFonts w:ascii="Verdana" w:hAnsi="Verdana"/>
          <w:sz w:val="18"/>
        </w:rPr>
        <w:t xml:space="preserve">Le coût des services rendus au cours de la période désigne l’accroissement de la valeur actuelle de l’obligation au titre des prestations définies résultant des services rendus par les membres du personnel au cours de la période considérée. </w:t>
      </w:r>
    </w:p>
    <w:p w:rsidR="00FB0C75" w:rsidRDefault="00FB0C75" w:rsidP="00FB0C75">
      <w:pPr>
        <w:rPr>
          <w:rFonts w:ascii="Verdana" w:hAnsi="Verdana"/>
          <w:sz w:val="18"/>
        </w:rPr>
      </w:pPr>
    </w:p>
    <w:p w:rsidR="00FB0C75" w:rsidRDefault="00525E53" w:rsidP="00BD76EF">
      <w:pPr>
        <w:jc w:val="both"/>
        <w:rPr>
          <w:rFonts w:ascii="Verdana" w:hAnsi="Verdana"/>
          <w:sz w:val="18"/>
        </w:rPr>
      </w:pPr>
      <w:r>
        <w:rPr>
          <w:rFonts w:ascii="Verdana" w:hAnsi="Verdana"/>
          <w:sz w:val="18"/>
        </w:rPr>
        <w:t xml:space="preserve">Le coût financier désigne l’accroissement, au cours d’une période, de la valeur actuelle de l’obligation au titre des prestations définies résultant du fait que l’on s’est rapproché de la date de règlement des prestations d’une période. </w:t>
      </w:r>
    </w:p>
    <w:p w:rsidR="00FB0C75" w:rsidRPr="001903C4" w:rsidRDefault="00FB0C75" w:rsidP="00BD76EF">
      <w:pPr>
        <w:jc w:val="both"/>
        <w:rPr>
          <w:rFonts w:ascii="Verdana" w:hAnsi="Verdana"/>
          <w:sz w:val="18"/>
        </w:rPr>
      </w:pPr>
    </w:p>
    <w:p w:rsidR="00FB0C75" w:rsidRPr="001903C4" w:rsidRDefault="00525E53" w:rsidP="00BD76EF">
      <w:pPr>
        <w:spacing w:after="120"/>
        <w:jc w:val="both"/>
        <w:rPr>
          <w:rFonts w:ascii="Verdana" w:hAnsi="Verdana"/>
          <w:sz w:val="18"/>
        </w:rPr>
      </w:pPr>
      <w:r>
        <w:rPr>
          <w:rFonts w:ascii="Verdana" w:hAnsi="Verdana"/>
          <w:sz w:val="18"/>
        </w:rPr>
        <w:t>Les écarts actuariels nets comprennent:</w:t>
      </w:r>
    </w:p>
    <w:p w:rsidR="00FB0C75" w:rsidRDefault="00525E53" w:rsidP="00BD76EF">
      <w:pPr>
        <w:pStyle w:val="ListParagraph"/>
        <w:numPr>
          <w:ilvl w:val="0"/>
          <w:numId w:val="10"/>
        </w:numPr>
        <w:jc w:val="both"/>
        <w:rPr>
          <w:rFonts w:ascii="Verdana" w:hAnsi="Verdana"/>
          <w:sz w:val="18"/>
        </w:rPr>
      </w:pPr>
      <w:r>
        <w:rPr>
          <w:rFonts w:ascii="Verdana" w:hAnsi="Verdana"/>
          <w:sz w:val="18"/>
        </w:rPr>
        <w:t xml:space="preserve">les ajustements liés à l’expérience (l'effet des écarts entre les hypothèses actuarielles antérieures pour </w:t>
      </w:r>
      <w:r w:rsidRPr="00031A85">
        <w:rPr>
          <w:rFonts w:ascii="Verdana" w:hAnsi="Verdana"/>
          <w:sz w:val="18"/>
        </w:rPr>
        <w:t>2016</w:t>
      </w:r>
      <w:r>
        <w:rPr>
          <w:rFonts w:ascii="Verdana" w:hAnsi="Verdana"/>
          <w:sz w:val="18"/>
        </w:rPr>
        <w:t xml:space="preserve"> et ce qui s’est effectivement produit en </w:t>
      </w:r>
      <w:r w:rsidRPr="00031A85">
        <w:rPr>
          <w:rFonts w:ascii="Verdana" w:hAnsi="Verdana"/>
          <w:sz w:val="18"/>
        </w:rPr>
        <w:t>2016</w:t>
      </w:r>
      <w:r>
        <w:rPr>
          <w:rFonts w:ascii="Verdana" w:hAnsi="Verdana"/>
          <w:sz w:val="18"/>
        </w:rPr>
        <w:t>), et</w:t>
      </w:r>
    </w:p>
    <w:p w:rsidR="00D933E4" w:rsidRPr="00D933E4" w:rsidRDefault="00D933E4" w:rsidP="00BD76EF">
      <w:pPr>
        <w:pStyle w:val="ListParagraph"/>
        <w:jc w:val="both"/>
        <w:rPr>
          <w:rFonts w:ascii="Verdana" w:hAnsi="Verdana"/>
          <w:sz w:val="18"/>
        </w:rPr>
      </w:pPr>
    </w:p>
    <w:p w:rsidR="00FB0C75" w:rsidRPr="001903C4" w:rsidRDefault="00525E53" w:rsidP="00BD76EF">
      <w:pPr>
        <w:pStyle w:val="ListParagraph"/>
        <w:numPr>
          <w:ilvl w:val="0"/>
          <w:numId w:val="10"/>
        </w:numPr>
        <w:spacing w:before="120" w:after="120"/>
        <w:jc w:val="both"/>
        <w:rPr>
          <w:rFonts w:ascii="Verdana" w:hAnsi="Verdana"/>
          <w:sz w:val="18"/>
        </w:rPr>
      </w:pPr>
      <w:r>
        <w:rPr>
          <w:rFonts w:ascii="Verdana" w:hAnsi="Verdana"/>
          <w:sz w:val="18"/>
        </w:rPr>
        <w:t>l’effet des changements d’hypothèses actuarielles, qu’elles soient financières (augmentations de salaire prévues) ou démographiques (taux de mortalité). Ces hypothèses sont par nature incertaines et peuvent donc connaître des évolutions importantes d’une année à l’autre.</w:t>
      </w:r>
    </w:p>
    <w:p w:rsidR="00FB0C75" w:rsidRPr="001903C4" w:rsidRDefault="00525E53" w:rsidP="00BD76EF">
      <w:pPr>
        <w:jc w:val="both"/>
        <w:rPr>
          <w:rFonts w:ascii="Verdana" w:hAnsi="Verdana"/>
          <w:sz w:val="18"/>
        </w:rPr>
      </w:pPr>
      <w:r>
        <w:rPr>
          <w:rFonts w:ascii="Verdana" w:hAnsi="Verdana"/>
          <w:sz w:val="18"/>
        </w:rPr>
        <w:t>Les prestations sont versées au cours de l’exercice selon les règles du régime. Ces prestations servies conduisent à une diminution de l’obligation au titre des prestations définies car elles ne sont plus à payer à l’avenir.</w:t>
      </w:r>
    </w:p>
    <w:p w:rsidR="00FB0C75" w:rsidRPr="005F78E6" w:rsidRDefault="00FB0C75" w:rsidP="00BD76EF">
      <w:pPr>
        <w:jc w:val="both"/>
        <w:rPr>
          <w:rFonts w:ascii="Verdana" w:hAnsi="Verdana"/>
          <w:sz w:val="18"/>
        </w:rPr>
      </w:pPr>
    </w:p>
    <w:p w:rsidR="00FB0C75" w:rsidRPr="00BD1908" w:rsidRDefault="00525E53" w:rsidP="00BD76EF">
      <w:pPr>
        <w:pStyle w:val="HEADER5"/>
        <w:jc w:val="both"/>
        <w:rPr>
          <w:b w:val="0"/>
        </w:rPr>
      </w:pPr>
      <w:r>
        <w:rPr>
          <w:b w:val="0"/>
        </w:rPr>
        <w:t>Hypothèses actuarielles – Avantages du personnel</w:t>
      </w:r>
    </w:p>
    <w:p w:rsidR="00FB0C75" w:rsidRPr="00A33832" w:rsidRDefault="00525E53" w:rsidP="00BD76EF">
      <w:pPr>
        <w:pStyle w:val="Textstand-alone"/>
        <w:spacing w:before="120"/>
      </w:pPr>
      <w:r>
        <w:t>Les principales hypothèses actuarielles utilisées dans l’évaluation des deux principaux régimes d’avantages du personnel de l’UE sont présentées ci-dessous: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bookmarkStart w:id="239" w:name="DOC_TBL00036_1_1"/>
            <w:bookmarkEnd w:id="239"/>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Régime de pension des fonctionnaires européens</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Régime commun d’assurance-maladie</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sidRPr="00031A85">
              <w:t>2016</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Taux d’actualisation nominal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7</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9</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Taux d’inflation anticipé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4</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5</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d’actualisation réel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r>
              <w:t>,</w:t>
            </w:r>
            <w:r w:rsidRPr="00031A85">
              <w:t>3</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r>
              <w:t>,</w:t>
            </w:r>
            <w:r w:rsidRPr="00031A85">
              <w:t>4</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d’augmentations salariales attendu</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2</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1</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d’évolution des coûts médicaux</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s.o.</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w:t>
            </w:r>
            <w:r w:rsidRPr="00031A85">
              <w:t>0</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Âge de la retraite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63</w:t>
            </w:r>
            <w:r>
              <w:t>/</w:t>
            </w:r>
            <w:r w:rsidRPr="00031A85">
              <w:t>64</w:t>
            </w:r>
            <w:r>
              <w:t>/</w:t>
            </w:r>
            <w:r w:rsidRPr="00031A85">
              <w:t>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63</w:t>
            </w:r>
            <w:r>
              <w:t>/</w:t>
            </w:r>
            <w:r w:rsidRPr="00031A85">
              <w:t>64</w:t>
            </w:r>
            <w:r>
              <w:t>/</w:t>
            </w:r>
            <w:r w:rsidRPr="00031A85">
              <w:t>66</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sidRPr="00031A85">
              <w:t>2015</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Taux d’actualisation nominal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w:t>
            </w:r>
            <w:r w:rsidRPr="00031A85">
              <w:t>0</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w:t>
            </w:r>
            <w:r w:rsidRPr="00031A85">
              <w:t>1</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Taux d’inflation anticipé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4</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4</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d’actualisation réel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r>
              <w:t>,</w:t>
            </w:r>
            <w:r w:rsidRPr="00031A85">
              <w:t>6</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0</w:t>
            </w:r>
            <w:r>
              <w:t>,</w:t>
            </w:r>
            <w:r w:rsidRPr="00031A85">
              <w:t>7</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d’augmentations salariales attendu</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2</w:t>
            </w:r>
            <w:r>
              <w:t>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w:t>
            </w:r>
            <w:r w:rsidRPr="00031A85">
              <w:t>2</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Taux d’évolution des coûts médicaux</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s.o.</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w:t>
            </w:r>
            <w:r w:rsidRPr="00031A85">
              <w:t>0</w:t>
            </w:r>
            <w:r>
              <w:t>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Âge de la retraite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63</w:t>
            </w:r>
            <w:r>
              <w:t>/</w:t>
            </w:r>
            <w:r w:rsidRPr="00031A85">
              <w:t>64</w:t>
            </w:r>
            <w:r>
              <w:t>/</w:t>
            </w:r>
            <w:r w:rsidRPr="00031A85">
              <w:t>65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63</w:t>
            </w:r>
            <w:r>
              <w:t>/</w:t>
            </w:r>
            <w:r w:rsidRPr="00031A85">
              <w:t>64</w:t>
            </w:r>
            <w:r>
              <w:t>/</w:t>
            </w:r>
            <w:r w:rsidRPr="00031A85">
              <w:t>66</w:t>
            </w:r>
          </w:p>
        </w:tc>
      </w:tr>
    </w:tbl>
    <w:p w:rsidR="00FB0C75" w:rsidRPr="00180B36" w:rsidRDefault="00525E53" w:rsidP="00FB0C75">
      <w:pPr>
        <w:pStyle w:val="Textstand-alone"/>
      </w:pPr>
      <w:r>
        <w:t>Les taux de mortalité sont fondés sur la table de mortalité des fonctionnaires internationaux (ICSLT </w:t>
      </w:r>
      <w:r w:rsidRPr="00031A85">
        <w:t>2013</w:t>
      </w:r>
      <w:r>
        <w:t>).</w:t>
      </w:r>
    </w:p>
    <w:p w:rsidR="00FB0C75" w:rsidRDefault="00525E53" w:rsidP="00FB0C75">
      <w:pPr>
        <w:pStyle w:val="Textstand-alone"/>
      </w:pPr>
      <w:r>
        <w:t xml:space="preserve">Le taux d’actualisation nominal est déterminé comme étant la valeur du rendement des obligations à coupon zéro en euros [avec une échéance à </w:t>
      </w:r>
      <w:r w:rsidRPr="00031A85">
        <w:t>21</w:t>
      </w:r>
      <w:r>
        <w:t> ans à partir de décembre </w:t>
      </w:r>
      <w:r w:rsidRPr="00031A85">
        <w:t>2016</w:t>
      </w:r>
      <w:r>
        <w:t xml:space="preserve"> pour le régime de pensions des fonctionnaires européens (PSEO), et à </w:t>
      </w:r>
      <w:r w:rsidRPr="00031A85">
        <w:t>26</w:t>
      </w:r>
      <w:r>
        <w:t> ans pour le régime commun d’assurance-maladie]. Le taux d’inflation utilisé est le taux d’inflation anticipé sur la période équivalente. Il doit être déterminé de manière empirique, sur la base de valeurs prospectives exprimées par des obligations indexées sur les marchés financiers européens. Le taux d’actualisation réel est calculé à partir du taux d’actualisation nominal et du taux d’inflation anticipé à long terme.</w:t>
      </w:r>
    </w:p>
    <w:p w:rsidR="00FB0C75" w:rsidRPr="00BD1908" w:rsidRDefault="00525E53" w:rsidP="00FB0C75">
      <w:pPr>
        <w:pStyle w:val="HEADER5"/>
        <w:rPr>
          <w:b w:val="0"/>
        </w:rPr>
      </w:pPr>
      <w:r>
        <w:rPr>
          <w:b w:val="0"/>
        </w:rPr>
        <w:t>Évolution de la valeur actuelle des actifs du régime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0" w:name="DOC_TBL00037_1_1"/>
            <w:bookmarkEnd w:id="240"/>
          </w:p>
        </w:tc>
        <w:tc>
          <w:tcPr>
            <w:tcW w:w="2551" w:type="dxa"/>
            <w:tcBorders>
              <w:top w:val="nil"/>
              <w:left w:val="nil"/>
              <w:bottom w:val="nil"/>
              <w:right w:val="nil"/>
            </w:tcBorders>
            <w:tcMar>
              <w:top w:w="0" w:type="dxa"/>
              <w:left w:w="108" w:type="dxa"/>
              <w:bottom w:w="0" w:type="dxa"/>
              <w:right w:w="108" w:type="dxa"/>
            </w:tcMar>
          </w:tcPr>
          <w:p w:rsidR="00FB0C75" w:rsidRDefault="00FB0C75" w:rsidP="00FB0C75"/>
        </w:tc>
        <w:tc>
          <w:tcPr>
            <w:tcW w:w="2552" w:type="dxa"/>
            <w:tcBorders>
              <w:top w:val="nil"/>
              <w:left w:val="nil"/>
              <w:bottom w:val="nil"/>
              <w:right w:val="nil"/>
            </w:tcBorders>
            <w:tcMar>
              <w:top w:w="0" w:type="dxa"/>
              <w:left w:w="108" w:type="dxa"/>
              <w:bottom w:w="0" w:type="dxa"/>
              <w:right w:w="108" w:type="dxa"/>
            </w:tcMar>
          </w:tcPr>
          <w:p w:rsidR="00FB0C75" w:rsidRDefault="00FB0C75" w:rsidP="00FB0C75"/>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Autres régimes de prestations de retraite</w:t>
            </w:r>
          </w:p>
        </w:tc>
        <w:tc>
          <w:tcPr>
            <w:tcW w:w="255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Régime commun d’assurance-maladie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Total</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Valeur actuelle au </w:t>
            </w:r>
            <w:r w:rsidRPr="00031A85">
              <w:t>31</w:t>
            </w:r>
            <w:r>
              <w:t>.</w:t>
            </w:r>
            <w:r w:rsidRPr="00031A85">
              <w:t>12</w:t>
            </w:r>
            <w:r>
              <w:t>.</w:t>
            </w:r>
            <w:r w:rsidRPr="00031A85">
              <w:t>2015</w:t>
            </w:r>
          </w:p>
        </w:tc>
        <w:tc>
          <w:tcPr>
            <w:tcW w:w="25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149</w:t>
            </w:r>
          </w:p>
        </w:tc>
        <w:tc>
          <w:tcPr>
            <w:tcW w:w="255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280</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428</w:t>
            </w:r>
          </w:p>
        </w:tc>
      </w:tr>
      <w:tr w:rsidR="005B4EEC">
        <w:trPr>
          <w:cantSplit/>
        </w:trPr>
        <w:tc>
          <w:tcPr>
            <w:tcW w:w="322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Évolution nette des actifs du régime</w:t>
            </w:r>
          </w:p>
        </w:tc>
        <w:tc>
          <w:tcPr>
            <w:tcW w:w="2551"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r>
              <w:t>)</w:t>
            </w:r>
          </w:p>
        </w:tc>
        <w:tc>
          <w:tcPr>
            <w:tcW w:w="25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w:t>
            </w:r>
          </w:p>
        </w:tc>
        <w:tc>
          <w:tcPr>
            <w:tcW w:w="141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Valeur actuelle au </w:t>
            </w:r>
            <w:r w:rsidRPr="00031A85">
              <w:t>31</w:t>
            </w:r>
            <w:r>
              <w:t>.</w:t>
            </w:r>
            <w:r w:rsidRPr="00031A85">
              <w:t>12</w:t>
            </w:r>
            <w:r>
              <w:t>.</w:t>
            </w:r>
            <w:r w:rsidRPr="00031A85">
              <w:t>2016</w:t>
            </w:r>
          </w:p>
        </w:tc>
        <w:tc>
          <w:tcPr>
            <w:tcW w:w="25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139</w:t>
            </w:r>
          </w:p>
        </w:tc>
        <w:tc>
          <w:tcPr>
            <w:tcW w:w="25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293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432</w:t>
            </w:r>
          </w:p>
        </w:tc>
      </w:tr>
    </w:tbl>
    <w:p w:rsidR="00FB0C75" w:rsidRDefault="00FB0C75" w:rsidP="00FB0C75">
      <w:pPr>
        <w:pStyle w:val="Textstand-alone"/>
        <w:spacing w:before="0" w:after="0"/>
      </w:pPr>
    </w:p>
    <w:p w:rsidR="00FB0C75" w:rsidRDefault="00FB0C75" w:rsidP="00FB0C75">
      <w:pPr>
        <w:pStyle w:val="Textstand-alone"/>
        <w:spacing w:before="0" w:after="0"/>
      </w:pPr>
    </w:p>
    <w:p w:rsidR="00FB0C75" w:rsidRPr="00BD1908" w:rsidRDefault="00525E53" w:rsidP="00FB0C75">
      <w:pPr>
        <w:pStyle w:val="HEADER5"/>
        <w:rPr>
          <w:b w:val="0"/>
        </w:rPr>
      </w:pPr>
      <w:r>
        <w:rPr>
          <w:b w:val="0"/>
        </w:rPr>
        <w:t xml:space="preserve">Tendance sur </w:t>
      </w:r>
      <w:r w:rsidRPr="00031A85">
        <w:rPr>
          <w:b w:val="0"/>
        </w:rPr>
        <w:t>5</w:t>
      </w:r>
      <w:r>
        <w:rPr>
          <w:b w:val="0"/>
        </w:rPr>
        <w:t> ans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1" w:name="DOC_TBL00038_1_1"/>
            <w:bookmarkEnd w:id="241"/>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2012</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2013</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2014</w:t>
            </w:r>
          </w:p>
        </w:tc>
        <w:tc>
          <w:tcPr>
            <w:tcW w:w="127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 lié aux avantages du personnel</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42</w:t>
            </w:r>
            <w:r>
              <w:t xml:space="preserve"> </w:t>
            </w:r>
            <w:r w:rsidRPr="00031A85">
              <w:t>503</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46</w:t>
            </w:r>
            <w:r>
              <w:t xml:space="preserve"> </w:t>
            </w:r>
            <w:r w:rsidRPr="00031A85">
              <w:t>818</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58</w:t>
            </w:r>
            <w:r>
              <w:t xml:space="preserve"> </w:t>
            </w:r>
            <w:r w:rsidRPr="00031A85">
              <w:t>616</w:t>
            </w:r>
          </w:p>
        </w:tc>
        <w:tc>
          <w:tcPr>
            <w:tcW w:w="127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63</w:t>
            </w:r>
            <w:r>
              <w:t xml:space="preserve"> </w:t>
            </w:r>
            <w:r w:rsidRPr="00031A85">
              <w:t>814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67</w:t>
            </w:r>
            <w:r>
              <w:t xml:space="preserve"> </w:t>
            </w:r>
            <w:r w:rsidRPr="00031A85">
              <w:t>231</w:t>
            </w:r>
          </w:p>
        </w:tc>
      </w:tr>
    </w:tbl>
    <w:p w:rsidR="00FB0C75" w:rsidRDefault="00FB0C75" w:rsidP="00FB0C75">
      <w:pPr>
        <w:pStyle w:val="Textstand-alone"/>
        <w:spacing w:before="0" w:after="0"/>
      </w:pPr>
    </w:p>
    <w:p w:rsidR="00FB0C75" w:rsidRPr="00DD17B0" w:rsidRDefault="00525E53" w:rsidP="00FB0C75">
      <w:pPr>
        <w:pStyle w:val="Textstand-alone"/>
      </w:pPr>
      <w:r>
        <w:t xml:space="preserve">La forte augmentation du passif lié aux avantages du personnel au cours des cinq années peut en grande partie être expliquée par une réduction du taux d’actualisation réel utilisé pour actualiser les flux de trésorerie futurs. Cette réduction est liée aux conditions économiques sous-jacentes, en particulier à la baisse des taux d’intérêt. Pour le régime PSEO principal, par exemple, le taux d’actualisation réel a chuté pour passer de </w:t>
      </w:r>
      <w:r w:rsidRPr="00031A85">
        <w:t>1</w:t>
      </w:r>
      <w:r>
        <w:t>,</w:t>
      </w:r>
      <w:r w:rsidRPr="00031A85">
        <w:t>6</w:t>
      </w:r>
      <w:r>
        <w:t xml:space="preserve"> % fin </w:t>
      </w:r>
      <w:r w:rsidRPr="00031A85">
        <w:t>2012</w:t>
      </w:r>
      <w:r>
        <w:t xml:space="preserve"> à </w:t>
      </w:r>
      <w:r w:rsidRPr="00031A85">
        <w:t>0</w:t>
      </w:r>
      <w:r>
        <w:t>,</w:t>
      </w:r>
      <w:r w:rsidRPr="00031A85">
        <w:t>3</w:t>
      </w:r>
      <w:r>
        <w:t> % fin </w:t>
      </w:r>
      <w:r w:rsidRPr="00031A85">
        <w:t>2016</w:t>
      </w:r>
      <w:r>
        <w:t>.</w:t>
      </w:r>
    </w:p>
    <w:p w:rsidR="00FB0C75" w:rsidRPr="00BD1908" w:rsidRDefault="00525E53" w:rsidP="00FB0C75">
      <w:pPr>
        <w:pStyle w:val="HEADER5"/>
        <w:rPr>
          <w:b w:val="0"/>
        </w:rPr>
      </w:pPr>
      <w:r>
        <w:rPr>
          <w:b w:val="0"/>
        </w:rPr>
        <w:t>Montants portés au compte de résultat économique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2" w:name="DOC_TBL00039_1_1"/>
            <w:bookmarkEnd w:id="242"/>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Régime de pension des fonctionnaires européens</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Autres régimes de prestations de retraite</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Régime commun d’assurance-maladie</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Total</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sidRPr="00031A85">
              <w:t>2016</w:t>
            </w: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Coût des services rendus au cours de la période</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042</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97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283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422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Coût financier</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w:t>
            </w:r>
            <w:r>
              <w:rPr>
                <w:i/>
              </w:rPr>
              <w:t xml:space="preserve"> </w:t>
            </w:r>
            <w:r w:rsidRPr="00031A85">
              <w:rPr>
                <w:i/>
              </w:rPr>
              <w:t>138</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33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161</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w:t>
            </w:r>
            <w:r>
              <w:rPr>
                <w:i/>
              </w:rPr>
              <w:t xml:space="preserve"> </w:t>
            </w:r>
            <w:r w:rsidRPr="00031A85">
              <w:rPr>
                <w:i/>
              </w:rPr>
              <w:t>332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Coût des services passés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r>
      <w:tr w:rsidR="005B4EEC">
        <w:trPr>
          <w:cantSplit/>
        </w:trPr>
        <w:tc>
          <w:tcPr>
            <w:tcW w:w="379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Variation des actifs du régime</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w:t>
            </w:r>
            <w:r>
              <w:t>)</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45</w:t>
            </w:r>
            <w:r>
              <w:t>)</w:t>
            </w:r>
          </w:p>
        </w:tc>
        <w:tc>
          <w:tcPr>
            <w:tcW w:w="155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52</w:t>
            </w:r>
            <w:r>
              <w:t>)</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BD76EF" w:rsidP="00FB0C75">
            <w:pPr>
              <w:pStyle w:val="Text9pBoldLeft"/>
              <w:rPr>
                <w:rFonts w:cs="Verdana"/>
              </w:rPr>
            </w:pPr>
            <w:r>
              <w:t>Coûts du personnel et des pensions</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031A85">
              <w:rPr>
                <w:i w:val="0"/>
              </w:rPr>
              <w:t>3</w:t>
            </w:r>
            <w:r>
              <w:rPr>
                <w:i w:val="0"/>
              </w:rPr>
              <w:t xml:space="preserve"> </w:t>
            </w:r>
            <w:r w:rsidRPr="00031A85">
              <w:rPr>
                <w:i w:val="0"/>
              </w:rPr>
              <w:t>180</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 xml:space="preserve"> </w:t>
            </w:r>
            <w:r w:rsidRPr="00031A85">
              <w:rPr>
                <w:i w:val="0"/>
              </w:rPr>
              <w:t>124</w:t>
            </w:r>
          </w:p>
        </w:tc>
        <w:tc>
          <w:tcPr>
            <w:tcW w:w="141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 xml:space="preserve"> </w:t>
            </w:r>
            <w:r w:rsidRPr="00031A85">
              <w:rPr>
                <w:i w:val="0"/>
              </w:rPr>
              <w:t>399</w:t>
            </w:r>
          </w:p>
        </w:tc>
        <w:tc>
          <w:tcPr>
            <w:tcW w:w="1559"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031A85">
              <w:rPr>
                <w:i w:val="0"/>
              </w:rPr>
              <w:t>3</w:t>
            </w:r>
            <w:r>
              <w:rPr>
                <w:i w:val="0"/>
              </w:rPr>
              <w:t xml:space="preserve"> </w:t>
            </w:r>
            <w:r w:rsidRPr="00031A85">
              <w:rPr>
                <w:i w:val="0"/>
              </w:rPr>
              <w:t>702</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Text9pNormalLeft"/>
              <w:rPr>
                <w:rFonts w:cs="Verdana"/>
                <w:b/>
              </w:rPr>
            </w:pPr>
            <w:r>
              <w:rPr>
                <w:b/>
              </w:rPr>
              <w:t>Écarts actuariels</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031A85">
              <w:rPr>
                <w:b/>
              </w:rPr>
              <w:t>1</w:t>
            </w:r>
            <w:r>
              <w:rPr>
                <w:b/>
              </w:rPr>
              <w:t xml:space="preserve"> </w:t>
            </w:r>
            <w:r w:rsidRPr="00031A85">
              <w:rPr>
                <w:b/>
              </w:rPr>
              <w:t>929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 xml:space="preserve"> </w:t>
            </w:r>
            <w:r w:rsidRPr="00031A85">
              <w:rPr>
                <w:b/>
              </w:rPr>
              <w:t>179</w:t>
            </w:r>
          </w:p>
        </w:tc>
        <w:tc>
          <w:tcPr>
            <w:tcW w:w="141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w:t>
            </w:r>
            <w:r w:rsidRPr="00031A85">
              <w:rPr>
                <w:b/>
              </w:rPr>
              <w:t>1</w:t>
            </w:r>
            <w:r>
              <w:rPr>
                <w:b/>
              </w:rPr>
              <w:t xml:space="preserve"> </w:t>
            </w:r>
            <w:r w:rsidRPr="00031A85">
              <w:rPr>
                <w:b/>
              </w:rPr>
              <w:t>039</w:t>
            </w:r>
            <w:r>
              <w:rPr>
                <w:b/>
              </w:rP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031A85">
              <w:rPr>
                <w:b/>
              </w:rPr>
              <w:t>1</w:t>
            </w:r>
            <w:r>
              <w:rPr>
                <w:b/>
              </w:rPr>
              <w:t xml:space="preserve"> </w:t>
            </w:r>
            <w:r w:rsidRPr="00031A85">
              <w:rPr>
                <w:b/>
              </w:rPr>
              <w:t>068</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BD76EF">
            <w:pPr>
              <w:pStyle w:val="Text9pBoldLeft"/>
              <w:rPr>
                <w:rFonts w:cs="Verdana"/>
              </w:rPr>
            </w:pPr>
            <w:r>
              <w:t xml:space="preserve">Total </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w:t>
            </w:r>
            <w:r>
              <w:t xml:space="preserve"> </w:t>
            </w:r>
            <w:r w:rsidRPr="00031A85">
              <w:t>108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302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640</w:t>
            </w: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770</w:t>
            </w:r>
          </w:p>
        </w:tc>
      </w:tr>
    </w:tbl>
    <w:p w:rsidR="00FB0C75" w:rsidRDefault="00FB0C75" w:rsidP="00FB0C75">
      <w:pPr>
        <w:pStyle w:val="Textstand-alone"/>
        <w:spacing w:before="0" w:after="0"/>
      </w:pPr>
    </w:p>
    <w:p w:rsidR="00FB0C75" w:rsidRDefault="00525E53" w:rsidP="00FB0C75">
      <w:pPr>
        <w:pStyle w:val="Textstand-alone"/>
        <w:spacing w:before="0" w:after="0"/>
      </w:pPr>
      <w:r>
        <w:t xml:space="preserve"> </w:t>
      </w:r>
    </w:p>
    <w:p w:rsidR="00FB0C75" w:rsidRPr="00BD1908" w:rsidRDefault="00525E53" w:rsidP="00FB0C75">
      <w:pPr>
        <w:pStyle w:val="HEADER5"/>
        <w:rPr>
          <w:b w:val="0"/>
        </w:rPr>
      </w:pPr>
      <w:r>
        <w:rPr>
          <w:b w:val="0"/>
        </w:rPr>
        <w:t>Sensibilité du régime commun d’assurance-maladie</w:t>
      </w:r>
    </w:p>
    <w:p w:rsidR="00FB0C75" w:rsidRPr="00271FB3" w:rsidRDefault="00FB0C75" w:rsidP="00FB0C75">
      <w:pPr>
        <w:pStyle w:val="HEADER5"/>
        <w:rPr>
          <w:b w:val="0"/>
        </w:rPr>
      </w:pPr>
    </w:p>
    <w:p w:rsidR="00FB0C75" w:rsidRDefault="00525E53" w:rsidP="00FB0C75">
      <w:pPr>
        <w:autoSpaceDE w:val="0"/>
        <w:autoSpaceDN w:val="0"/>
        <w:adjustRightInd w:val="0"/>
        <w:rPr>
          <w:rFonts w:ascii="Verdana" w:hAnsi="Verdana"/>
          <w:sz w:val="18"/>
          <w:szCs w:val="18"/>
        </w:rPr>
      </w:pPr>
      <w:r>
        <w:rPr>
          <w:rFonts w:ascii="Verdana" w:hAnsi="Verdana"/>
          <w:sz w:val="18"/>
        </w:rPr>
        <w:t>Une variation d’un point de pourcentage des taux d’évolution des coûts médicaux présumés aurait les effets suivants:</w:t>
      </w:r>
    </w:p>
    <w:p w:rsidR="00FB0C75" w:rsidRPr="005F78E6" w:rsidRDefault="00FB0C75" w:rsidP="00FB0C75">
      <w:pPr>
        <w:autoSpaceDE w:val="0"/>
        <w:autoSpaceDN w:val="0"/>
        <w:adjustRightInd w:val="0"/>
        <w:rPr>
          <w:rFonts w:ascii="Verdana" w:hAnsi="Verdana"/>
          <w:sz w:val="1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3" w:name="DOC_TBL00040_1_1"/>
            <w:bookmarkEnd w:id="24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Augmentation d’un point de pourcentage</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Diminution d’un point de pourcentage</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Total du coût des services rendus au cours de la période et du coût financier inclus dans la charge au titre des avantages médicaux postérieurs à l’emploi</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74</w:t>
            </w:r>
            <w:r>
              <w:t>)</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Obligation cumulée au titre des avantages médicaux postérieurs à l’emploi</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201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828</w:t>
            </w:r>
            <w:r>
              <w:t>)</w:t>
            </w:r>
          </w:p>
        </w:tc>
      </w:tr>
    </w:tbl>
    <w:p w:rsidR="00FB0C75" w:rsidRDefault="00FB0C75" w:rsidP="00FB0C75">
      <w:pPr>
        <w:pStyle w:val="HEADER2Part2"/>
        <w:sectPr w:rsidR="00FB0C75" w:rsidSect="00FB0C75">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1134" w:right="1134" w:bottom="1134" w:left="1134" w:header="709" w:footer="709" w:gutter="0"/>
          <w:cols w:space="708"/>
          <w:docGrid w:linePitch="360"/>
        </w:sectPr>
      </w:pPr>
      <w:bookmarkStart w:id="244" w:name="_DMBM_8950"/>
      <w:bookmarkEnd w:id="236"/>
    </w:p>
    <w:p w:rsidR="00BD1908" w:rsidRDefault="00BD1908" w:rsidP="00FB0C75">
      <w:pPr>
        <w:pStyle w:val="HEADER2Part2"/>
        <w:sectPr w:rsidR="00BD1908" w:rsidSect="00FB0C75">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1134" w:right="1134" w:bottom="1134" w:left="1134" w:header="709" w:footer="709" w:gutter="0"/>
          <w:cols w:space="708"/>
          <w:docGrid w:linePitch="360"/>
        </w:sectPr>
      </w:pPr>
    </w:p>
    <w:p w:rsidR="00FB0C75" w:rsidRDefault="00525E53" w:rsidP="00FB0C75">
      <w:pPr>
        <w:pStyle w:val="HEADER2Part2"/>
      </w:pPr>
      <w:r>
        <w:t>PROVISIONS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44"/>
        <w:gridCol w:w="1166"/>
        <w:gridCol w:w="1134"/>
        <w:gridCol w:w="1134"/>
        <w:gridCol w:w="1134"/>
        <w:gridCol w:w="1192"/>
        <w:gridCol w:w="1359"/>
      </w:tblGrid>
      <w:tr w:rsidR="005B4EEC" w:rsidTr="006D3185">
        <w:trPr>
          <w:trHeight w:val="274"/>
        </w:trPr>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5" w:name="DOC_TBL00041_1_1"/>
            <w:bookmarkEnd w:id="245"/>
          </w:p>
        </w:tc>
        <w:tc>
          <w:tcPr>
            <w:tcW w:w="124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6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6D3185">
        <w:tc>
          <w:tcPr>
            <w:tcW w:w="13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124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Montant au </w:t>
            </w:r>
            <w:r w:rsidRPr="00031A85">
              <w:t>31</w:t>
            </w:r>
            <w:r>
              <w:t>.</w:t>
            </w:r>
            <w:r w:rsidRPr="00031A85">
              <w:t>12</w:t>
            </w:r>
            <w:r>
              <w:t>.</w:t>
            </w:r>
            <w:r w:rsidRPr="00031A85">
              <w:t>2015</w:t>
            </w:r>
          </w:p>
        </w:tc>
        <w:tc>
          <w:tcPr>
            <w:tcW w:w="116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Provisions supplémen</w:t>
            </w:r>
            <w:r w:rsidR="006D3185">
              <w:t>-</w:t>
            </w:r>
            <w:r>
              <w:t>taires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Montants inutilisés reversés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Montants utilisés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Virements entre catégories</w:t>
            </w:r>
          </w:p>
        </w:tc>
        <w:tc>
          <w:tcPr>
            <w:tcW w:w="11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Variations de l’estimation</w:t>
            </w:r>
          </w:p>
        </w:tc>
        <w:tc>
          <w:tcPr>
            <w:tcW w:w="13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Montant au </w:t>
            </w:r>
            <w:r w:rsidRPr="00031A85">
              <w:t>31</w:t>
            </w:r>
            <w:r>
              <w:t>.</w:t>
            </w:r>
            <w:r w:rsidRPr="00031A85">
              <w:t>12</w:t>
            </w:r>
            <w:r>
              <w:t>.</w:t>
            </w:r>
            <w:r w:rsidRPr="00031A85">
              <w:t>2016</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Contentieux:</w:t>
            </w:r>
          </w:p>
        </w:tc>
        <w:tc>
          <w:tcPr>
            <w:tcW w:w="124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6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92"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Agriculture</w:t>
            </w:r>
          </w:p>
        </w:tc>
        <w:tc>
          <w:tcPr>
            <w:tcW w:w="124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w:t>
            </w:r>
            <w:r w:rsidRPr="00031A85">
              <w:rPr>
                <w:i w:val="0"/>
              </w:rPr>
              <w:t>40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21</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129</w:t>
            </w:r>
          </w:p>
        </w:tc>
        <w:tc>
          <w:tcPr>
            <w:tcW w:w="1192"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149</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Cohésion</w:t>
            </w:r>
          </w:p>
        </w:tc>
        <w:tc>
          <w:tcPr>
            <w:tcW w:w="124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w:t>
            </w:r>
            <w:r w:rsidRPr="00031A85">
              <w:rPr>
                <w:i w:val="0"/>
              </w:rPr>
              <w:t>19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198</w:t>
            </w:r>
          </w:p>
        </w:tc>
        <w:tc>
          <w:tcPr>
            <w:tcW w:w="1192"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217</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Autres</w:t>
            </w:r>
          </w:p>
        </w:tc>
        <w:tc>
          <w:tcPr>
            <w:tcW w:w="124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459</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w:t>
            </w:r>
            <w:r w:rsidRPr="00031A85">
              <w:rPr>
                <w:i w:val="0"/>
              </w:rPr>
              <w:t>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33</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327</w:t>
            </w:r>
            <w:r>
              <w:t>)</w:t>
            </w:r>
          </w:p>
        </w:tc>
        <w:tc>
          <w:tcPr>
            <w:tcW w:w="11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102</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Démantèlement de sites nucléaires</w:t>
            </w:r>
          </w:p>
        </w:tc>
        <w:tc>
          <w:tcPr>
            <w:tcW w:w="124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078</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29</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64</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113</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Financières</w:t>
            </w:r>
          </w:p>
        </w:tc>
        <w:tc>
          <w:tcPr>
            <w:tcW w:w="124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411</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w:t>
            </w:r>
            <w:r w:rsidRPr="00031A85">
              <w:rPr>
                <w:i w:val="0"/>
              </w:rPr>
              <w:t>536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53</w:t>
            </w: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6</w:t>
            </w: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880</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Amendes</w:t>
            </w:r>
          </w:p>
        </w:tc>
        <w:tc>
          <w:tcPr>
            <w:tcW w:w="124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w:t>
            </w:r>
          </w:p>
        </w:tc>
        <w:tc>
          <w:tcPr>
            <w:tcW w:w="116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w:t>
            </w:r>
            <w:r w:rsidRPr="00031A85">
              <w:rPr>
                <w:i w:val="0"/>
              </w:rPr>
              <w:t>20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23</w:t>
            </w:r>
          </w:p>
        </w:tc>
      </w:tr>
      <w:tr w:rsidR="005B4EEC" w:rsidTr="006D3185">
        <w:tc>
          <w:tcPr>
            <w:tcW w:w="138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Autres</w:t>
            </w:r>
          </w:p>
        </w:tc>
        <w:tc>
          <w:tcPr>
            <w:tcW w:w="124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79</w:t>
            </w:r>
          </w:p>
        </w:tc>
        <w:tc>
          <w:tcPr>
            <w:tcW w:w="116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24</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23</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38</w:t>
            </w:r>
          </w:p>
        </w:tc>
        <w:tc>
          <w:tcPr>
            <w:tcW w:w="135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127</w:t>
            </w:r>
          </w:p>
        </w:tc>
      </w:tr>
      <w:tr w:rsidR="005B4EEC" w:rsidTr="006D3185">
        <w:tc>
          <w:tcPr>
            <w:tcW w:w="138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124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sidRPr="00031A85">
              <w:t>2</w:t>
            </w:r>
            <w:r>
              <w:t xml:space="preserve"> </w:t>
            </w:r>
            <w:r w:rsidRPr="00031A85">
              <w:t>030</w:t>
            </w:r>
          </w:p>
        </w:tc>
        <w:tc>
          <w:tcPr>
            <w:tcW w:w="1166"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647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21</w:t>
            </w:r>
            <w:r>
              <w:t>)</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138</w:t>
            </w:r>
            <w:r>
              <w:t>)</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w:t>
            </w:r>
          </w:p>
        </w:tc>
        <w:tc>
          <w:tcPr>
            <w:tcW w:w="1192"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94</w:t>
            </w:r>
          </w:p>
        </w:tc>
        <w:tc>
          <w:tcPr>
            <w:tcW w:w="1359"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sidRPr="00031A85">
              <w:t>2</w:t>
            </w:r>
            <w:r>
              <w:t xml:space="preserve"> </w:t>
            </w:r>
            <w:r w:rsidRPr="00031A85">
              <w:t>611</w:t>
            </w:r>
          </w:p>
        </w:tc>
      </w:tr>
      <w:tr w:rsidR="005B4EEC" w:rsidTr="006D3185">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Non courantes</w:t>
            </w:r>
          </w:p>
        </w:tc>
        <w:tc>
          <w:tcPr>
            <w:tcW w:w="124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1</w:t>
            </w:r>
            <w:r>
              <w:t xml:space="preserve"> </w:t>
            </w:r>
            <w:r w:rsidRPr="00031A85">
              <w:t>716</w:t>
            </w:r>
          </w:p>
        </w:tc>
        <w:tc>
          <w:tcPr>
            <w:tcW w:w="116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491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22</w:t>
            </w:r>
            <w:r>
              <w:t>)</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9</w:t>
            </w:r>
            <w:r>
              <w:t>)</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304</w:t>
            </w:r>
            <w:r>
              <w:t>)</w:t>
            </w:r>
          </w:p>
        </w:tc>
        <w:tc>
          <w:tcPr>
            <w:tcW w:w="11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65</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1</w:t>
            </w:r>
            <w:r>
              <w:t xml:space="preserve"> </w:t>
            </w:r>
            <w:r w:rsidRPr="00031A85">
              <w:t>936</w:t>
            </w:r>
          </w:p>
        </w:tc>
      </w:tr>
      <w:tr w:rsidR="005B4EEC" w:rsidTr="006D3185">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4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6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92"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6D3185">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Courantes</w:t>
            </w:r>
          </w:p>
        </w:tc>
        <w:tc>
          <w:tcPr>
            <w:tcW w:w="124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314</w:t>
            </w:r>
          </w:p>
        </w:tc>
        <w:tc>
          <w:tcPr>
            <w:tcW w:w="116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156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128</w:t>
            </w:r>
            <w:r>
              <w:t>)</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304</w:t>
            </w:r>
          </w:p>
        </w:tc>
        <w:tc>
          <w:tcPr>
            <w:tcW w:w="11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29</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675</w:t>
            </w:r>
          </w:p>
        </w:tc>
      </w:tr>
    </w:tbl>
    <w:p w:rsidR="00FB0C75" w:rsidRDefault="00525E53" w:rsidP="00FB0C75">
      <w:pPr>
        <w:pStyle w:val="DGTextstand-alone"/>
        <w:spacing w:before="0" w:after="0"/>
      </w:pPr>
      <w:r>
        <w:t xml:space="preserve"> </w:t>
      </w:r>
    </w:p>
    <w:p w:rsidR="00FB0C75" w:rsidRPr="002C3225" w:rsidRDefault="00525E53" w:rsidP="00FB0C75">
      <w:pPr>
        <w:pStyle w:val="Textstand-alone"/>
      </w:pPr>
      <w:r>
        <w:t>Les provisions sont des montants, résultant d’événements passés, qui devront probablement être payés sur le budget de l’UE à l'avenir.</w:t>
      </w:r>
    </w:p>
    <w:p w:rsidR="00FB0C75" w:rsidRPr="00973AD2" w:rsidRDefault="00525E53" w:rsidP="00FB0C75">
      <w:pPr>
        <w:pStyle w:val="HEADER5"/>
        <w:rPr>
          <w:b w:val="0"/>
        </w:rPr>
      </w:pPr>
      <w:r>
        <w:rPr>
          <w:b w:val="0"/>
        </w:rPr>
        <w:t>Contentieux</w:t>
      </w:r>
    </w:p>
    <w:p w:rsidR="00FB0C75" w:rsidRDefault="00525E53" w:rsidP="00FB0C75">
      <w:pPr>
        <w:pStyle w:val="Textstand-alone"/>
      </w:pPr>
      <w:r>
        <w:t>Il s’agit de l’estimation des montants susceptibles d’être payés après la fin de l’exercice en ce qui concerne un certain nombre d’affaires juridiques en cours.</w:t>
      </w:r>
    </w:p>
    <w:p w:rsidR="00FB0C75" w:rsidRPr="009D43CF" w:rsidRDefault="00525E53" w:rsidP="00FB0C75">
      <w:pPr>
        <w:pStyle w:val="HEADER5"/>
        <w:rPr>
          <w:b w:val="0"/>
        </w:rPr>
      </w:pPr>
      <w:r>
        <w:rPr>
          <w:b w:val="0"/>
        </w:rPr>
        <w:t>Démantèlement de sites nucléaires</w:t>
      </w:r>
    </w:p>
    <w:p w:rsidR="00FB0C75" w:rsidRDefault="00525E53" w:rsidP="00FB0C75">
      <w:pPr>
        <w:pStyle w:val="Textstand-alone"/>
      </w:pPr>
      <w:r>
        <w:t>En </w:t>
      </w:r>
      <w:r w:rsidRPr="00031A85">
        <w:t>2014</w:t>
      </w:r>
      <w:r>
        <w:t>, la base de la provision a été mise à jour conformément à la «révision </w:t>
      </w:r>
      <w:r w:rsidRPr="00031A85">
        <w:t>2014</w:t>
      </w:r>
      <w:r>
        <w:t xml:space="preserve"> de la stratégie de démantèlement et de gestion des déchets du JRC» (</w:t>
      </w:r>
      <w:r>
        <w:rPr>
          <w:i/>
        </w:rPr>
        <w:t>Decommissioning and Waste Management</w:t>
      </w:r>
      <w:r>
        <w:t xml:space="preserve"> - DWM). Elle s’aligne ainsi sur les remarques formulées par des experts externes lors de la révision du programme DWM du JRC en </w:t>
      </w:r>
      <w:r w:rsidRPr="00031A85">
        <w:t>2012</w:t>
      </w:r>
      <w:r>
        <w:t xml:space="preserve">. Conformément aux règles comptables de l’UE, cette provision est indexée de manière à tenir compte de l’inflation puis actualisée pour obtenir sa valeur actuelle nette (sur la base de la courbe des swaps à coupon zéro en euros). Au </w:t>
      </w:r>
      <w:r w:rsidRPr="00031A85">
        <w:t>31</w:t>
      </w:r>
      <w:r>
        <w:t> décembre </w:t>
      </w:r>
      <w:r w:rsidRPr="00031A85">
        <w:t>2016</w:t>
      </w:r>
      <w:r>
        <w:t xml:space="preserve">, il en a résulté une provision de </w:t>
      </w:r>
      <w:r w:rsidRPr="00031A85">
        <w:t>1</w:t>
      </w:r>
      <w:r>
        <w:t>,</w:t>
      </w:r>
      <w:r w:rsidRPr="00031A85">
        <w:t>113</w:t>
      </w:r>
      <w:r>
        <w:t> milliard d’EUR, scindée entre les montants qui devraient être utilisés en </w:t>
      </w:r>
      <w:r w:rsidRPr="00031A85">
        <w:t>2016</w:t>
      </w:r>
      <w:r>
        <w:t xml:space="preserve"> (</w:t>
      </w:r>
      <w:r w:rsidRPr="00031A85">
        <w:t>27</w:t>
      </w:r>
      <w:r>
        <w:t> millions d’EUR) et ultérieurement (</w:t>
      </w:r>
      <w:r w:rsidRPr="00031A85">
        <w:t>1</w:t>
      </w:r>
      <w:r>
        <w:t>,</w:t>
      </w:r>
      <w:r w:rsidRPr="00031A85">
        <w:t>086</w:t>
      </w:r>
      <w:r>
        <w:t> milliard d’EUR).</w:t>
      </w:r>
    </w:p>
    <w:p w:rsidR="00FB0C75" w:rsidRDefault="00525E53" w:rsidP="00FB0C75">
      <w:pPr>
        <w:pStyle w:val="Textstand-alone"/>
      </w:pPr>
      <w:r>
        <w:t xml:space="preserve">Étant donné la durée estimée de ce programme (environ </w:t>
      </w:r>
      <w:r w:rsidRPr="00031A85">
        <w:t>20</w:t>
      </w:r>
      <w:r>
        <w:t xml:space="preserve"> ans), il est utile de préciser qu’il existe une certaine incertitude quant à cette estimation et que le coût final pourrait différer des montants actuellement comptabilisés.</w:t>
      </w:r>
    </w:p>
    <w:p w:rsidR="00FB0C75" w:rsidRPr="004C386F" w:rsidRDefault="00525E53" w:rsidP="00FB0C75">
      <w:pPr>
        <w:pStyle w:val="HEADER5"/>
        <w:rPr>
          <w:b w:val="0"/>
        </w:rPr>
      </w:pPr>
      <w:r>
        <w:rPr>
          <w:b w:val="0"/>
        </w:rPr>
        <w:t>Provisions financières</w:t>
      </w:r>
    </w:p>
    <w:p w:rsidR="00FB0C75" w:rsidRPr="004C386F" w:rsidRDefault="00525E53" w:rsidP="00FB0C75">
      <w:pPr>
        <w:pStyle w:val="Textstand-alone"/>
        <w:spacing w:after="0"/>
      </w:pPr>
      <w:r>
        <w:t>Il s’agit principalement de provisions qui représentent les pertes estimées qui seront encourues en relation avec les garanties au titre des différents instruments financiers, où le FEI et la BEI sont habilités à émettre des garanties en leur propre nom, mais pour le compte et au risque de l’UE. Le risque financier de l’UE lié aux garanties est cependant plafonné. Les provisions financières non courantes sont actualisées à leur valeur actuelle nette (sur la base du taux annuel des swaps en euros).</w:t>
      </w:r>
    </w:p>
    <w:p w:rsidR="00FB0C75" w:rsidRDefault="00525E53" w:rsidP="00FB0C75">
      <w:pPr>
        <w:pStyle w:val="Textstand-alone"/>
        <w:spacing w:after="0"/>
      </w:pPr>
      <w:r>
        <w:t>L’augmentation des provisions financières est principalement due aux provisions supplémentaires pour les prêts en cours octroyés à la Syrie qui sont couverts par la garantie du mandat de prêt extérieur de la BEI et au renforcement des activités au titre des instruments de garantie d'Horizon </w:t>
      </w:r>
      <w:r w:rsidRPr="00031A85">
        <w:t>2020</w:t>
      </w:r>
      <w:r>
        <w:t xml:space="preserve"> et de COSME.</w:t>
      </w:r>
    </w:p>
    <w:p w:rsidR="00FB0C75" w:rsidRPr="006C4C5B" w:rsidRDefault="00FB0C75" w:rsidP="00FB0C75">
      <w:pPr>
        <w:pStyle w:val="HEADER2Part2"/>
        <w:sectPr w:rsidR="00FB0C75" w:rsidRPr="006C4C5B" w:rsidSect="00BD1908">
          <w:headerReference w:type="even" r:id="rId220"/>
          <w:headerReference w:type="default" r:id="rId221"/>
          <w:footerReference w:type="even" r:id="rId222"/>
          <w:footerReference w:type="default" r:id="rId223"/>
          <w:headerReference w:type="first" r:id="rId224"/>
          <w:footerReference w:type="first" r:id="rId225"/>
          <w:pgSz w:w="11906" w:h="16838"/>
          <w:pgMar w:top="1134" w:right="1134" w:bottom="1134" w:left="1134" w:header="709" w:footer="709" w:gutter="0"/>
          <w:cols w:space="708"/>
          <w:docGrid w:linePitch="360"/>
        </w:sectPr>
      </w:pPr>
      <w:bookmarkStart w:id="246" w:name="_DMBM_8967"/>
      <w:bookmarkEnd w:id="244"/>
    </w:p>
    <w:p w:rsidR="00FB0C75" w:rsidRDefault="00525E53" w:rsidP="00FB0C75">
      <w:pPr>
        <w:pStyle w:val="HEADER2Part2"/>
      </w:pPr>
      <w:r>
        <w:t>PASSIFS FINANCIERS</w:t>
      </w:r>
    </w:p>
    <w:p w:rsidR="00FB0C75" w:rsidRPr="001578A7"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7" w:name="DOC_TBL00042_1_1"/>
            <w:bookmarkEnd w:id="24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Passifs financiers non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financiers au coût amorti</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55</w:t>
            </w:r>
            <w:r>
              <w:t xml:space="preserve"> </w:t>
            </w:r>
            <w:r w:rsidRPr="00031A85">
              <w:t>067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51</w:t>
            </w:r>
            <w:r>
              <w:t xml:space="preserve"> </w:t>
            </w:r>
            <w:r w:rsidRPr="00031A85">
              <w:t>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Passifs financiers à la juste valeur </w:t>
            </w:r>
            <w:r>
              <w:br/>
              <w:t>par le biais de l’excédent ou du déficit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liés à la garantie financière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55</w:t>
            </w:r>
            <w:r>
              <w:t xml:space="preserve"> </w:t>
            </w:r>
            <w:r w:rsidRPr="00031A85">
              <w:t>067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51</w:t>
            </w:r>
            <w:r>
              <w:t xml:space="preserve"> </w:t>
            </w:r>
            <w:r w:rsidRPr="00031A85">
              <w:t>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Passifs financiers courants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financiers au coût amorti</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283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939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Passifs financiers à la juste valeur </w:t>
            </w:r>
            <w:r>
              <w:br/>
              <w:t>par le biais de l’excédent ou du déficit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liés à la garantie financière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w:t>
            </w:r>
            <w:r>
              <w:t xml:space="preserve"> </w:t>
            </w:r>
            <w:r w:rsidRPr="00031A85">
              <w:t>284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7</w:t>
            </w:r>
            <w:r>
              <w:t xml:space="preserve"> </w:t>
            </w:r>
            <w:r w:rsidRPr="00031A85">
              <w:t>939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57</w:t>
            </w:r>
            <w:r>
              <w:t xml:space="preserve"> </w:t>
            </w:r>
            <w:r w:rsidRPr="00031A85">
              <w:t>351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59</w:t>
            </w:r>
            <w:r>
              <w:t xml:space="preserve"> </w:t>
            </w:r>
            <w:r w:rsidRPr="00031A85">
              <w:t>703</w:t>
            </w:r>
          </w:p>
        </w:tc>
      </w:tr>
    </w:tbl>
    <w:p w:rsidR="00FB0C75" w:rsidRPr="001578A7" w:rsidRDefault="00525E53" w:rsidP="00FB0C75">
      <w:pPr>
        <w:pStyle w:val="HEADER3Part2"/>
      </w:pPr>
      <w:r>
        <w:t xml:space="preserve">Passifs financiers au coût amorti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985"/>
        <w:gridCol w:w="1833"/>
        <w:gridCol w:w="183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8" w:name="DOC_TBL00043_1_1"/>
            <w:bookmarkEnd w:id="248"/>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Emprunts destinés à l'assistance financière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1</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55</w:t>
            </w:r>
            <w:r>
              <w:t xml:space="preserve"> </w:t>
            </w:r>
            <w:r w:rsidRPr="00031A85">
              <w:t>128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56</w:t>
            </w:r>
            <w:r>
              <w:t xml:space="preserve"> </w:t>
            </w:r>
            <w:r w:rsidRPr="00031A85">
              <w:t>860</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passifs financiers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11</w:t>
            </w:r>
            <w:r>
              <w:t>.</w:t>
            </w:r>
            <w:r w:rsidRPr="00031A85">
              <w:t>1</w:t>
            </w:r>
            <w:r>
              <w:t>.</w:t>
            </w:r>
            <w:r w:rsidRPr="00031A85">
              <w:t>2</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222</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842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57</w:t>
            </w:r>
            <w:r>
              <w:t xml:space="preserve"> </w:t>
            </w:r>
            <w:r w:rsidRPr="00031A85">
              <w:t>350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59</w:t>
            </w:r>
            <w:r>
              <w:t xml:space="preserve"> </w:t>
            </w:r>
            <w:r w:rsidRPr="00031A85">
              <w:t>703</w:t>
            </w:r>
          </w:p>
        </w:tc>
      </w:tr>
      <w:tr w:rsidR="005B4EEC" w:rsidTr="00D429A2">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Pr>
                <w:noProof w:val="0"/>
                <w:color w:val="016794"/>
              </w:rPr>
              <w:t>Non courants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031A85">
              <w:rPr>
                <w:noProof w:val="0"/>
                <w:color w:val="016794"/>
              </w:rPr>
              <w:t>55</w:t>
            </w:r>
            <w:r>
              <w:rPr>
                <w:noProof w:val="0"/>
                <w:color w:val="016794"/>
              </w:rPr>
              <w:t xml:space="preserve"> </w:t>
            </w:r>
            <w:r w:rsidRPr="00031A85">
              <w:rPr>
                <w:noProof w:val="0"/>
                <w:color w:val="016794"/>
              </w:rPr>
              <w:t>067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031A85">
              <w:rPr>
                <w:noProof w:val="0"/>
                <w:color w:val="016794"/>
              </w:rPr>
              <w:t>51</w:t>
            </w:r>
            <w:r>
              <w:rPr>
                <w:noProof w:val="0"/>
                <w:color w:val="016794"/>
              </w:rPr>
              <w:t xml:space="preserve"> </w:t>
            </w:r>
            <w:r w:rsidRPr="00031A85">
              <w:rPr>
                <w:noProof w:val="0"/>
                <w:color w:val="016794"/>
              </w:rPr>
              <w:t>764</w:t>
            </w:r>
          </w:p>
        </w:tc>
      </w:tr>
      <w:tr w:rsidR="005B4EEC" w:rsidTr="00D429A2">
        <w:trPr>
          <w:trHeight w:val="268"/>
        </w:trPr>
        <w:tc>
          <w:tcPr>
            <w:tcW w:w="5211"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Pr>
                <w:noProof w:val="0"/>
                <w:color w:val="016794"/>
              </w:rPr>
              <w:t>Courants</w:t>
            </w:r>
          </w:p>
        </w:tc>
        <w:tc>
          <w:tcPr>
            <w:tcW w:w="851" w:type="dxa"/>
            <w:tcBorders>
              <w:top w:val="nil"/>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031A85">
              <w:rPr>
                <w:noProof w:val="0"/>
                <w:color w:val="016794"/>
              </w:rPr>
              <w:t>2</w:t>
            </w:r>
            <w:r>
              <w:rPr>
                <w:noProof w:val="0"/>
                <w:color w:val="016794"/>
              </w:rPr>
              <w:t xml:space="preserve"> </w:t>
            </w:r>
            <w:r w:rsidRPr="00031A85">
              <w:rPr>
                <w:noProof w:val="0"/>
                <w:color w:val="016794"/>
              </w:rPr>
              <w:t>283</w:t>
            </w:r>
          </w:p>
        </w:tc>
        <w:tc>
          <w:tcPr>
            <w:tcW w:w="1843"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031A85">
              <w:rPr>
                <w:noProof w:val="0"/>
                <w:color w:val="016794"/>
              </w:rPr>
              <w:t>7</w:t>
            </w:r>
            <w:r>
              <w:rPr>
                <w:noProof w:val="0"/>
                <w:color w:val="016794"/>
              </w:rPr>
              <w:t xml:space="preserve"> </w:t>
            </w:r>
            <w:r w:rsidRPr="00031A85">
              <w:rPr>
                <w:noProof w:val="0"/>
                <w:color w:val="016794"/>
              </w:rPr>
              <w:t>939</w:t>
            </w:r>
          </w:p>
        </w:tc>
      </w:tr>
    </w:tbl>
    <w:p w:rsidR="00FB0C75" w:rsidRPr="001578A7" w:rsidRDefault="00FB0C75" w:rsidP="00FB0C75">
      <w:pPr>
        <w:pStyle w:val="DGTextstand-alone"/>
        <w:spacing w:before="0" w:after="0"/>
        <w:rPr>
          <w:noProof w:val="0"/>
        </w:rPr>
      </w:pPr>
    </w:p>
    <w:p w:rsidR="00FB0C75" w:rsidRPr="001578A7" w:rsidRDefault="00525E53" w:rsidP="00FB0C75">
      <w:pPr>
        <w:pStyle w:val="HEADER4Part2"/>
        <w:spacing w:before="0" w:after="240"/>
      </w:pPr>
      <w:r>
        <w:t>Emprunts destinés à l'assistance financière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c>
          <w:tcPr>
            <w:tcW w:w="2943"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Left"/>
              <w:rPr>
                <w:rFonts w:cs="Verdana"/>
                <w:noProof w:val="0"/>
                <w:color w:val="FFFFFF"/>
              </w:rPr>
            </w:pPr>
            <w:bookmarkStart w:id="249" w:name="DOC_TBL00044_1_1"/>
            <w:bookmarkEnd w:id="249"/>
          </w:p>
        </w:tc>
        <w:tc>
          <w:tcPr>
            <w:tcW w:w="1077"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7pItalicLeft"/>
              <w:rPr>
                <w:rFonts w:cs="Verdana"/>
                <w:noProof w:val="0"/>
              </w:rPr>
            </w:pPr>
            <w:r>
              <w:t>en Mio EUR</w:t>
            </w:r>
          </w:p>
        </w:tc>
      </w:tr>
      <w:tr w:rsidR="005B4EEC">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MESF</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BDP</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AMF</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Euratom</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CECA en liquida</w:t>
            </w:r>
            <w:r w:rsidR="006D3185">
              <w:t>-</w:t>
            </w:r>
            <w:r>
              <w:t>tion</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Total</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 xml:space="preserve">Total au </w:t>
            </w:r>
            <w:r w:rsidRPr="00031A85">
              <w:t>31</w:t>
            </w:r>
            <w:r>
              <w:t>.</w:t>
            </w:r>
            <w:r w:rsidRPr="00031A85">
              <w:t>12</w:t>
            </w:r>
            <w:r>
              <w:t>.</w:t>
            </w:r>
            <w:r w:rsidRPr="00031A85">
              <w:t>2015</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47</w:t>
            </w:r>
            <w:r>
              <w:t xml:space="preserve"> </w:t>
            </w:r>
            <w:r w:rsidRPr="00031A85">
              <w:t>509</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5</w:t>
            </w:r>
            <w:r>
              <w:t xml:space="preserve"> </w:t>
            </w:r>
            <w:r w:rsidRPr="00031A85">
              <w:t>811</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3</w:t>
            </w:r>
            <w:r>
              <w:t xml:space="preserve"> </w:t>
            </w:r>
            <w:r w:rsidRPr="00031A85">
              <w:t>024</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301</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215</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56</w:t>
            </w:r>
            <w:r>
              <w:t xml:space="preserve"> </w:t>
            </w:r>
            <w:r w:rsidRPr="00031A85">
              <w:t>860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Nouveaux emprunts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4</w:t>
            </w:r>
            <w:r>
              <w:t xml:space="preserve"> </w:t>
            </w:r>
            <w:r w:rsidRPr="00031A85">
              <w:t>750</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10</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4</w:t>
            </w:r>
            <w:r>
              <w:t xml:space="preserve"> </w:t>
            </w:r>
            <w:r w:rsidRPr="00031A85">
              <w:t>760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Remboursements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r w:rsidRPr="00031A85">
              <w:t>4</w:t>
            </w:r>
            <w:r>
              <w:t xml:space="preserve"> </w:t>
            </w:r>
            <w:r w:rsidRPr="00031A85">
              <w:t>750</w:t>
            </w:r>
            <w:r>
              <w:t>)</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r w:rsidRPr="00031A85">
              <w:t>1</w:t>
            </w:r>
            <w:r>
              <w:t xml:space="preserve"> </w:t>
            </w:r>
            <w:r w:rsidRPr="00031A85">
              <w:t>500</w:t>
            </w:r>
            <w: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70</w:t>
            </w:r>
            <w:r>
              <w:t>)</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49</w:t>
            </w:r>
            <w: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r w:rsidRPr="00031A85">
              <w:t>6</w:t>
            </w:r>
            <w:r>
              <w:t xml:space="preserve"> </w:t>
            </w:r>
            <w:r w:rsidRPr="00031A85">
              <w:t>369</w:t>
            </w:r>
            <w:r>
              <w:t>)</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Écarts de change</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30</w:t>
            </w:r>
            <w: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30</w:t>
            </w:r>
            <w:r>
              <w:t>)</w:t>
            </w:r>
          </w:p>
        </w:tc>
      </w:tr>
      <w:tr w:rsidR="005B4EEC">
        <w:trPr>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Variations des valeurs comptables</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53</w:t>
            </w:r>
            <w:r>
              <w:t>)</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40</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1</w:t>
            </w:r>
            <w:r>
              <w:t>)</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w:t>
            </w:r>
            <w:r w:rsidRPr="00031A85">
              <w:t>94</w:t>
            </w:r>
            <w:r>
              <w:t>)</w:t>
            </w:r>
          </w:p>
        </w:tc>
      </w:tr>
      <w:tr w:rsidR="005B4EEC">
        <w:trPr>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BoldLeft"/>
              <w:rPr>
                <w:rFonts w:cs="Verdana"/>
                <w:noProof w:val="0"/>
              </w:rPr>
            </w:pPr>
            <w:r>
              <w:t xml:space="preserve">Total au </w:t>
            </w:r>
            <w:r w:rsidRPr="00031A85">
              <w:t>31</w:t>
            </w:r>
            <w:r>
              <w:t>.</w:t>
            </w:r>
            <w:r w:rsidRPr="00031A85">
              <w:t>12</w:t>
            </w:r>
            <w:r>
              <w:t>.</w:t>
            </w:r>
            <w:r w:rsidRPr="00031A85">
              <w:t>2016</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031A85">
              <w:t>47</w:t>
            </w:r>
            <w:r>
              <w:t xml:space="preserve"> </w:t>
            </w:r>
            <w:r w:rsidRPr="00031A85">
              <w:t>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031A85">
              <w:t>4</w:t>
            </w:r>
            <w:r>
              <w:t xml:space="preserve"> </w:t>
            </w:r>
            <w:r w:rsidRPr="00031A85">
              <w:t>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031A85">
              <w:t>2</w:t>
            </w:r>
            <w:r>
              <w:t xml:space="preserve"> </w:t>
            </w:r>
            <w:r w:rsidRPr="00031A85">
              <w:t>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 xml:space="preserve"> </w:t>
            </w:r>
            <w:r w:rsidRPr="00031A85">
              <w:t>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 xml:space="preserve"> </w:t>
            </w:r>
            <w:r w:rsidRPr="00031A85">
              <w:t>184</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031A85">
              <w:t>55</w:t>
            </w:r>
            <w:r>
              <w:t xml:space="preserve"> </w:t>
            </w:r>
            <w:r w:rsidRPr="00031A85">
              <w:t>128</w:t>
            </w:r>
          </w:p>
        </w:tc>
      </w:tr>
      <w:tr w:rsidR="005B4EEC">
        <w:trPr>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Pr>
                <w:noProof w:val="0"/>
                <w:color w:val="016794"/>
              </w:rPr>
              <w:t>Non courants</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46</w:t>
            </w:r>
            <w:r>
              <w:t xml:space="preserve"> </w:t>
            </w:r>
            <w:r w:rsidRPr="00031A85">
              <w:t>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3</w:t>
            </w:r>
            <w:r>
              <w:t xml:space="preserve"> </w:t>
            </w:r>
            <w:r w:rsidRPr="00031A85">
              <w:t>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2</w:t>
            </w:r>
            <w:r>
              <w:t xml:space="preserve"> </w:t>
            </w:r>
            <w:r w:rsidRPr="00031A85">
              <w:t>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96</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53</w:t>
            </w:r>
            <w:r>
              <w:t xml:space="preserve"> </w:t>
            </w:r>
            <w:r w:rsidRPr="00031A85">
              <w:t>034</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Pr>
                <w:noProof w:val="0"/>
                <w:color w:val="016794"/>
              </w:rPr>
              <w:t>Courants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656</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1</w:t>
            </w:r>
            <w:r>
              <w:t xml:space="preserve"> </w:t>
            </w:r>
            <w:r w:rsidRPr="00031A85">
              <w:t>222</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75</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53</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w:t>
            </w:r>
            <w:r w:rsidRPr="00031A85">
              <w:t>88</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031A85">
              <w:t>2</w:t>
            </w:r>
            <w:r>
              <w:t xml:space="preserve"> </w:t>
            </w:r>
            <w:r w:rsidRPr="00031A85">
              <w:t>094</w:t>
            </w:r>
          </w:p>
        </w:tc>
      </w:tr>
    </w:tbl>
    <w:p w:rsidR="00FB0C75" w:rsidRPr="001578A7" w:rsidRDefault="00525E53" w:rsidP="00FB0C75">
      <w:pPr>
        <w:pStyle w:val="Textstand-alone"/>
        <w:rPr>
          <w:noProof w:val="0"/>
        </w:rPr>
      </w:pPr>
      <w:r>
        <w:t xml:space="preserve">Les emprunts comprennent principalement les dettes attestées par des certificats équivalant à </w:t>
      </w:r>
      <w:r w:rsidRPr="00031A85">
        <w:t>54</w:t>
      </w:r>
      <w:r>
        <w:t>,</w:t>
      </w:r>
      <w:r w:rsidRPr="00031A85">
        <w:t>951</w:t>
      </w:r>
      <w:r>
        <w:t xml:space="preserve"> milliards d’EUR (contre </w:t>
      </w:r>
      <w:r w:rsidRPr="00031A85">
        <w:t>56</w:t>
      </w:r>
      <w:r>
        <w:t>,</w:t>
      </w:r>
      <w:r w:rsidRPr="00031A85">
        <w:t>656</w:t>
      </w:r>
      <w:r>
        <w:t> milliards d’EUR en </w:t>
      </w:r>
      <w:r w:rsidRPr="00031A85">
        <w:t>2015</w:t>
      </w:r>
      <w:r>
        <w:t>). Les variations observées dans la valeur comptable correspondent aux nouveaux intérêts cumulés.</w:t>
      </w:r>
    </w:p>
    <w:p w:rsidR="00FB0C75" w:rsidRPr="001578A7" w:rsidRDefault="00525E53" w:rsidP="00FB0C75">
      <w:pPr>
        <w:pStyle w:val="Textstand-alone"/>
        <w:spacing w:after="360"/>
        <w:rPr>
          <w:noProof w:val="0"/>
        </w:rPr>
      </w:pPr>
      <w:r>
        <w:t>À l’exception des prêts de la CECA en liquidation, le remboursement des emprunts susmentionnés est garanti en dernier recours par le budget de l’UE (voir la note </w:t>
      </w:r>
      <w:r w:rsidRPr="00031A85">
        <w:rPr>
          <w:b/>
          <w:noProof w:val="0"/>
        </w:rPr>
        <w:t>4</w:t>
      </w:r>
      <w:r>
        <w:rPr>
          <w:b/>
          <w:noProof w:val="0"/>
        </w:rPr>
        <w:t>.</w:t>
      </w:r>
      <w:r w:rsidRPr="00031A85">
        <w:rPr>
          <w:b/>
          <w:noProof w:val="0"/>
        </w:rPr>
        <w:t>1</w:t>
      </w:r>
      <w:r>
        <w:rPr>
          <w:b/>
          <w:noProof w:val="0"/>
        </w:rPr>
        <w:t>.</w:t>
      </w:r>
      <w:r w:rsidRPr="00031A85">
        <w:rPr>
          <w:b/>
          <w:noProof w:val="0"/>
        </w:rPr>
        <w:t>2</w:t>
      </w:r>
      <w:r>
        <w:t>) et, par extension, par chaque État membre.</w:t>
      </w:r>
    </w:p>
    <w:p w:rsidR="00FB0C75" w:rsidRPr="001578A7" w:rsidRDefault="00525E53">
      <w:pPr>
        <w:rPr>
          <w:rFonts w:ascii="Verdana" w:hAnsi="Verdana"/>
          <w:color w:val="016794"/>
          <w:sz w:val="18"/>
          <w:szCs w:val="18"/>
        </w:rPr>
      </w:pPr>
      <w:r>
        <w:br w:type="page"/>
      </w:r>
    </w:p>
    <w:p w:rsidR="00FB0C75" w:rsidRPr="001578A7" w:rsidRDefault="00525E53" w:rsidP="00FB0C75">
      <w:pPr>
        <w:pStyle w:val="HEADER5"/>
        <w:rPr>
          <w:b w:val="0"/>
        </w:rPr>
      </w:pPr>
      <w:r>
        <w:rPr>
          <w:b w:val="0"/>
        </w:rPr>
        <w:t>Taux d'intérêt effectifs pour les emprunts (exprimés sous forme de fourchettes de taux d’intérêt)</w:t>
      </w:r>
    </w:p>
    <w:p w:rsidR="00FB0C75" w:rsidRPr="001578A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2280"/>
        <w:gridCol w:w="2200"/>
      </w:tblGrid>
      <w:tr w:rsidR="005B4EEC" w:rsidTr="006D3185">
        <w:tc>
          <w:tcPr>
            <w:tcW w:w="526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10pNormalLeft"/>
              <w:rPr>
                <w:rFonts w:cs="Verdana"/>
                <w:noProof w:val="0"/>
              </w:rPr>
            </w:pPr>
            <w:bookmarkStart w:id="250" w:name="DOC_TBL00045_1_1"/>
            <w:bookmarkEnd w:id="250"/>
          </w:p>
        </w:tc>
        <w:tc>
          <w:tcPr>
            <w:tcW w:w="228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rsidRPr="00031A85">
              <w:t>31</w:t>
            </w:r>
            <w:r>
              <w:t>.</w:t>
            </w:r>
            <w:r w:rsidRPr="00031A85">
              <w:t>12</w:t>
            </w:r>
            <w:r>
              <w:t>.</w:t>
            </w:r>
            <w:r w:rsidRPr="00031A85">
              <w:t>2016</w:t>
            </w:r>
          </w:p>
        </w:tc>
        <w:tc>
          <w:tcPr>
            <w:tcW w:w="220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rsidRPr="00031A85">
              <w:t>31</w:t>
            </w:r>
            <w:r>
              <w:t>.</w:t>
            </w:r>
            <w:r w:rsidRPr="00031A85">
              <w:t>12</w:t>
            </w:r>
            <w:r>
              <w:t>.</w:t>
            </w:r>
            <w:r w:rsidRPr="00031A85">
              <w:t>2015</w:t>
            </w:r>
          </w:p>
        </w:tc>
      </w:tr>
      <w:tr w:rsidR="005B4EEC" w:rsidTr="006D3185">
        <w:tc>
          <w:tcPr>
            <w:tcW w:w="526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Assistance macrofinancière (AMF)</w:t>
            </w:r>
          </w:p>
        </w:tc>
        <w:tc>
          <w:tcPr>
            <w:tcW w:w="228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 xml:space="preserve"> % - </w:t>
            </w:r>
            <w:r w:rsidRPr="00031A85">
              <w:t>4</w:t>
            </w:r>
            <w:r>
              <w:t>,</w:t>
            </w:r>
            <w:r w:rsidRPr="00031A85">
              <w:t>54</w:t>
            </w:r>
            <w:r>
              <w:t> %</w:t>
            </w:r>
          </w:p>
        </w:tc>
        <w:tc>
          <w:tcPr>
            <w:tcW w:w="220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 xml:space="preserve"> % - </w:t>
            </w:r>
            <w:r w:rsidRPr="00031A85">
              <w:t>4</w:t>
            </w:r>
            <w:r>
              <w:t>,</w:t>
            </w:r>
            <w:r w:rsidRPr="00031A85">
              <w:t>54</w:t>
            </w:r>
            <w:r>
              <w:t> %</w:t>
            </w:r>
          </w:p>
        </w:tc>
      </w:tr>
      <w:tr w:rsidR="005B4EEC" w:rsidTr="006D3185">
        <w:tc>
          <w:tcPr>
            <w:tcW w:w="526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Euratom</w:t>
            </w:r>
          </w:p>
        </w:tc>
        <w:tc>
          <w:tcPr>
            <w:tcW w:w="228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 xml:space="preserve"> % - </w:t>
            </w:r>
            <w:r w:rsidRPr="00031A85">
              <w:t>5</w:t>
            </w:r>
            <w:r>
              <w:t>,</w:t>
            </w:r>
            <w:r w:rsidRPr="00031A85">
              <w:t>68</w:t>
            </w:r>
            <w:r>
              <w:t xml:space="preserve"> %</w:t>
            </w:r>
          </w:p>
        </w:tc>
        <w:tc>
          <w:tcPr>
            <w:tcW w:w="220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 xml:space="preserve"> % - </w:t>
            </w:r>
            <w:r w:rsidRPr="00031A85">
              <w:t>5</w:t>
            </w:r>
            <w:r>
              <w:t>,</w:t>
            </w:r>
            <w:r w:rsidRPr="00031A85">
              <w:t>67</w:t>
            </w:r>
            <w:r>
              <w:t xml:space="preserve"> %</w:t>
            </w:r>
          </w:p>
        </w:tc>
      </w:tr>
      <w:tr w:rsidR="005B4EEC" w:rsidTr="006D3185">
        <w:tc>
          <w:tcPr>
            <w:tcW w:w="526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Balance des paiements (BDP)</w:t>
            </w:r>
          </w:p>
        </w:tc>
        <w:tc>
          <w:tcPr>
            <w:tcW w:w="228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2</w:t>
            </w:r>
            <w:r>
              <w:t>,</w:t>
            </w:r>
            <w:r w:rsidRPr="00031A85">
              <w:t>37</w:t>
            </w:r>
            <w:r>
              <w:t xml:space="preserve"> % - </w:t>
            </w:r>
            <w:r w:rsidRPr="00031A85">
              <w:t>3</w:t>
            </w:r>
            <w:r>
              <w:t>,</w:t>
            </w:r>
            <w:r w:rsidRPr="00031A85">
              <w:t>37</w:t>
            </w:r>
            <w:r>
              <w:t xml:space="preserve"> %</w:t>
            </w:r>
          </w:p>
        </w:tc>
        <w:tc>
          <w:tcPr>
            <w:tcW w:w="220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2</w:t>
            </w:r>
            <w:r>
              <w:t>,</w:t>
            </w:r>
            <w:r w:rsidRPr="00031A85">
              <w:t>37</w:t>
            </w:r>
            <w:r>
              <w:t xml:space="preserve"> % - </w:t>
            </w:r>
            <w:r w:rsidRPr="00031A85">
              <w:t>3</w:t>
            </w:r>
            <w:r>
              <w:t>,</w:t>
            </w:r>
            <w:r w:rsidRPr="00031A85">
              <w:t>62</w:t>
            </w:r>
            <w:r>
              <w:t xml:space="preserve"> %</w:t>
            </w:r>
          </w:p>
        </w:tc>
      </w:tr>
      <w:tr w:rsidR="005B4EEC" w:rsidTr="006D3185">
        <w:tc>
          <w:tcPr>
            <w:tcW w:w="526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Mécanisme européen de stabilisation financière (MESF)</w:t>
            </w:r>
          </w:p>
        </w:tc>
        <w:tc>
          <w:tcPr>
            <w:tcW w:w="228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w:t>
            </w:r>
            <w:r w:rsidRPr="00031A85">
              <w:t>62</w:t>
            </w:r>
            <w:r>
              <w:t xml:space="preserve"> % - </w:t>
            </w:r>
            <w:r w:rsidRPr="00031A85">
              <w:t>3</w:t>
            </w:r>
            <w:r>
              <w:t>,</w:t>
            </w:r>
            <w:r w:rsidRPr="00031A85">
              <w:t>75</w:t>
            </w:r>
            <w:r>
              <w:t xml:space="preserve"> %</w:t>
            </w:r>
          </w:p>
        </w:tc>
        <w:tc>
          <w:tcPr>
            <w:tcW w:w="220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0</w:t>
            </w:r>
            <w:r>
              <w:t>,</w:t>
            </w:r>
            <w:r w:rsidRPr="00031A85">
              <w:t>62</w:t>
            </w:r>
            <w:r>
              <w:t xml:space="preserve"> % - </w:t>
            </w:r>
            <w:r w:rsidRPr="00031A85">
              <w:t>3</w:t>
            </w:r>
            <w:r>
              <w:t>,</w:t>
            </w:r>
            <w:r w:rsidRPr="00031A85">
              <w:t>75</w:t>
            </w:r>
            <w:r>
              <w:t xml:space="preserve"> %</w:t>
            </w:r>
          </w:p>
        </w:tc>
      </w:tr>
      <w:tr w:rsidR="005B4EEC" w:rsidTr="006D3185">
        <w:tc>
          <w:tcPr>
            <w:tcW w:w="526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CECA en liquidation</w:t>
            </w:r>
          </w:p>
        </w:tc>
        <w:tc>
          <w:tcPr>
            <w:tcW w:w="228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6</w:t>
            </w:r>
            <w:r>
              <w:t>,</w:t>
            </w:r>
            <w:r w:rsidRPr="00031A85">
              <w:t>92</w:t>
            </w:r>
            <w:r>
              <w:t xml:space="preserve"> % - </w:t>
            </w:r>
            <w:r w:rsidRPr="00031A85">
              <w:t>9</w:t>
            </w:r>
            <w:r>
              <w:t>,</w:t>
            </w:r>
            <w:r w:rsidRPr="00031A85">
              <w:t>78</w:t>
            </w:r>
            <w:r>
              <w:t xml:space="preserve"> %</w:t>
            </w:r>
          </w:p>
        </w:tc>
        <w:tc>
          <w:tcPr>
            <w:tcW w:w="220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031A85">
              <w:t>6</w:t>
            </w:r>
            <w:r>
              <w:t>,</w:t>
            </w:r>
            <w:r w:rsidRPr="00031A85">
              <w:t>92</w:t>
            </w:r>
            <w:r>
              <w:t xml:space="preserve"> % - </w:t>
            </w:r>
            <w:r w:rsidRPr="00031A85">
              <w:t>9</w:t>
            </w:r>
            <w:r>
              <w:t>,</w:t>
            </w:r>
            <w:r w:rsidRPr="00031A85">
              <w:t>78</w:t>
            </w:r>
            <w:r>
              <w:t xml:space="preserve"> %</w:t>
            </w:r>
          </w:p>
        </w:tc>
      </w:tr>
    </w:tbl>
    <w:p w:rsidR="00FB0C75" w:rsidRPr="001578A7" w:rsidRDefault="00525E53" w:rsidP="00FB0C75">
      <w:pPr>
        <w:pStyle w:val="Textstand-alone"/>
        <w:spacing w:before="0"/>
        <w:rPr>
          <w:noProof w:val="0"/>
        </w:rPr>
      </w:pPr>
      <w:r>
        <w:t xml:space="preserve"> </w:t>
      </w:r>
    </w:p>
    <w:p w:rsidR="00FB0C75" w:rsidRPr="001578A7" w:rsidRDefault="00525E53" w:rsidP="00FB0C75">
      <w:pPr>
        <w:pStyle w:val="HEADER4Part2"/>
        <w:tabs>
          <w:tab w:val="num" w:pos="360"/>
        </w:tabs>
        <w:spacing w:before="0" w:after="0"/>
      </w:pPr>
      <w:r>
        <w:t>Autres passifs financiers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1" w:name="DOC_TBL00046_1_1"/>
            <w:bookmarkEnd w:id="25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Non courantes</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liés aux contrats de location-financement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545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648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Bâtiments payés par tranches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352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160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2</w:t>
            </w:r>
            <w:r>
              <w:rPr>
                <w:b/>
                <w:i w:val="0"/>
              </w:rPr>
              <w:t xml:space="preserve"> </w:t>
            </w:r>
            <w:r w:rsidRPr="00031A85">
              <w:rPr>
                <w:b/>
                <w:i w:val="0"/>
              </w:rPr>
              <w:t>034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2</w:t>
            </w:r>
            <w:r>
              <w:rPr>
                <w:b/>
                <w:i w:val="0"/>
              </w:rPr>
              <w:t xml:space="preserve"> </w:t>
            </w:r>
            <w:r w:rsidRPr="00031A85">
              <w:rPr>
                <w:b/>
                <w:i w:val="0"/>
              </w:rPr>
              <w:t>122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Courantes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Amendes à rembourser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Passifs liés aux contrats de location-financement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Bâtiments payés par tranches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21</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189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721</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D429A2" w:rsidRDefault="00525E53" w:rsidP="00FB0C75">
            <w:pPr>
              <w:pStyle w:val="Text9pNormalLeft"/>
              <w:rPr>
                <w:rFonts w:cs="Verdana"/>
                <w:b/>
              </w:rPr>
            </w:pPr>
            <w:r>
              <w:rPr>
                <w:b/>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2</w:t>
            </w:r>
            <w:r>
              <w:rPr>
                <w:b/>
                <w:i w:val="0"/>
              </w:rPr>
              <w:t xml:space="preserve"> </w:t>
            </w:r>
            <w:r w:rsidRPr="00031A85">
              <w:rPr>
                <w:b/>
                <w:i w:val="0"/>
              </w:rPr>
              <w:t>222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2</w:t>
            </w:r>
            <w:r>
              <w:rPr>
                <w:b/>
                <w:i w:val="0"/>
              </w:rPr>
              <w:t xml:space="preserve"> </w:t>
            </w:r>
            <w:r w:rsidRPr="00031A85">
              <w:rPr>
                <w:b/>
                <w:i w:val="0"/>
              </w:rPr>
              <w:t>842</w:t>
            </w:r>
          </w:p>
        </w:tc>
      </w:tr>
    </w:tbl>
    <w:p w:rsidR="00FB0C75" w:rsidRPr="001578A7" w:rsidRDefault="00525E53" w:rsidP="00FB0C75">
      <w:pPr>
        <w:pStyle w:val="DGTextstand-alone"/>
        <w:spacing w:after="0"/>
        <w:rPr>
          <w:noProof w:val="0"/>
        </w:rPr>
      </w:pPr>
      <w:r>
        <w:t xml:space="preserve"> </w:t>
      </w:r>
    </w:p>
    <w:p w:rsidR="00FB0C75" w:rsidRPr="001578A7" w:rsidRDefault="00525E53" w:rsidP="00FB0C75">
      <w:pPr>
        <w:pStyle w:val="HEADER5"/>
        <w:rPr>
          <w:b w:val="0"/>
        </w:rPr>
      </w:pPr>
      <w:r>
        <w:rPr>
          <w:b w:val="0"/>
        </w:rPr>
        <w:t>Passifs liés aux contrats de location-financement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rsidR="005B4EEC">
        <w:tc>
          <w:tcPr>
            <w:tcW w:w="3936"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jc w:val="left"/>
              <w:rPr>
                <w:rFonts w:eastAsia="Times New Roman" w:cs="Verdana"/>
                <w:i/>
              </w:rPr>
            </w:pPr>
            <w:bookmarkStart w:id="252" w:name="DOC_TBL00047_1_1"/>
            <w:bookmarkEnd w:id="252"/>
          </w:p>
        </w:tc>
        <w:tc>
          <w:tcPr>
            <w:tcW w:w="1452"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Description</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Montants futurs à payer</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 xml:space="preserve">&lt; </w:t>
            </w:r>
            <w:r w:rsidRPr="00031A85">
              <w:t>1</w:t>
            </w:r>
            <w:r>
              <w:t xml:space="preserve"> an</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rsidRPr="00031A85">
              <w:t>1</w:t>
            </w:r>
            <w:r>
              <w:t>-</w:t>
            </w:r>
            <w:r w:rsidRPr="00031A85">
              <w:t>5</w:t>
            </w:r>
            <w:r>
              <w:t xml:space="preserve"> ans</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 xml:space="preserve">&gt; </w:t>
            </w:r>
            <w:r w:rsidRPr="00031A85">
              <w:t>5</w:t>
            </w:r>
            <w:r>
              <w:t xml:space="preserve"> ans</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Total du passif</w:t>
            </w:r>
          </w:p>
        </w:tc>
      </w:tr>
      <w:tr w:rsidR="005B4EEC">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Terrains et bâtiments</w:t>
            </w:r>
          </w:p>
        </w:tc>
        <w:tc>
          <w:tcPr>
            <w:tcW w:w="145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80</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403</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136</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619</w:t>
            </w:r>
          </w:p>
        </w:tc>
      </w:tr>
      <w:tr w:rsidR="005B4EEC">
        <w:tc>
          <w:tcPr>
            <w:tcW w:w="393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 immobilisations corporelles</w:t>
            </w:r>
          </w:p>
        </w:tc>
        <w:tc>
          <w:tcPr>
            <w:tcW w:w="145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2016</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84</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409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136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629</w:t>
            </w:r>
          </w:p>
        </w:tc>
      </w:tr>
      <w:tr w:rsidR="005B4EEC">
        <w:tc>
          <w:tcPr>
            <w:tcW w:w="393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Partie d’intérêts</w:t>
            </w:r>
          </w:p>
        </w:tc>
        <w:tc>
          <w:tcPr>
            <w:tcW w:w="14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72</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269</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304</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645</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des paiements minimaux futurs au titre de la location au </w:t>
            </w:r>
            <w:r w:rsidRPr="00031A85">
              <w:t>31</w:t>
            </w:r>
            <w:r>
              <w:t>.</w:t>
            </w:r>
            <w:r w:rsidRPr="00031A85">
              <w:t>12</w:t>
            </w:r>
            <w:r>
              <w:t>.</w:t>
            </w:r>
            <w:r w:rsidRPr="00031A85">
              <w:t>2016</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156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678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439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w:t>
            </w:r>
            <w:r>
              <w:t xml:space="preserve"> </w:t>
            </w:r>
            <w:r w:rsidRPr="00031A85">
              <w:t>274</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6D3185">
            <w:pPr>
              <w:pStyle w:val="Text9pItalicLeft"/>
              <w:rPr>
                <w:rFonts w:cs="Verdana"/>
              </w:rPr>
            </w:pPr>
            <w:r>
              <w:t xml:space="preserve">Total des paiements minimaux futurs au titre de la location au </w:t>
            </w:r>
            <w:r w:rsidRPr="00031A85">
              <w:t>31</w:t>
            </w:r>
            <w:r>
              <w:t>.</w:t>
            </w:r>
            <w:r w:rsidRPr="00031A85">
              <w:t>12</w:t>
            </w:r>
            <w:r>
              <w:t>.</w:t>
            </w:r>
            <w:r w:rsidRPr="00031A85">
              <w:t>2015</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132</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658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608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396</w:t>
            </w:r>
          </w:p>
        </w:tc>
      </w:tr>
    </w:tbl>
    <w:p w:rsidR="00FB0C75" w:rsidRPr="001578A7" w:rsidRDefault="00525E53" w:rsidP="00FB0C75">
      <w:pPr>
        <w:pStyle w:val="Textstand-alone"/>
        <w:spacing w:before="0" w:after="120"/>
        <w:rPr>
          <w:noProof w:val="0"/>
        </w:rPr>
      </w:pPr>
      <w:r>
        <w:t xml:space="preserve"> </w:t>
      </w:r>
    </w:p>
    <w:p w:rsidR="00FB0C75" w:rsidRPr="001578A7" w:rsidRDefault="00525E53" w:rsidP="00FB0C75">
      <w:pPr>
        <w:pStyle w:val="Textstand-alone"/>
        <w:spacing w:before="0" w:after="120"/>
        <w:rPr>
          <w:noProof w:val="0"/>
        </w:rPr>
      </w:pPr>
      <w:r>
        <w:t>Les montants relatifs à la location et aux bâtiments indiqués ci-dessus devront être financés par les budgets ultérieurs.</w:t>
      </w:r>
    </w:p>
    <w:p w:rsidR="00FB0C75" w:rsidRPr="001578A7" w:rsidRDefault="00525E53" w:rsidP="00FB0C75">
      <w:pPr>
        <w:pStyle w:val="Textstand-alone"/>
        <w:spacing w:before="0"/>
        <w:rPr>
          <w:noProof w:val="0"/>
        </w:rPr>
      </w:pPr>
      <w:r>
        <w:t xml:space="preserve"> </w:t>
      </w:r>
    </w:p>
    <w:p w:rsidR="00FB0C75" w:rsidRPr="001578A7" w:rsidRDefault="00525E53" w:rsidP="00FB0C75">
      <w:pPr>
        <w:pStyle w:val="HEADER3Part2"/>
        <w:spacing w:before="0" w:after="240"/>
      </w:pPr>
      <w:r>
        <w:t xml:space="preserve">Passifs financiers à la juste valeur par le biais de l’excédent ou du déficit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3" w:name="DOC_TBL00048_1_1"/>
            <w:bookmarkEnd w:id="253"/>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2016</w:t>
            </w:r>
          </w:p>
        </w:tc>
        <w:tc>
          <w:tcPr>
            <w:tcW w:w="4110"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2015</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Montant notionnel branche receveur</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 xml:space="preserve">Montant notionnel </w:t>
            </w:r>
            <w:r>
              <w:br/>
              <w:t>branche payeur</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Juste valeur</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Montant notionnel branche receveur</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 xml:space="preserve">Montant notionnel </w:t>
            </w:r>
            <w:r>
              <w:br/>
              <w:t>branche payeur</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Juste valeur</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Contrat de change à terme</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99</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101</w:t>
            </w: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bl>
    <w:p w:rsidR="00FB0C75" w:rsidRPr="001578A7" w:rsidRDefault="00FB0C75" w:rsidP="00FB0C75">
      <w:pPr>
        <w:pStyle w:val="Textstand-alone"/>
        <w:spacing w:before="0"/>
        <w:rPr>
          <w:noProof w:val="0"/>
        </w:rPr>
      </w:pPr>
    </w:p>
    <w:p w:rsidR="00FB0C75" w:rsidRPr="001578A7" w:rsidRDefault="00525E53" w:rsidP="00FB0C75">
      <w:pPr>
        <w:pStyle w:val="Textstand-alone"/>
        <w:spacing w:before="0"/>
        <w:rPr>
          <w:noProof w:val="0"/>
        </w:rPr>
      </w:pPr>
      <w:r>
        <w:t xml:space="preserve">Les passifs financiers à la juste valeur par le biais de l’excédent ou du déficit au </w:t>
      </w:r>
      <w:r w:rsidRPr="00031A85">
        <w:t>31</w:t>
      </w:r>
      <w:r>
        <w:t> décembre </w:t>
      </w:r>
      <w:r w:rsidRPr="00031A85">
        <w:t>2016</w:t>
      </w:r>
      <w:r>
        <w:t xml:space="preserve"> correspondent à un contrat de change à terme que l’UE a conclu en </w:t>
      </w:r>
      <w:r w:rsidRPr="00031A85">
        <w:t>2016</w:t>
      </w:r>
      <w:r>
        <w:t xml:space="preserve"> afin de couvrir le risque de change lié aux titres de créance libellés en USD détenus dans le Fonds de garantie de l’EFSI – voir la note</w:t>
      </w:r>
      <w:r>
        <w:rPr>
          <w:b/>
          <w:noProof w:val="0"/>
        </w:rPr>
        <w:t> </w:t>
      </w:r>
      <w:r w:rsidRPr="00031A85">
        <w:rPr>
          <w:b/>
          <w:noProof w:val="0"/>
        </w:rPr>
        <w:t>2</w:t>
      </w:r>
      <w:r>
        <w:rPr>
          <w:b/>
          <w:noProof w:val="0"/>
        </w:rPr>
        <w:t>.</w:t>
      </w:r>
      <w:r w:rsidRPr="00031A85">
        <w:rPr>
          <w:b/>
          <w:noProof w:val="0"/>
        </w:rPr>
        <w:t>4</w:t>
      </w:r>
      <w:r>
        <w:rPr>
          <w:b/>
          <w:noProof w:val="0"/>
        </w:rPr>
        <w:t>.</w:t>
      </w:r>
      <w:r w:rsidRPr="00031A85">
        <w:rPr>
          <w:b/>
          <w:noProof w:val="0"/>
        </w:rPr>
        <w:t>2</w:t>
      </w:r>
      <w:r>
        <w:rPr>
          <w:b/>
          <w:noProof w:val="0"/>
        </w:rPr>
        <w:t>.</w:t>
      </w:r>
      <w:r>
        <w:t xml:space="preserve"> </w:t>
      </w:r>
    </w:p>
    <w:p w:rsidR="00FB0C75" w:rsidRPr="001578A7" w:rsidRDefault="00525E53" w:rsidP="00FB0C75">
      <w:pPr>
        <w:pStyle w:val="Textstand-alone"/>
        <w:spacing w:before="0"/>
        <w:rPr>
          <w:noProof w:val="0"/>
        </w:rPr>
      </w:pPr>
      <w:r>
        <w:t xml:space="preserve">Au </w:t>
      </w:r>
      <w:r w:rsidRPr="00031A85">
        <w:t>31</w:t>
      </w:r>
      <w:r>
        <w:t> décembre </w:t>
      </w:r>
      <w:r w:rsidRPr="00031A85">
        <w:t>2016</w:t>
      </w:r>
      <w:r>
        <w:t>, tous les passifs financiers à la juste valeur par le biais de l’excédent ou du déficit étaient classés au niveau </w:t>
      </w:r>
      <w:r w:rsidRPr="00031A85">
        <w:t>2</w:t>
      </w:r>
      <w:r>
        <w:t xml:space="preserve"> de la hiérarchie des justes valeurs (valorisation basée sur des données observables autres que les prix cotés).</w:t>
      </w:r>
    </w:p>
    <w:p w:rsidR="00FB0C75" w:rsidRPr="001578A7" w:rsidRDefault="00525E53" w:rsidP="00FB0C75">
      <w:pPr>
        <w:pStyle w:val="HEADER3Part2"/>
        <w:spacing w:before="0" w:after="240"/>
      </w:pPr>
      <w:r>
        <w:t>Passifs liés à la garantie financière</w:t>
      </w:r>
    </w:p>
    <w:p w:rsidR="00FB0C75" w:rsidRPr="001578A7" w:rsidRDefault="00525E53" w:rsidP="00FB0C75">
      <w:pPr>
        <w:pStyle w:val="Textstand-alone"/>
        <w:spacing w:after="360"/>
        <w:rPr>
          <w:noProof w:val="0"/>
        </w:rPr>
      </w:pPr>
      <w:r>
        <w:t xml:space="preserve">Les passifs liés à la garantie financière correspondent à la garantie offerte au titre de l’EFSI. Au </w:t>
      </w:r>
      <w:r w:rsidRPr="00031A85">
        <w:t>31</w:t>
      </w:r>
      <w:r>
        <w:t> décembre </w:t>
      </w:r>
      <w:r w:rsidRPr="00031A85">
        <w:t>2016</w:t>
      </w:r>
      <w:r>
        <w:t>, le passif lié à la garantie financière de l’EFSI était de zéro EUR, étant donné que les produits à recevoir au titre de la garantie excèdent les pertes attendues (voir la note </w:t>
      </w:r>
      <w:r w:rsidRPr="00031A85">
        <w:rPr>
          <w:b/>
          <w:noProof w:val="0"/>
        </w:rPr>
        <w:t>4</w:t>
      </w:r>
      <w:r>
        <w:rPr>
          <w:b/>
          <w:noProof w:val="0"/>
        </w:rPr>
        <w:t>.</w:t>
      </w:r>
      <w:r w:rsidRPr="00031A85">
        <w:rPr>
          <w:b/>
          <w:noProof w:val="0"/>
        </w:rPr>
        <w:t>1</w:t>
      </w:r>
      <w:r>
        <w:rPr>
          <w:b/>
          <w:noProof w:val="0"/>
        </w:rPr>
        <w:t>.</w:t>
      </w:r>
      <w:r w:rsidRPr="00031A85">
        <w:rPr>
          <w:b/>
          <w:noProof w:val="0"/>
        </w:rPr>
        <w:t>1</w:t>
      </w:r>
      <w:r>
        <w:t>).</w:t>
      </w:r>
    </w:p>
    <w:p w:rsidR="00FB0C75" w:rsidRPr="001578A7" w:rsidRDefault="00525E53" w:rsidP="00FB0C75">
      <w:pPr>
        <w:pStyle w:val="Textstand-alone"/>
        <w:spacing w:before="0"/>
        <w:rPr>
          <w:noProof w:val="0"/>
        </w:rPr>
        <w:sectPr w:rsidR="00FB0C75" w:rsidRPr="001578A7" w:rsidSect="00FB0C75">
          <w:headerReference w:type="even" r:id="rId226"/>
          <w:headerReference w:type="default" r:id="rId227"/>
          <w:footerReference w:type="even" r:id="rId228"/>
          <w:footerReference w:type="default" r:id="rId229"/>
          <w:headerReference w:type="first" r:id="rId230"/>
          <w:footerReference w:type="first" r:id="rId231"/>
          <w:pgSz w:w="11906" w:h="16838"/>
          <w:pgMar w:top="1134" w:right="1134" w:bottom="1134" w:left="1134" w:header="709" w:footer="709" w:gutter="0"/>
          <w:cols w:space="708"/>
          <w:docGrid w:linePitch="360"/>
        </w:sectPr>
      </w:pPr>
      <w:r>
        <w:rPr>
          <w:b/>
          <w:noProof w:val="0"/>
        </w:rPr>
        <w:t xml:space="preserve"> </w:t>
      </w:r>
      <w:bookmarkEnd w:id="246"/>
    </w:p>
    <w:p w:rsidR="00FB0C75" w:rsidRDefault="00525E53" w:rsidP="00FB0C75">
      <w:pPr>
        <w:pStyle w:val="HEADER2Part2"/>
      </w:pPr>
      <w:bookmarkStart w:id="254" w:name="_DMBM_8964"/>
      <w:r>
        <w:t>SOMMES À PAYER</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rPr>
          <w:cantSplit/>
        </w:trPr>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5" w:name="DOC_TBL00049_1_1"/>
            <w:bookmarkEnd w:id="255"/>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trPr>
          <w:cantSplit/>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Ajuste-</w:t>
            </w:r>
          </w:p>
          <w:p w:rsidR="00FB0C75" w:rsidRDefault="00525E53" w:rsidP="00FB0C75">
            <w:pPr>
              <w:pStyle w:val="Heading8pNormalCentered"/>
              <w:rPr>
                <w:rFonts w:eastAsia="Times New Roman" w:cs="Verdana"/>
              </w:rPr>
            </w:pPr>
            <w:r>
              <w:t>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ind w:left="-108" w:firstLine="108"/>
              <w:rPr>
                <w:rFonts w:eastAsia="Times New Roman" w:cs="Verdana"/>
              </w:rPr>
            </w:pPr>
            <w:r>
              <w:t xml:space="preserve">Valeur nette au </w:t>
            </w:r>
            <w:r w:rsidRPr="00031A85">
              <w:t>31</w:t>
            </w:r>
            <w:r>
              <w:t>.</w:t>
            </w:r>
            <w:r w:rsidRPr="00031A85">
              <w:t>12</w:t>
            </w:r>
            <w:r>
              <w:t>.</w:t>
            </w:r>
            <w:r w:rsidRPr="00031A85">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Valeur brute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Ajuste-</w:t>
            </w:r>
          </w:p>
          <w:p w:rsidR="00FB0C75" w:rsidRDefault="00525E53" w:rsidP="00FB0C75">
            <w:pPr>
              <w:pStyle w:val="Heading8pNormalCentered"/>
              <w:rPr>
                <w:rFonts w:eastAsia="Times New Roman" w:cs="Verdana"/>
              </w:rPr>
            </w:pPr>
            <w:r>
              <w:t>ments*</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Valeur nette </w:t>
            </w:r>
            <w:r>
              <w:br/>
              <w:t xml:space="preserve">au </w:t>
            </w:r>
            <w:r w:rsidRPr="00031A85">
              <w:t>31</w:t>
            </w:r>
            <w:r>
              <w:t>.</w:t>
            </w:r>
            <w:r w:rsidRPr="00031A85">
              <w:t>12</w:t>
            </w:r>
            <w:r>
              <w:t>.</w:t>
            </w:r>
            <w:r w:rsidRPr="00031A85">
              <w:t>2015</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8pItalicLeft"/>
              <w:rPr>
                <w:rFonts w:cs="Verdana"/>
                <w:b/>
              </w:rPr>
            </w:pPr>
            <w:r>
              <w:rPr>
                <w:b/>
              </w:rPr>
              <w:t>Déclarations de dépenses et factures reçues de:</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États membres:</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Feader et autres instruments de développement rural</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500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34</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467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621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230</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w:t>
            </w:r>
            <w:r>
              <w:t xml:space="preserve"> </w:t>
            </w:r>
            <w:r w:rsidRPr="00031A85">
              <w:t>391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FEDER et FC</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10</w:t>
            </w:r>
            <w:r>
              <w:t xml:space="preserve"> </w:t>
            </w:r>
            <w:r w:rsidRPr="00031A85">
              <w:t>663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793</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9</w:t>
            </w:r>
            <w:r>
              <w:t xml:space="preserve"> </w:t>
            </w:r>
            <w:r w:rsidRPr="00031A85">
              <w:t>871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8</w:t>
            </w:r>
            <w:r>
              <w:t xml:space="preserve"> </w:t>
            </w:r>
            <w:r w:rsidRPr="00031A85">
              <w:t>361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950</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7</w:t>
            </w:r>
            <w:r>
              <w:t xml:space="preserve"> </w:t>
            </w:r>
            <w:r w:rsidRPr="00031A85">
              <w:t>411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FSE</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145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95</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4</w:t>
            </w:r>
            <w:r>
              <w:t xml:space="preserve"> </w:t>
            </w:r>
            <w:r w:rsidRPr="00031A85">
              <w:t>050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355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2</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3</w:t>
            </w:r>
            <w:r>
              <w:t xml:space="preserve"> </w:t>
            </w:r>
            <w:r w:rsidRPr="00031A85">
              <w:t>353</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Autres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793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47</w:t>
            </w: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747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434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102</w:t>
            </w: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w:t>
            </w:r>
            <w:r w:rsidRPr="00031A85">
              <w:t>332</w:t>
            </w:r>
          </w:p>
        </w:tc>
      </w:tr>
      <w:tr w:rsidR="005B4EEC" w:rsidTr="00D429A2">
        <w:trPr>
          <w:cantSplit/>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Entités publiques et privées</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sidRPr="00031A85">
              <w:rPr>
                <w:color w:val="auto"/>
              </w:rPr>
              <w:t>1</w:t>
            </w:r>
            <w:r>
              <w:rPr>
                <w:color w:val="auto"/>
              </w:rPr>
              <w:t xml:space="preserve"> </w:t>
            </w:r>
            <w:r w:rsidRPr="00031A85">
              <w:rPr>
                <w:color w:val="auto"/>
              </w:rPr>
              <w:t>677</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 xml:space="preserve"> (</w:t>
            </w:r>
            <w:r w:rsidRPr="00031A85">
              <w:rPr>
                <w:color w:val="auto"/>
              </w:rPr>
              <w:t>169</w:t>
            </w:r>
            <w:r>
              <w:rPr>
                <w:color w:val="auto"/>
              </w:rPr>
              <w:t>)</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color w:val="auto"/>
              </w:rPr>
            </w:pPr>
            <w:r w:rsidRPr="00031A85">
              <w:rPr>
                <w:color w:val="auto"/>
              </w:rPr>
              <w:t>1</w:t>
            </w:r>
            <w:r>
              <w:rPr>
                <w:color w:val="auto"/>
              </w:rPr>
              <w:t xml:space="preserve"> </w:t>
            </w:r>
            <w:r w:rsidRPr="00031A85">
              <w:rPr>
                <w:color w:val="auto"/>
              </w:rPr>
              <w:t>507</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sidRPr="00031A85">
              <w:rPr>
                <w:color w:val="auto"/>
              </w:rPr>
              <w:t>1</w:t>
            </w:r>
            <w:r>
              <w:rPr>
                <w:color w:val="auto"/>
              </w:rPr>
              <w:t xml:space="preserve"> </w:t>
            </w:r>
            <w:r w:rsidRPr="00031A85">
              <w:rPr>
                <w:color w:val="auto"/>
              </w:rPr>
              <w:t>928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 xml:space="preserve"> (</w:t>
            </w:r>
            <w:r w:rsidRPr="00031A85">
              <w:rPr>
                <w:color w:val="auto"/>
              </w:rPr>
              <w:t>223</w:t>
            </w:r>
            <w:r>
              <w:rPr>
                <w:color w:val="auto"/>
              </w:rPr>
              <w:t>)</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sidRPr="00031A85">
              <w:rPr>
                <w:color w:val="auto"/>
              </w:rPr>
              <w:t>1</w:t>
            </w:r>
            <w:r>
              <w:rPr>
                <w:color w:val="auto"/>
              </w:rPr>
              <w:t xml:space="preserve"> </w:t>
            </w:r>
            <w:r w:rsidRPr="00031A85">
              <w:rPr>
                <w:color w:val="auto"/>
              </w:rPr>
              <w:t>705</w:t>
            </w:r>
          </w:p>
        </w:tc>
      </w:tr>
      <w:tr w:rsidR="005B4EEC" w:rsidTr="00D429A2">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Total des déclarations de dépenses et factures reçues</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17</w:t>
            </w:r>
            <w:r>
              <w:t xml:space="preserve"> </w:t>
            </w:r>
            <w:r w:rsidRPr="00031A85">
              <w:t>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w:t>
            </w:r>
            <w:r>
              <w:t xml:space="preserve"> </w:t>
            </w:r>
            <w:r w:rsidRPr="00031A85">
              <w:t>138</w:t>
            </w:r>
            <w:r>
              <w:t>)</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16</w:t>
            </w:r>
            <w:r>
              <w:t xml:space="preserve"> </w:t>
            </w:r>
            <w:r w:rsidRPr="00031A85">
              <w:t>641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16</w:t>
            </w:r>
            <w:r>
              <w:t xml:space="preserve"> </w:t>
            </w:r>
            <w:r w:rsidRPr="00031A85">
              <w:t>699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w:t>
            </w:r>
            <w:r>
              <w:t xml:space="preserve"> </w:t>
            </w:r>
            <w:r w:rsidRPr="00031A85">
              <w:t>507</w:t>
            </w:r>
            <w:r>
              <w:t>)</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15</w:t>
            </w:r>
            <w:r>
              <w:t xml:space="preserve"> </w:t>
            </w:r>
            <w:r w:rsidRPr="00031A85">
              <w:t>192</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D429A2">
            <w:pPr>
              <w:pStyle w:val="Text8pBoldLeft"/>
              <w:rPr>
                <w:rFonts w:eastAsia="Times New Roman" w:cs="Verdana"/>
              </w:rPr>
            </w:pPr>
            <w:r>
              <w:t>FEAGA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12</w:t>
            </w:r>
            <w:r>
              <w:t xml:space="preserve"> </w:t>
            </w:r>
            <w:r w:rsidRPr="00031A85">
              <w:t>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12</w:t>
            </w:r>
            <w:r>
              <w:t xml:space="preserve"> </w:t>
            </w:r>
            <w:r w:rsidRPr="00031A85">
              <w:t>193</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6</w:t>
            </w:r>
            <w:r>
              <w:t xml:space="preserve"> </w:t>
            </w:r>
            <w:r w:rsidRPr="00031A85">
              <w:t>851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6</w:t>
            </w:r>
            <w:r>
              <w:t xml:space="preserve"> </w:t>
            </w:r>
            <w:r w:rsidRPr="00031A85">
              <w:t>851</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Sommes à payer - ressources propres</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10</w:t>
            </w:r>
            <w:r>
              <w:t xml:space="preserve"> </w:t>
            </w:r>
            <w:r w:rsidRPr="00031A85">
              <w:t>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10</w:t>
            </w:r>
            <w:r>
              <w:t xml:space="preserve"> </w:t>
            </w:r>
            <w:r w:rsidRPr="00031A85">
              <w:t>441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9</w:t>
            </w:r>
            <w:r>
              <w:t xml:space="preserve"> </w:t>
            </w:r>
            <w:r w:rsidRPr="00031A85">
              <w:t>506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sidRPr="00031A85">
              <w:t>9</w:t>
            </w:r>
            <w:r>
              <w:t xml:space="preserve"> </w:t>
            </w:r>
            <w:r w:rsidRPr="00031A85">
              <w:t>506</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Sommes à payer - divers</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364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356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356</w:t>
            </w:r>
          </w:p>
        </w:tc>
      </w:tr>
      <w:tr w:rsidR="005B4EEC" w:rsidTr="00FB0C75">
        <w:trPr>
          <w:cantSplit/>
          <w:trHeight w:val="247"/>
        </w:trPr>
        <w:tc>
          <w:tcPr>
            <w:tcW w:w="166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Autres</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364</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364</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286</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s.o.</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w:t>
            </w:r>
            <w:r w:rsidRPr="00031A85">
              <w:t>286</w:t>
            </w:r>
          </w:p>
        </w:tc>
      </w:tr>
      <w:tr w:rsidR="005B4EEC" w:rsidTr="00FB0C75">
        <w:trPr>
          <w:cantSplit/>
          <w:trHeight w:val="247"/>
        </w:trPr>
        <w:tc>
          <w:tcPr>
            <w:tcW w:w="166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41</w:t>
            </w:r>
            <w:r>
              <w:t xml:space="preserve"> </w:t>
            </w:r>
            <w:r w:rsidRPr="00031A85">
              <w:t>142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w:t>
            </w:r>
            <w:r>
              <w:t xml:space="preserve"> </w:t>
            </w:r>
            <w:r w:rsidRPr="00031A85">
              <w:t>138</w:t>
            </w:r>
            <w:r>
              <w:t>)</w:t>
            </w:r>
          </w:p>
        </w:tc>
        <w:tc>
          <w:tcPr>
            <w:tcW w:w="1276"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40</w:t>
            </w:r>
            <w:r>
              <w:t xml:space="preserve"> </w:t>
            </w:r>
            <w:r w:rsidRPr="00031A85">
              <w:t>005</w:t>
            </w:r>
          </w:p>
        </w:tc>
        <w:tc>
          <w:tcPr>
            <w:tcW w:w="1417"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33</w:t>
            </w:r>
            <w:r>
              <w:t xml:space="preserve"> </w:t>
            </w:r>
            <w:r w:rsidRPr="00031A85">
              <w:t>698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w:t>
            </w:r>
            <w:r w:rsidRPr="00031A85">
              <w:t>1</w:t>
            </w:r>
            <w:r>
              <w:t xml:space="preserve"> </w:t>
            </w:r>
            <w:r w:rsidRPr="00031A85">
              <w:t>507</w:t>
            </w:r>
            <w:r>
              <w:t>)</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32</w:t>
            </w:r>
            <w:r>
              <w:t xml:space="preserve"> </w:t>
            </w:r>
            <w:r w:rsidRPr="00031A85">
              <w:t>191</w:t>
            </w:r>
          </w:p>
        </w:tc>
      </w:tr>
    </w:tbl>
    <w:p w:rsidR="00FB0C75" w:rsidRPr="00667DD1" w:rsidRDefault="00525E53" w:rsidP="00FB0C75">
      <w:pPr>
        <w:pStyle w:val="Textstand-alone"/>
        <w:spacing w:before="60"/>
        <w:rPr>
          <w:i/>
          <w:sz w:val="14"/>
        </w:rPr>
      </w:pPr>
      <w:r>
        <w:rPr>
          <w:i/>
          <w:sz w:val="14"/>
        </w:rPr>
        <w:t>* Montants non éligibles estimés et autres avances aux États membres en attente.</w:t>
      </w:r>
    </w:p>
    <w:p w:rsidR="00FB0C75" w:rsidRDefault="00525E53" w:rsidP="00FB0C75">
      <w:pPr>
        <w:pStyle w:val="Textstand-alone"/>
      </w:pPr>
      <w:r>
        <w:t xml:space="preserve">Les sommes à payer comprennent les déclarations de dépenses reçues par la Commission dans le cadre d’activités de subvention. Les dettes correspondantes sont créditées à hauteur du montant déclaré lorsque la demande est reçue. Si la contrepartie est un État membre, elles sont classées comme telles. La procédure est identique pour les factures et notes de crédit reçues dans le cadre des marchés publics. Les déclarations en question ont été prises en compte au travers de la coupure de l’exercice. Après les écritures de clôture de l’exercice, les montants éligibles estimés ont donc été inscrits en tant charges à payer, tandis que la partie restante est indiquée comme «Montants non éligibles estimés et autres avances aux États membres en attente» (voir ci-dessous). </w:t>
      </w:r>
    </w:p>
    <w:p w:rsidR="00FB0C75" w:rsidRPr="00D86B9E" w:rsidRDefault="00525E53" w:rsidP="00FB0C75">
      <w:pPr>
        <w:pStyle w:val="Textstand-alone"/>
      </w:pPr>
      <w:r>
        <w:t>La quasi-totalité des déclarations de dépenses sont incluses dans le RAL budgétaire en fin d’exercice: tous les montants des États membres et une grande partie des factures d’autres entités.</w:t>
      </w:r>
    </w:p>
    <w:p w:rsidR="00FB0C75" w:rsidRPr="00D86B9E" w:rsidRDefault="00525E53" w:rsidP="00FB0C75">
      <w:pPr>
        <w:pStyle w:val="Textstand-alone"/>
      </w:pPr>
      <w:r>
        <w:t xml:space="preserve">La principale évolution, qui concerne le Fonds européen agricole de garantie, est due à une meilleure exécution des paiements au niveau des États membres en </w:t>
      </w:r>
      <w:r w:rsidRPr="00031A85">
        <w:t>2016</w:t>
      </w:r>
      <w:r>
        <w:t xml:space="preserve"> par rapport à </w:t>
      </w:r>
      <w:r w:rsidRPr="00031A85">
        <w:t>2015</w:t>
      </w:r>
      <w:r>
        <w:t xml:space="preserve">. Cela signifie que des déclarations de dépenses réelles ont été soumises et qu'il n’a pas été nécessaire de les estimer en fin d’exercice. La hausse de </w:t>
      </w:r>
      <w:r w:rsidRPr="00031A85">
        <w:t>5</w:t>
      </w:r>
      <w:r>
        <w:t>,</w:t>
      </w:r>
      <w:r w:rsidRPr="00031A85">
        <w:t>3</w:t>
      </w:r>
      <w:r>
        <w:t> milliards d’EUR est donc contrebalancée par une baisse similaire au niveau des comptes de régularisation - voir la note </w:t>
      </w:r>
      <w:r w:rsidRPr="00031A85">
        <w:rPr>
          <w:b/>
        </w:rPr>
        <w:t>2</w:t>
      </w:r>
      <w:r>
        <w:rPr>
          <w:b/>
        </w:rPr>
        <w:t>.</w:t>
      </w:r>
      <w:r w:rsidRPr="00031A85">
        <w:rPr>
          <w:b/>
        </w:rPr>
        <w:t>13</w:t>
      </w:r>
      <w:r>
        <w:t>.</w:t>
      </w:r>
    </w:p>
    <w:p w:rsidR="00FB0C75" w:rsidRDefault="00525E53" w:rsidP="00FB0C75">
      <w:pPr>
        <w:pStyle w:val="Textstand-alone"/>
      </w:pPr>
      <w:r>
        <w:t>La forte diminution des sommes à payer au titre du Feader est principalement due à une réduction des demandes reçues pour la période </w:t>
      </w:r>
      <w:r w:rsidRPr="00031A85">
        <w:t>2007</w:t>
      </w:r>
      <w:r>
        <w:t>-</w:t>
      </w:r>
      <w:r w:rsidRPr="00031A85">
        <w:t>2013</w:t>
      </w:r>
      <w:r>
        <w:t>, qui est sur le point d’être clôturée.</w:t>
      </w:r>
    </w:p>
    <w:p w:rsidR="00FB0C75" w:rsidRPr="00D86B9E" w:rsidRDefault="00525E53" w:rsidP="00FB0C75">
      <w:pPr>
        <w:pStyle w:val="Textstand-alone"/>
      </w:pPr>
      <w:r>
        <w:t>L’autre augmentation majeure des sommes à payer concerne la politique de cohésion (</w:t>
      </w:r>
      <w:r w:rsidRPr="00031A85">
        <w:t>13</w:t>
      </w:r>
      <w:r>
        <w:t>,</w:t>
      </w:r>
      <w:r w:rsidRPr="00031A85">
        <w:t>9</w:t>
      </w:r>
      <w:r>
        <w:t xml:space="preserve"> milliards d’EUR en </w:t>
      </w:r>
      <w:r w:rsidRPr="00031A85">
        <w:t>2016</w:t>
      </w:r>
      <w:r>
        <w:t xml:space="preserve"> contre </w:t>
      </w:r>
      <w:r w:rsidRPr="00031A85">
        <w:t>10</w:t>
      </w:r>
      <w:r>
        <w:t>,</w:t>
      </w:r>
      <w:r w:rsidRPr="00031A85">
        <w:t>8</w:t>
      </w:r>
      <w:r>
        <w:t xml:space="preserve"> milliards d’EUR en </w:t>
      </w:r>
      <w:r w:rsidRPr="00031A85">
        <w:t>2015</w:t>
      </w:r>
      <w:r>
        <w:t xml:space="preserve">) et porte essentiellement sur la période de programmation précédente, à savoir </w:t>
      </w:r>
      <w:r w:rsidRPr="00031A85">
        <w:t>2007</w:t>
      </w:r>
      <w:r>
        <w:t>-</w:t>
      </w:r>
      <w:r w:rsidRPr="00031A85">
        <w:t>2013</w:t>
      </w:r>
      <w:r>
        <w:t>. Les déclarations de dépenses transmises pour la période de programmation </w:t>
      </w:r>
      <w:r w:rsidRPr="00031A85">
        <w:t>2014</w:t>
      </w:r>
      <w:r>
        <w:t>-</w:t>
      </w:r>
      <w:r w:rsidRPr="00031A85">
        <w:t>2020</w:t>
      </w:r>
      <w:r>
        <w:t xml:space="preserve"> restent limitées pour plusieurs raisons, notamment le fait que plusieurs autorités de gestion n’aient pas été désignées.</w:t>
      </w:r>
    </w:p>
    <w:p w:rsidR="00FB0C75" w:rsidRPr="00D86B9E" w:rsidRDefault="00525E53" w:rsidP="00FB0C75">
      <w:pPr>
        <w:pStyle w:val="Textstand-alone"/>
      </w:pPr>
      <w:r>
        <w:t>Pour la période de programmation </w:t>
      </w:r>
      <w:r w:rsidRPr="00031A85">
        <w:t>2014</w:t>
      </w:r>
      <w:r>
        <w:t>-</w:t>
      </w:r>
      <w:r w:rsidRPr="00031A85">
        <w:t>2020</w:t>
      </w:r>
      <w:r>
        <w:t xml:space="preserve">, le règlement portant dispositions communes applicables aux Fonds structurels (FEDER et FSE), au Fonds de cohésion et au Fonds européen pour les affaires maritimes et la pêche (FEAMP) prévoit une protection du budget de l’UE au moyen de la retenue systématique de </w:t>
      </w:r>
      <w:r w:rsidRPr="00031A85">
        <w:t>10</w:t>
      </w:r>
      <w:r>
        <w:t> % des paiements intermédiaires effectués. Le cycle de contrôle doit être mené à bien avant le mois de février suivant la fin de l’exercice financier (</w:t>
      </w:r>
      <w:r w:rsidRPr="00031A85">
        <w:t>1</w:t>
      </w:r>
      <w:r>
        <w:rPr>
          <w:vertAlign w:val="superscript"/>
        </w:rPr>
        <w:t>er</w:t>
      </w:r>
      <w:r>
        <w:t xml:space="preserve"> juillet au </w:t>
      </w:r>
      <w:r w:rsidRPr="00031A85">
        <w:t>30</w:t>
      </w:r>
      <w:r>
        <w:t xml:space="preserve"> juin), au moyen de vérifications de gestion effectuées par les autorités de gestion et d’audits réalisés par les autorités d’audit. La Commission examine les documents d’assurance et les comptes fournis par les autorités compétentes des États membres. Le paiement/recouvrement du solde n’a lieu qu’après finalisation de l’évaluation et approbation des comptes. Le montant retenu conformément à cette disposition s'élevait à </w:t>
      </w:r>
      <w:r w:rsidRPr="00031A85">
        <w:t>1</w:t>
      </w:r>
      <w:r>
        <w:t> milliard d’EUR à la fin de </w:t>
      </w:r>
      <w:r w:rsidRPr="00031A85">
        <w:t>2016</w:t>
      </w:r>
      <w:r>
        <w:t>.</w:t>
      </w:r>
    </w:p>
    <w:p w:rsidR="00FB0C75" w:rsidRPr="00D86B9E" w:rsidRDefault="00525E53" w:rsidP="00FB0C75">
      <w:pPr>
        <w:pStyle w:val="Textstand-alone"/>
      </w:pPr>
      <w:r>
        <w:t xml:space="preserve">Les sommes à payer au titre des ressources propres renvoient à la contribution des États membres au budget de l’UE à rembourser en fin d’exercice, à la suite des quatrième et cinquième budgets rectificatifs de </w:t>
      </w:r>
      <w:r w:rsidRPr="00031A85">
        <w:t>2016</w:t>
      </w:r>
      <w:r>
        <w:t>. Le niveau élevé du montant est dû à l’adoption tardive des budgets rectificatifs nº </w:t>
      </w:r>
      <w:r w:rsidRPr="00031A85">
        <w:t>4</w:t>
      </w:r>
      <w:r>
        <w:t>/</w:t>
      </w:r>
      <w:r w:rsidRPr="00031A85">
        <w:t>2016</w:t>
      </w:r>
      <w:r>
        <w:t xml:space="preserve"> et nº </w:t>
      </w:r>
      <w:r w:rsidRPr="00031A85">
        <w:t>5</w:t>
      </w:r>
      <w:r>
        <w:t>/</w:t>
      </w:r>
      <w:r w:rsidRPr="00031A85">
        <w:t>2016</w:t>
      </w:r>
      <w:r>
        <w:t>, qui reposaient sur le règlement relatif aux ressources propres et les ajustements se rapportant aux nouvelles dispositions introduites par la décision «ressources propres» de </w:t>
      </w:r>
      <w:r w:rsidRPr="00031A85">
        <w:t>2014</w:t>
      </w:r>
      <w:r>
        <w:t>, et dont les montants n’ont été versés aux États membres qu’en janvier </w:t>
      </w:r>
      <w:r w:rsidRPr="00031A85">
        <w:t>2017</w:t>
      </w:r>
      <w:r>
        <w:t>.</w:t>
      </w:r>
    </w:p>
    <w:p w:rsidR="00FB0C75" w:rsidRPr="00D86B9E" w:rsidRDefault="00525E53" w:rsidP="00FB0C75">
      <w:pPr>
        <w:pStyle w:val="HEADER5"/>
        <w:rPr>
          <w:b w:val="0"/>
        </w:rPr>
      </w:pPr>
      <w:r>
        <w:rPr>
          <w:b w:val="0"/>
        </w:rPr>
        <w:t>Montants non éligibles estimés et autres avances aux États membres en attente</w:t>
      </w:r>
    </w:p>
    <w:p w:rsidR="00FB0C75" w:rsidRDefault="00525E53" w:rsidP="00FB0C75">
      <w:pPr>
        <w:pStyle w:val="Textstand-alone"/>
      </w:pPr>
      <w:r>
        <w:t>Les sommes à payer ont été réduites de la partie relative aux demandes de remboursement reçues, mais non encore vérifiées, qui a été considérée comme non éligible. Les montants les plus élevés concernent les directions générales chargées des actions structurelles. Les sommes à payer ont également été réduites de la partie des demandes de remboursement reçues correspondant aux autres avances aux États membres (voir la note </w:t>
      </w:r>
      <w:r w:rsidRPr="00031A85">
        <w:rPr>
          <w:b/>
        </w:rPr>
        <w:t>2</w:t>
      </w:r>
      <w:r>
        <w:rPr>
          <w:b/>
        </w:rPr>
        <w:t>.</w:t>
      </w:r>
      <w:r w:rsidRPr="00031A85">
        <w:rPr>
          <w:b/>
        </w:rPr>
        <w:t>5</w:t>
      </w:r>
      <w:r>
        <w:rPr>
          <w:b/>
        </w:rPr>
        <w:t>.</w:t>
      </w:r>
      <w:r w:rsidRPr="00031A85">
        <w:rPr>
          <w:b/>
        </w:rPr>
        <w:t>2</w:t>
      </w:r>
      <w:r>
        <w:t>) restant à payer à la fin de l’exercice (</w:t>
      </w:r>
      <w:r w:rsidRPr="00031A85">
        <w:t>395</w:t>
      </w:r>
      <w:r>
        <w:t xml:space="preserve"> millions d’EUR). </w:t>
      </w:r>
    </w:p>
    <w:p w:rsidR="00FB0C75" w:rsidRPr="00682E7E" w:rsidRDefault="00525E53" w:rsidP="00FB0C75">
      <w:pPr>
        <w:pStyle w:val="HEADER5"/>
        <w:rPr>
          <w:b w:val="0"/>
        </w:rPr>
      </w:pPr>
      <w:r>
        <w:rPr>
          <w:b w:val="0"/>
        </w:rPr>
        <w:t>Demandes de préfinancement</w:t>
      </w:r>
    </w:p>
    <w:p w:rsidR="00FB0C75" w:rsidRDefault="00525E53" w:rsidP="00FB0C75">
      <w:pPr>
        <w:pStyle w:val="Textstand-alone"/>
        <w:spacing w:after="0"/>
      </w:pPr>
      <w:r>
        <w:t xml:space="preserve">Outre les montants ci-dessous, des demandes de préfinancement à hauteur de </w:t>
      </w:r>
      <w:r w:rsidRPr="00031A85">
        <w:t>594</w:t>
      </w:r>
      <w:r>
        <w:t> millions d’EUR ont été reçues et n’avaient pas encore fait l'objet de versements à la fin de l’exercice. Conformément aux règles comptables de l’UE, ces montants ne sont pas comptabilisés en tant que sommes à payer.</w:t>
      </w:r>
    </w:p>
    <w:p w:rsidR="00FB0C75" w:rsidRDefault="00FB0C75" w:rsidP="00FB0C75">
      <w:pPr>
        <w:pStyle w:val="Textstand-alone"/>
        <w:spacing w:after="0"/>
      </w:pPr>
    </w:p>
    <w:p w:rsidR="00FB0C75" w:rsidRPr="00377F99" w:rsidRDefault="00525E53" w:rsidP="00FB0C75">
      <w:pPr>
        <w:pStyle w:val="Textstand-alone"/>
        <w:spacing w:before="0" w:after="0"/>
        <w:sectPr w:rsidR="00FB0C75" w:rsidRPr="00377F99" w:rsidSect="00FB0C75">
          <w:headerReference w:type="even" r:id="rId232"/>
          <w:headerReference w:type="default" r:id="rId233"/>
          <w:footerReference w:type="even" r:id="rId234"/>
          <w:footerReference w:type="default" r:id="rId235"/>
          <w:headerReference w:type="first" r:id="rId236"/>
          <w:footerReference w:type="first" r:id="rId237"/>
          <w:type w:val="continuous"/>
          <w:pgSz w:w="11906" w:h="16838"/>
          <w:pgMar w:top="1134" w:right="1134" w:bottom="1134" w:left="1134" w:header="709" w:footer="709" w:gutter="0"/>
          <w:cols w:space="708"/>
          <w:docGrid w:linePitch="360"/>
        </w:sectPr>
      </w:pPr>
      <w:r>
        <w:t xml:space="preserve"> </w:t>
      </w:r>
      <w:bookmarkEnd w:id="254"/>
    </w:p>
    <w:p w:rsidR="00FB0C75" w:rsidRDefault="00525E53" w:rsidP="00FB0C75">
      <w:pPr>
        <w:pStyle w:val="HEADER2Part2"/>
      </w:pPr>
      <w:bookmarkStart w:id="256" w:name="_DMBM_8971"/>
      <w:r>
        <w:t>CHARGES À PAYER ET PRODUITS À REPORTER</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7" w:name="DOC_TBL00050_1_1"/>
            <w:bookmarkEnd w:id="25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Charges à payer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66</w:t>
            </w:r>
            <w:r>
              <w:t xml:space="preserve"> </w:t>
            </w:r>
            <w:r w:rsidRPr="00031A85">
              <w:t>800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67</w:t>
            </w:r>
            <w:r>
              <w:t xml:space="preserve"> </w:t>
            </w:r>
            <w:r w:rsidRPr="00031A85">
              <w:t>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à reporter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869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175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580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68</w:t>
            </w:r>
            <w:r>
              <w:t xml:space="preserve"> </w:t>
            </w:r>
            <w:r w:rsidRPr="00031A85">
              <w:t>402</w:t>
            </w:r>
          </w:p>
        </w:tc>
      </w:tr>
    </w:tbl>
    <w:p w:rsidR="00FB0C75" w:rsidRPr="00C9276D" w:rsidRDefault="00525E53" w:rsidP="00FB0C75">
      <w:pPr>
        <w:pStyle w:val="Textstand-alone"/>
      </w:pPr>
      <w:r>
        <w:t>La ventilation des charges à payer est la suivante: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8" w:name="DOC_TBL00051_1_1"/>
            <w:bookmarkEnd w:id="25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FEAGA</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33</w:t>
            </w:r>
            <w:r>
              <w:t xml:space="preserve"> </w:t>
            </w:r>
            <w:r w:rsidRPr="00031A85">
              <w:t>033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38</w:t>
            </w:r>
            <w:r>
              <w:t xml:space="preserve"> </w:t>
            </w:r>
            <w:r w:rsidRPr="00031A85">
              <w:t>263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Feader et autres instruments de développement rural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17</w:t>
            </w:r>
            <w:r>
              <w:t xml:space="preserve"> </w:t>
            </w:r>
            <w:r w:rsidRPr="00031A85">
              <w:t>024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14</w:t>
            </w:r>
            <w:r>
              <w:t xml:space="preserve"> </w:t>
            </w:r>
            <w:r w:rsidRPr="00031A85">
              <w:t>806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FEDER et FC</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7</w:t>
            </w:r>
            <w:r>
              <w:t xml:space="preserve"> </w:t>
            </w:r>
            <w:r w:rsidRPr="00031A85">
              <w:t>157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w:t>
            </w:r>
            <w:r>
              <w:t xml:space="preserve"> </w:t>
            </w:r>
            <w:r w:rsidRPr="00031A85">
              <w:t>026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FSE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473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636</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112</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627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66</w:t>
            </w:r>
            <w:r>
              <w:t xml:space="preserve"> </w:t>
            </w:r>
            <w:r w:rsidRPr="00031A85">
              <w:t>800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358</w:t>
            </w:r>
          </w:p>
        </w:tc>
      </w:tr>
    </w:tbl>
    <w:p w:rsidR="00FB0C75" w:rsidRDefault="00FB0C75" w:rsidP="00FB0C75">
      <w:pPr>
        <w:pStyle w:val="Textstand-alone"/>
        <w:spacing w:before="0"/>
      </w:pPr>
    </w:p>
    <w:p w:rsidR="00FB0C75" w:rsidRDefault="00525E53" w:rsidP="00FB0C75">
      <w:pPr>
        <w:pStyle w:val="Textstand-alone"/>
      </w:pPr>
      <w:r>
        <w:t xml:space="preserve">La principale évolution, qui concerne le Fonds européen agricole de garantie (FEAGA), est due à une meilleure exécution des paiements au niveau des États membres en </w:t>
      </w:r>
      <w:r w:rsidRPr="00031A85">
        <w:t>2016</w:t>
      </w:r>
      <w:r>
        <w:t xml:space="preserve"> par rapport à </w:t>
      </w:r>
      <w:r w:rsidRPr="00031A85">
        <w:t>2015</w:t>
      </w:r>
      <w:r>
        <w:t xml:space="preserve">. Cela signifie que des déclarations de dépenses réelles ont été soumises et qu'il n’a pas été nécessaire de les estimer en fin d’exercice. La baisse de </w:t>
      </w:r>
      <w:r w:rsidRPr="00031A85">
        <w:t>5</w:t>
      </w:r>
      <w:r>
        <w:t>,</w:t>
      </w:r>
      <w:r w:rsidRPr="00031A85">
        <w:t>2</w:t>
      </w:r>
      <w:r>
        <w:t> milliards d’EUR est donc contrebalancée par une hausse similaire au niveau des sommes à payer - voir la note </w:t>
      </w:r>
      <w:r w:rsidRPr="00031A85">
        <w:rPr>
          <w:b/>
        </w:rPr>
        <w:t>2</w:t>
      </w:r>
      <w:r>
        <w:rPr>
          <w:b/>
        </w:rPr>
        <w:t>.</w:t>
      </w:r>
      <w:r w:rsidRPr="00031A85">
        <w:rPr>
          <w:b/>
        </w:rPr>
        <w:t>12</w:t>
      </w:r>
      <w:r>
        <w:t>.</w:t>
      </w:r>
    </w:p>
    <w:p w:rsidR="00FB0C75" w:rsidRDefault="00525E53" w:rsidP="00FB0C75">
      <w:pPr>
        <w:pStyle w:val="Textstand-alone"/>
      </w:pPr>
      <w:r>
        <w:t xml:space="preserve">La hausse de </w:t>
      </w:r>
      <w:r w:rsidRPr="00031A85">
        <w:t>3</w:t>
      </w:r>
      <w:r>
        <w:t> milliards d’EUR dans le domaine de la cohésion est imputable à une intensification de l’exécution au niveau des bénéficiaires finals.</w:t>
      </w:r>
    </w:p>
    <w:p w:rsidR="00FB0C75" w:rsidRDefault="00525E53" w:rsidP="00FB0C75">
      <w:pPr>
        <w:pStyle w:val="Textstand-alone"/>
      </w:pPr>
      <w:r>
        <w:t>L’augmentation des charges à payer concernant le Feader (</w:t>
      </w:r>
      <w:r w:rsidRPr="00031A85">
        <w:t>2</w:t>
      </w:r>
      <w:r>
        <w:t>,</w:t>
      </w:r>
      <w:r w:rsidRPr="00031A85">
        <w:t>2</w:t>
      </w:r>
      <w:r>
        <w:t> milliards d’EUR) est liée au niveau inférieur de demandes reçues pour la période </w:t>
      </w:r>
      <w:r w:rsidRPr="00031A85">
        <w:t>2014</w:t>
      </w:r>
      <w:r>
        <w:t>-</w:t>
      </w:r>
      <w:r w:rsidRPr="00031A85">
        <w:t>2020</w:t>
      </w:r>
      <w:r>
        <w:t>, ce qui signifie qu'un nombre plus élevé de montants a dû être porté en compte de régularisation en fin d’exercice.</w:t>
      </w:r>
    </w:p>
    <w:p w:rsidR="00FB0C75" w:rsidRDefault="00525E53" w:rsidP="00FB0C75">
      <w:pPr>
        <w:pStyle w:val="Textstand-alone"/>
        <w:spacing w:before="0"/>
      </w:pPr>
      <w:r>
        <w:t>À l’exception du FEAGA, les régularisations concernant tous les autres États membres sont incluses dans le RAL budgétaire, tout comme la plupart des «autres» régularisations - voir la note </w:t>
      </w:r>
      <w:r w:rsidRPr="00031A85">
        <w:rPr>
          <w:b/>
        </w:rPr>
        <w:t>5</w:t>
      </w:r>
      <w:r>
        <w:rPr>
          <w:b/>
        </w:rPr>
        <w:t>.</w:t>
      </w:r>
      <w:r w:rsidRPr="00031A85">
        <w:rPr>
          <w:b/>
        </w:rPr>
        <w:t>1</w:t>
      </w:r>
      <w:r>
        <w:t>.</w:t>
      </w:r>
    </w:p>
    <w:p w:rsidR="00FB0C75" w:rsidRPr="006C4C5B" w:rsidRDefault="00FB0C75" w:rsidP="00FB0C75">
      <w:pPr>
        <w:pStyle w:val="HEADERTABLE"/>
        <w:sectPr w:rsidR="00FB0C75" w:rsidRPr="006C4C5B" w:rsidSect="00FB0C75">
          <w:headerReference w:type="even" r:id="rId238"/>
          <w:headerReference w:type="default" r:id="rId239"/>
          <w:footerReference w:type="even" r:id="rId240"/>
          <w:footerReference w:type="default" r:id="rId241"/>
          <w:headerReference w:type="first" r:id="rId242"/>
          <w:footerReference w:type="first" r:id="rId243"/>
          <w:type w:val="continuous"/>
          <w:pgSz w:w="11906" w:h="16838"/>
          <w:pgMar w:top="1134" w:right="1134" w:bottom="1134" w:left="1134" w:header="709" w:footer="709" w:gutter="0"/>
          <w:cols w:space="708"/>
          <w:docGrid w:linePitch="360"/>
        </w:sectPr>
      </w:pPr>
      <w:bookmarkStart w:id="259" w:name="_DMBM_8941"/>
      <w:bookmarkEnd w:id="256"/>
    </w:p>
    <w:p w:rsidR="00FB0C75" w:rsidRDefault="00525E53" w:rsidP="00FB0C75">
      <w:pPr>
        <w:pStyle w:val="HEADERTABLE"/>
      </w:pPr>
      <w:r>
        <w:t>ACTIF NET</w:t>
      </w:r>
    </w:p>
    <w:p w:rsidR="00FB0C75" w:rsidRDefault="00525E53" w:rsidP="00FB0C75">
      <w:pPr>
        <w:pStyle w:val="HEADER2Part2"/>
      </w:pPr>
      <w:r>
        <w:t>RÉSERVES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0" w:name="DOC_TBL00052_1_1"/>
            <w:bookmarkEnd w:id="26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Réserve de juste valeur</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14</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292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Réserve du Fonds de garantie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14</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643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561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réserves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2</w:t>
            </w:r>
            <w:r>
              <w:t>.</w:t>
            </w:r>
            <w:r w:rsidRPr="00031A85">
              <w:t>14</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829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841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682</w:t>
            </w:r>
          </w:p>
        </w:tc>
      </w:tr>
    </w:tbl>
    <w:p w:rsidR="00FB0C75" w:rsidRPr="00636D48" w:rsidRDefault="00525E53" w:rsidP="00FB0C75">
      <w:pPr>
        <w:pStyle w:val="HEADER3Part2"/>
      </w:pPr>
      <w:r>
        <w:t>Réserve de juste valeur</w:t>
      </w:r>
    </w:p>
    <w:p w:rsidR="00FB0C75" w:rsidRDefault="00525E53" w:rsidP="00FB0C75">
      <w:pPr>
        <w:pStyle w:val="Textstand-alone"/>
        <w:spacing w:after="120"/>
      </w:pPr>
      <w:r>
        <w:t>Conformément aux règles comptables de l’UE, les variations de la juste valeur des actifs financiers disponibles à la vente sont désormais comptabilisées au moyen de la réserve de juste valeur.</w:t>
      </w:r>
    </w:p>
    <w:p w:rsidR="00FB0C75" w:rsidRPr="00606742" w:rsidRDefault="00525E53" w:rsidP="00FB0C75">
      <w:pPr>
        <w:pStyle w:val="Textstand-alone"/>
        <w:rPr>
          <w:noProof w:val="0"/>
          <w:color w:val="016794"/>
          <w:sz w:val="20"/>
          <w:szCs w:val="20"/>
        </w:rPr>
      </w:pPr>
      <w:r>
        <w:rPr>
          <w:noProof w:val="0"/>
          <w:color w:val="016794"/>
          <w:sz w:val="20"/>
        </w:rPr>
        <w:t>Variations de la réserve de juste valeur au cours de la période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1" w:name="DOC_TBL00053_1_1"/>
            <w:bookmarkEnd w:id="26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AA309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rsidRPr="00AA3095" w:rsidTr="00AA3095">
        <w:tc>
          <w:tcPr>
            <w:tcW w:w="5637" w:type="dxa"/>
            <w:tcBorders>
              <w:top w:val="nil"/>
              <w:left w:val="nil"/>
              <w:bottom w:val="nil"/>
              <w:right w:val="nil"/>
            </w:tcBorders>
            <w:tcMar>
              <w:top w:w="0" w:type="dxa"/>
              <w:left w:w="108" w:type="dxa"/>
              <w:bottom w:w="0" w:type="dxa"/>
              <w:right w:w="108" w:type="dxa"/>
            </w:tcMar>
          </w:tcPr>
          <w:p w:rsidR="00FB0C75" w:rsidRPr="00AA3095" w:rsidRDefault="00525E53" w:rsidP="00FB0C75">
            <w:pPr>
              <w:pStyle w:val="Text9pBoldLeft"/>
              <w:rPr>
                <w:rFonts w:cs="Verdana"/>
                <w:b w:val="0"/>
                <w:i/>
              </w:rPr>
            </w:pPr>
            <w:r>
              <w:rPr>
                <w:b w:val="0"/>
                <w:i/>
              </w:rPr>
              <w:t>Actifs financiers disponibles à la vente:</w:t>
            </w:r>
          </w:p>
        </w:tc>
        <w:tc>
          <w:tcPr>
            <w:tcW w:w="2126"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c>
          <w:tcPr>
            <w:tcW w:w="1985"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r>
      <w:tr w:rsidR="005B4EEC" w:rsidTr="00AA3095">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Figurant dans la réserve de juste valeur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Figurant dans le compte de résultat économique</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w:t>
            </w:r>
            <w: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46</w:t>
            </w:r>
          </w:p>
        </w:tc>
      </w:tr>
      <w:tr w:rsidR="005B4EEC">
        <w:tc>
          <w:tcPr>
            <w:tcW w:w="563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 xml:space="preserve">Liés aux participations comptabilisées au moyen de </w:t>
            </w:r>
            <w:r>
              <w:br/>
              <w:t>la méthode de la mise en équivalence</w:t>
            </w:r>
          </w:p>
        </w:tc>
        <w:tc>
          <w:tcPr>
            <w:tcW w:w="212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r>
              <w:t>)</w:t>
            </w:r>
          </w:p>
        </w:tc>
        <w:tc>
          <w:tcPr>
            <w:tcW w:w="1985"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53</w:t>
            </w:r>
          </w:p>
        </w:tc>
      </w:tr>
    </w:tbl>
    <w:p w:rsidR="00FB0C75" w:rsidRPr="00636D48" w:rsidRDefault="00525E53" w:rsidP="00FB0C75">
      <w:pPr>
        <w:pStyle w:val="HEADER3Part2"/>
      </w:pPr>
      <w:r>
        <w:t>Réserve du Fonds de garantie</w:t>
      </w:r>
    </w:p>
    <w:p w:rsidR="00FB0C75" w:rsidRDefault="00525E53" w:rsidP="00FB0C75">
      <w:pPr>
        <w:pStyle w:val="Textstand-alone"/>
      </w:pPr>
      <w:r>
        <w:t xml:space="preserve">Cette réserve reflète le montant cible de </w:t>
      </w:r>
      <w:r w:rsidRPr="00031A85">
        <w:t>9</w:t>
      </w:r>
      <w:r>
        <w:t> % de l'encours garanti par le budget de l’UE au titre du mandat de prêt extérieur de la BEI. La contrepartie de ce montant doit être détenue sous la forme d’actifs dans le Fonds de garantie relatif aux actions extérieures (voir la note </w:t>
      </w:r>
      <w:r w:rsidRPr="00031A85">
        <w:rPr>
          <w:b/>
        </w:rPr>
        <w:t>2</w:t>
      </w:r>
      <w:r>
        <w:rPr>
          <w:b/>
        </w:rPr>
        <w:t>.</w:t>
      </w:r>
      <w:r w:rsidRPr="00031A85">
        <w:rPr>
          <w:b/>
        </w:rPr>
        <w:t>4</w:t>
      </w:r>
      <w:r>
        <w:rPr>
          <w:b/>
        </w:rPr>
        <w:t>.</w:t>
      </w:r>
      <w:r w:rsidRPr="00031A85">
        <w:rPr>
          <w:b/>
        </w:rPr>
        <w:t>1</w:t>
      </w:r>
      <w:r>
        <w:t>).</w:t>
      </w:r>
    </w:p>
    <w:p w:rsidR="00FB0C75" w:rsidRPr="00636D48" w:rsidRDefault="00525E53" w:rsidP="00FB0C75">
      <w:pPr>
        <w:pStyle w:val="HEADER3Part2"/>
      </w:pPr>
      <w:r>
        <w:t>Autres réserves</w:t>
      </w:r>
    </w:p>
    <w:p w:rsidR="00FB0C75" w:rsidRDefault="00525E53" w:rsidP="00FB0C75">
      <w:pPr>
        <w:pStyle w:val="Textstand-alone"/>
        <w:spacing w:after="0"/>
      </w:pPr>
      <w:r>
        <w:t>Ce montant concerne principalement la réserve de la CECA en liquidation (</w:t>
      </w:r>
      <w:r w:rsidRPr="00031A85">
        <w:t>1</w:t>
      </w:r>
      <w:r>
        <w:t>,</w:t>
      </w:r>
      <w:r w:rsidRPr="00031A85">
        <w:t>524</w:t>
      </w:r>
      <w:r>
        <w:t> milliard d’EUR) relative aux actifs du Fonds de recherche pour le charbon et l’acier, réserve qui a été créée dans le cadre de la liquidation de la CECA.</w:t>
      </w:r>
    </w:p>
    <w:p w:rsidR="00FB0C75" w:rsidRDefault="00525E53" w:rsidP="00FB0C75">
      <w:pPr>
        <w:pStyle w:val="Textstand-alone"/>
        <w:spacing w:before="0" w:after="0"/>
      </w:pPr>
      <w:r>
        <w:t xml:space="preserve"> </w:t>
      </w:r>
      <w:bookmarkEnd w:id="259"/>
    </w:p>
    <w:p w:rsidR="00BD1908" w:rsidRDefault="00BD1908" w:rsidP="00FB0C75">
      <w:pPr>
        <w:pStyle w:val="Textstand-alone"/>
        <w:spacing w:before="0" w:after="0"/>
      </w:pPr>
    </w:p>
    <w:p w:rsidR="00FB0C75" w:rsidRDefault="00FB0C75" w:rsidP="00FB0C75">
      <w:pPr>
        <w:pStyle w:val="Textstand-alone"/>
        <w:spacing w:before="0" w:after="0"/>
      </w:pPr>
    </w:p>
    <w:p w:rsidR="00FB0C75" w:rsidRPr="005378E7" w:rsidRDefault="00FB0C75" w:rsidP="00FB0C75">
      <w:pPr>
        <w:pStyle w:val="Textstand-alone"/>
        <w:spacing w:before="0" w:after="0"/>
        <w:sectPr w:rsidR="00FB0C75" w:rsidRPr="005378E7" w:rsidSect="00FB0C75">
          <w:headerReference w:type="even" r:id="rId244"/>
          <w:headerReference w:type="default" r:id="rId245"/>
          <w:footerReference w:type="even" r:id="rId246"/>
          <w:footerReference w:type="default" r:id="rId247"/>
          <w:headerReference w:type="first" r:id="rId248"/>
          <w:footerReference w:type="first" r:id="rId249"/>
          <w:pgSz w:w="11906" w:h="16838"/>
          <w:pgMar w:top="1134" w:right="1134" w:bottom="1134" w:left="1134" w:header="709" w:footer="709" w:gutter="0"/>
          <w:cols w:space="708"/>
          <w:docGrid w:linePitch="360"/>
        </w:sectPr>
      </w:pPr>
    </w:p>
    <w:p w:rsidR="00AA3095" w:rsidRDefault="00AA3095" w:rsidP="00FB0C75">
      <w:pPr>
        <w:pStyle w:val="HEADER2Part2"/>
        <w:sectPr w:rsidR="00AA3095" w:rsidSect="00FB0C75">
          <w:headerReference w:type="even" r:id="rId250"/>
          <w:headerReference w:type="default" r:id="rId251"/>
          <w:footerReference w:type="even" r:id="rId252"/>
          <w:footerReference w:type="default" r:id="rId253"/>
          <w:headerReference w:type="first" r:id="rId254"/>
          <w:footerReference w:type="first" r:id="rId255"/>
          <w:type w:val="continuous"/>
          <w:pgSz w:w="11906" w:h="16838"/>
          <w:pgMar w:top="1134" w:right="1134" w:bottom="1134" w:left="1134" w:header="709" w:footer="709" w:gutter="0"/>
          <w:cols w:space="708"/>
          <w:docGrid w:linePitch="360"/>
        </w:sectPr>
      </w:pPr>
      <w:bookmarkStart w:id="262" w:name="_DMBM_8902"/>
    </w:p>
    <w:p w:rsidR="00FB0C75" w:rsidRPr="006C4C5B" w:rsidRDefault="00525E53" w:rsidP="00FB0C75">
      <w:pPr>
        <w:pStyle w:val="HEADER2Part2"/>
      </w:pPr>
      <w:r>
        <w:t>MONTANTS À APPELER AUPRÈS DES ÉTATS MEMBRES</w:t>
      </w:r>
    </w:p>
    <w:p w:rsidR="00FB0C75" w:rsidRPr="006C4C5B"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3" w:name="DOC_TBL00054_1_1"/>
            <w:bookmarkEnd w:id="263"/>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en Mio EUR </w:t>
            </w:r>
          </w:p>
        </w:tc>
      </w:tr>
      <w:tr w:rsidR="005B4EEC" w:rsidTr="00FB0C75">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Montants à appeler auprès des États membres au </w:t>
            </w:r>
            <w:r w:rsidRPr="00031A85">
              <w:t>31</w:t>
            </w:r>
            <w:r>
              <w:t>.</w:t>
            </w:r>
            <w:r w:rsidRPr="00031A85">
              <w:t>12</w:t>
            </w:r>
            <w:r>
              <w:t>.</w:t>
            </w:r>
            <w:r w:rsidRPr="00031A85">
              <w:t>2015</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77</w:t>
            </w:r>
            <w:r>
              <w:t xml:space="preserve"> </w:t>
            </w:r>
            <w:r w:rsidRPr="00031A85">
              <w:t>124</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Restitution de l’excédent budgétaire </w:t>
            </w:r>
            <w:r w:rsidRPr="00031A85">
              <w:t>2015</w:t>
            </w:r>
            <w:r>
              <w:t xml:space="preserve"> aux États membres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349</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Variations de la réserve du Fonds de garantie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variations de réserve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58</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Résultat économique de l’exercice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w:t>
            </w:r>
            <w:r>
              <w:t xml:space="preserve"> </w:t>
            </w:r>
            <w:r w:rsidRPr="00031A85">
              <w:t>733</w:t>
            </w:r>
            <w:r>
              <w:t>)</w:t>
            </w: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 xml:space="preserve">Total des montants à appeler auprès des États membres au </w:t>
            </w:r>
            <w:r w:rsidRPr="00031A85">
              <w:t>31</w:t>
            </w:r>
            <w:r>
              <w:t>.</w:t>
            </w:r>
            <w:r w:rsidRPr="00031A85">
              <w:t>12</w:t>
            </w:r>
            <w:r>
              <w:t>.</w:t>
            </w:r>
            <w:r w:rsidRPr="00031A85">
              <w:t>2016</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76</w:t>
            </w:r>
            <w:r>
              <w:t xml:space="preserve"> </w:t>
            </w:r>
            <w:r w:rsidRPr="00031A85">
              <w:t>881</w:t>
            </w:r>
          </w:p>
        </w:tc>
      </w:tr>
    </w:tbl>
    <w:p w:rsidR="00FB0C75" w:rsidRDefault="00525E53" w:rsidP="00FB0C75">
      <w:pPr>
        <w:pStyle w:val="Textstand-alone"/>
      </w:pPr>
      <w:r>
        <w:t xml:space="preserve">Ce montant représente la part des dépenses encourues par l’UE jusqu’au </w:t>
      </w:r>
      <w:r w:rsidRPr="00031A85">
        <w:t>31</w:t>
      </w:r>
      <w:r>
        <w:t xml:space="preserve"> décembre à financer par des budgets ultérieurs. Bon nombre de dépenses sont comptabilisées conformément aux règles de comptabilité d’exercice au cours de l’exercice N, alors qu’il se peut qu'elles soient en réalité payées au cours de l’exercice N+</w:t>
      </w:r>
      <w:r w:rsidRPr="00031A85">
        <w:t>1</w:t>
      </w:r>
      <w:r>
        <w:t xml:space="preserve"> (ou plus tard) et donc financées sur le budget de l’exercice N+</w:t>
      </w:r>
      <w:r w:rsidRPr="00031A85">
        <w:t>1</w:t>
      </w:r>
      <w:r>
        <w:t xml:space="preserve"> (ou plus tard). Compte tenu de cette inscription au passif et du fait que les montants correspondants seront financés sur des budgets ultérieurs, le passif est de loin supérieur à l’actif en fin d’exercice. Les montants les plus élevés à mettre en évidence concernent les activités du Fonds européen agricole de garantie et les avantages du personnel.</w:t>
      </w:r>
    </w:p>
    <w:p w:rsidR="00FB0C75" w:rsidRDefault="00525E53" w:rsidP="00FB0C75">
      <w:pPr>
        <w:pStyle w:val="Textstand-alone"/>
        <w:spacing w:after="0"/>
      </w:pPr>
      <w:r>
        <w:t>On notera également que les éléments susmentionnés n’ont aucun effet sur le résultat de l’exécution du budget. Les recettes budgétaires doivent toujours être égales ou supérieures aux dépenses budgétaires, tout excédent de recettes étant restitué aux États membres.</w:t>
      </w:r>
    </w:p>
    <w:p w:rsidR="00FB0C75" w:rsidRPr="005A46C1" w:rsidRDefault="00525E53" w:rsidP="00FB0C75">
      <w:pPr>
        <w:pStyle w:val="Textstand-alone"/>
        <w:spacing w:before="0" w:after="0"/>
        <w:sectPr w:rsidR="00FB0C75" w:rsidRPr="005A46C1" w:rsidSect="00AA3095">
          <w:headerReference w:type="even" r:id="rId256"/>
          <w:headerReference w:type="default" r:id="rId257"/>
          <w:footerReference w:type="even" r:id="rId258"/>
          <w:footerReference w:type="default" r:id="rId259"/>
          <w:headerReference w:type="first" r:id="rId260"/>
          <w:footerReference w:type="first" r:id="rId261"/>
          <w:pgSz w:w="11906" w:h="16838"/>
          <w:pgMar w:top="1134" w:right="1134" w:bottom="1134" w:left="1134" w:header="709" w:footer="709" w:gutter="0"/>
          <w:cols w:space="708"/>
          <w:docGrid w:linePitch="360"/>
        </w:sectPr>
      </w:pPr>
      <w:r>
        <w:t xml:space="preserve"> </w:t>
      </w:r>
      <w:bookmarkEnd w:id="262"/>
    </w:p>
    <w:p w:rsidR="00FB0C75" w:rsidRDefault="00525E53" w:rsidP="00AA3095">
      <w:pPr>
        <w:pStyle w:val="HEADER1Part2"/>
        <w:spacing w:after="0"/>
        <w:jc w:val="left"/>
      </w:pPr>
      <w:bookmarkStart w:id="264" w:name="_Toc485724203"/>
      <w:bookmarkStart w:id="265" w:name="_Toc491678830"/>
      <w:bookmarkStart w:id="266" w:name="_DMBM_8977"/>
      <w:r>
        <w:t>NOTES ANNEXES AU COMPTE DE RÉSULTAT ÉCONOMIQUE</w:t>
      </w:r>
      <w:bookmarkEnd w:id="264"/>
      <w:bookmarkEnd w:id="265"/>
    </w:p>
    <w:p w:rsidR="00FB0C75" w:rsidRPr="005C7214" w:rsidRDefault="00525E53" w:rsidP="00FB0C75">
      <w:pPr>
        <w:pStyle w:val="Textstand-alone"/>
        <w:spacing w:before="0"/>
        <w:sectPr w:rsidR="00FB0C75" w:rsidRPr="005C7214" w:rsidSect="00FB0C75">
          <w:headerReference w:type="even" r:id="rId262"/>
          <w:headerReference w:type="default" r:id="rId263"/>
          <w:footerReference w:type="even" r:id="rId264"/>
          <w:footerReference w:type="default" r:id="rId265"/>
          <w:headerReference w:type="first" r:id="rId266"/>
          <w:footerReference w:type="first" r:id="rId267"/>
          <w:pgSz w:w="11906" w:h="16838"/>
          <w:pgMar w:top="1134" w:right="1134" w:bottom="1134" w:left="1134" w:header="709" w:footer="709" w:gutter="0"/>
          <w:cols w:space="708"/>
          <w:docGrid w:linePitch="360"/>
        </w:sectPr>
      </w:pPr>
      <w:r>
        <w:t xml:space="preserve"> </w:t>
      </w:r>
      <w:bookmarkEnd w:id="266"/>
    </w:p>
    <w:p w:rsidR="00FB0C75" w:rsidRDefault="00525E53" w:rsidP="00FB0C75">
      <w:pPr>
        <w:pStyle w:val="HEADERTABLE"/>
      </w:pPr>
      <w:bookmarkStart w:id="267" w:name="_DMBM_8979"/>
      <w:r>
        <w:t>PRODUITS</w:t>
      </w:r>
    </w:p>
    <w:p w:rsidR="00FB0C75" w:rsidRDefault="00525E53" w:rsidP="00FB0C75">
      <w:pPr>
        <w:pStyle w:val="HEADERTABLE"/>
        <w:spacing w:after="0"/>
      </w:pPr>
      <w:r>
        <w:t>PRODUITS DES OPÉRATIONS SANS CONTREPARTIE DIRECTE: RESSOURCES PROPRES</w:t>
      </w:r>
    </w:p>
    <w:p w:rsidR="00FB0C75" w:rsidRPr="00811E14" w:rsidRDefault="00525E53" w:rsidP="00FB0C75">
      <w:pPr>
        <w:pStyle w:val="Textstand-alone"/>
        <w:spacing w:before="0"/>
        <w:sectPr w:rsidR="00FB0C75" w:rsidRPr="00811E14" w:rsidSect="00FB0C75">
          <w:headerReference w:type="even" r:id="rId268"/>
          <w:headerReference w:type="default" r:id="rId269"/>
          <w:footerReference w:type="even" r:id="rId270"/>
          <w:footerReference w:type="default" r:id="rId271"/>
          <w:headerReference w:type="first" r:id="rId272"/>
          <w:footerReference w:type="first" r:id="rId273"/>
          <w:type w:val="continuous"/>
          <w:pgSz w:w="11906" w:h="16838"/>
          <w:pgMar w:top="1134" w:right="1134" w:bottom="1134" w:left="1134" w:header="709" w:footer="709" w:gutter="0"/>
          <w:cols w:space="708"/>
          <w:docGrid w:linePitch="360"/>
        </w:sectPr>
      </w:pPr>
      <w:r>
        <w:t xml:space="preserve"> </w:t>
      </w:r>
      <w:bookmarkEnd w:id="267"/>
    </w:p>
    <w:p w:rsidR="00FB0C75" w:rsidRDefault="00525E53" w:rsidP="00FB0C75">
      <w:pPr>
        <w:pStyle w:val="HEADER2Part2"/>
      </w:pPr>
      <w:bookmarkStart w:id="268" w:name="_DMBM_8921"/>
      <w:r>
        <w:t>RESSOURCES RNB</w:t>
      </w:r>
    </w:p>
    <w:p w:rsidR="00FB0C75" w:rsidRDefault="00525E53" w:rsidP="00FB0C75">
      <w:pPr>
        <w:pStyle w:val="Textstand-alone"/>
        <w:spacing w:after="0"/>
      </w:pPr>
      <w:r>
        <w:t xml:space="preserve">Les produits des ressources propres constituent l’élément principal des produits d’exploitation de l’UE. Parmi les trois catégories de ressources propres – ressources propres traditionnelles (RPT), ressources TVA et ressources RNB –, les recettes RNB, s'élevant à </w:t>
      </w:r>
      <w:r w:rsidRPr="00031A85">
        <w:t>95</w:t>
      </w:r>
      <w:r>
        <w:t>,</w:t>
      </w:r>
      <w:r w:rsidRPr="00031A85">
        <w:t>578</w:t>
      </w:r>
      <w:r>
        <w:t xml:space="preserve"> milliards d’EUR (contre </w:t>
      </w:r>
      <w:r w:rsidRPr="00031A85">
        <w:t>95</w:t>
      </w:r>
      <w:r>
        <w:t>,</w:t>
      </w:r>
      <w:r w:rsidRPr="00031A85">
        <w:t>355</w:t>
      </w:r>
      <w:r>
        <w:t xml:space="preserve"> milliards d’EUR en </w:t>
      </w:r>
      <w:r w:rsidRPr="00031A85">
        <w:t>2015</w:t>
      </w:r>
      <w:r>
        <w:t>) sont les plus importantes.</w:t>
      </w:r>
    </w:p>
    <w:p w:rsidR="00FB0C75" w:rsidRPr="00E651B3" w:rsidRDefault="00525E53" w:rsidP="00FB0C75">
      <w:pPr>
        <w:pStyle w:val="Textstand-alone"/>
        <w:spacing w:before="0"/>
        <w:sectPr w:rsidR="00FB0C75" w:rsidRPr="00E651B3" w:rsidSect="00FB0C75">
          <w:headerReference w:type="even" r:id="rId274"/>
          <w:headerReference w:type="default" r:id="rId275"/>
          <w:footerReference w:type="even" r:id="rId276"/>
          <w:footerReference w:type="default" r:id="rId277"/>
          <w:headerReference w:type="first" r:id="rId278"/>
          <w:footerReference w:type="first" r:id="rId279"/>
          <w:type w:val="continuous"/>
          <w:pgSz w:w="11906" w:h="16838"/>
          <w:pgMar w:top="1134" w:right="1134" w:bottom="1134" w:left="1134" w:header="709" w:footer="709" w:gutter="0"/>
          <w:cols w:space="708"/>
          <w:docGrid w:linePitch="360"/>
        </w:sectPr>
      </w:pPr>
      <w:r>
        <w:t xml:space="preserve"> </w:t>
      </w:r>
      <w:bookmarkEnd w:id="268"/>
    </w:p>
    <w:p w:rsidR="00FB0C75" w:rsidRDefault="00525E53" w:rsidP="00FB0C75">
      <w:pPr>
        <w:pStyle w:val="HEADER2Part2"/>
      </w:pPr>
      <w:bookmarkStart w:id="269" w:name="_DMBM_8944"/>
      <w:r>
        <w:t>RESSOURCES PROPRES TRADITIONNELLES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0" w:name="DOC_TBL00055_1_1"/>
            <w:bookmarkEnd w:id="27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Droits de douane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20</w:t>
            </w:r>
            <w:r>
              <w:t xml:space="preserve"> </w:t>
            </w:r>
            <w:r w:rsidRPr="00031A85">
              <w:t>301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18</w:t>
            </w:r>
            <w:r>
              <w:t xml:space="preserve"> </w:t>
            </w:r>
            <w:r w:rsidRPr="00031A85">
              <w:t>524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Cotisations «sucre»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20</w:t>
            </w:r>
            <w:r>
              <w:t xml:space="preserve"> </w:t>
            </w:r>
            <w:r w:rsidRPr="00031A85">
              <w:t>439</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18</w:t>
            </w:r>
            <w:r>
              <w:t xml:space="preserve"> </w:t>
            </w:r>
            <w:r w:rsidRPr="00031A85">
              <w:t>649</w:t>
            </w:r>
          </w:p>
        </w:tc>
      </w:tr>
    </w:tbl>
    <w:p w:rsidR="00FB0C75" w:rsidRPr="005419C2" w:rsidRDefault="00525E53" w:rsidP="00FB0C75">
      <w:pPr>
        <w:pStyle w:val="Textstand-alone"/>
      </w:pPr>
      <w:r>
        <w:t xml:space="preserve">Les ressources propres traditionnelles comprennent les droits de douane et les cotisations «sucre». Les États membres retiennent, à titre de frais de perception, </w:t>
      </w:r>
      <w:r w:rsidRPr="00031A85">
        <w:t>20</w:t>
      </w:r>
      <w:r>
        <w:t> % des ressources propres traditionnelles. Les montants ci-dessus sont présentés après déduction de ces frais.</w:t>
      </w:r>
    </w:p>
    <w:p w:rsidR="00FB0C75" w:rsidRPr="005419C2" w:rsidRDefault="00525E53" w:rsidP="00FB0C75">
      <w:pPr>
        <w:pStyle w:val="Textstand-alone"/>
        <w:spacing w:before="0"/>
        <w:sectPr w:rsidR="00FB0C75" w:rsidRPr="005419C2" w:rsidSect="00FB0C75">
          <w:headerReference w:type="even" r:id="rId280"/>
          <w:headerReference w:type="default" r:id="rId281"/>
          <w:footerReference w:type="even" r:id="rId282"/>
          <w:footerReference w:type="default" r:id="rId283"/>
          <w:headerReference w:type="first" r:id="rId284"/>
          <w:footerReference w:type="first" r:id="rId285"/>
          <w:type w:val="continuous"/>
          <w:pgSz w:w="11906" w:h="16838"/>
          <w:pgMar w:top="1134" w:right="1134" w:bottom="1134" w:left="1134" w:header="709" w:footer="709" w:gutter="0"/>
          <w:cols w:space="708"/>
          <w:docGrid w:linePitch="360"/>
        </w:sectPr>
      </w:pPr>
      <w:r>
        <w:t xml:space="preserve"> </w:t>
      </w:r>
      <w:bookmarkEnd w:id="269"/>
    </w:p>
    <w:p w:rsidR="00FB0C75" w:rsidRDefault="00525E53" w:rsidP="00FB0C75">
      <w:pPr>
        <w:pStyle w:val="HEADER2Part2"/>
      </w:pPr>
      <w:bookmarkStart w:id="271" w:name="_DMBM_8978"/>
      <w:r>
        <w:t>RESSOURCES TVA</w:t>
      </w:r>
    </w:p>
    <w:p w:rsidR="00FB0C75" w:rsidRPr="00A34857" w:rsidRDefault="00525E53" w:rsidP="00FB0C75">
      <w:pPr>
        <w:pStyle w:val="Textstand-alone"/>
        <w:spacing w:after="0"/>
        <w:rPr>
          <w:color w:val="000000" w:themeColor="text1"/>
        </w:rPr>
      </w:pPr>
      <w:r>
        <w:t xml:space="preserve">La ressource TVA est prélevée sur les assiettes TVA des États membres, qui font l'objet d'une harmonisation virtuelle conformément aux règles de l’UE en la matière. La contribution TVA est calculée par l'application d'un taux uniforme d’appel de </w:t>
      </w:r>
      <w:r w:rsidRPr="00031A85">
        <w:t>0</w:t>
      </w:r>
      <w:r>
        <w:t>,</w:t>
      </w:r>
      <w:r w:rsidRPr="00031A85">
        <w:t>3</w:t>
      </w:r>
      <w:r>
        <w:t> % à l’assiette de chaque État membre. Pour la période </w:t>
      </w:r>
      <w:r w:rsidRPr="00031A85">
        <w:t>2014</w:t>
      </w:r>
      <w:r>
        <w:t>-</w:t>
      </w:r>
      <w:r w:rsidRPr="00031A85">
        <w:t>2020</w:t>
      </w:r>
      <w:r>
        <w:t xml:space="preserve">, la décision </w:t>
      </w:r>
      <w:r w:rsidRPr="00031A85">
        <w:t>2014</w:t>
      </w:r>
      <w:r>
        <w:t>/</w:t>
      </w:r>
      <w:r w:rsidRPr="00031A85">
        <w:t>335</w:t>
      </w:r>
      <w:r>
        <w:t xml:space="preserve">/UE, Euratom du Conseil prévoit un taux d’appel réduit de </w:t>
      </w:r>
      <w:r w:rsidRPr="00031A85">
        <w:t>0</w:t>
      </w:r>
      <w:r>
        <w:t>,</w:t>
      </w:r>
      <w:r w:rsidRPr="00031A85">
        <w:t>15</w:t>
      </w:r>
      <w:r>
        <w:t> % pour l’Allemagne, les Pays-Bas et la Suède.</w:t>
      </w:r>
      <w:r>
        <w:rPr>
          <w:color w:val="000000" w:themeColor="text1"/>
        </w:rPr>
        <w:t xml:space="preserve"> La diminution des recettes TVA enregistrée en </w:t>
      </w:r>
      <w:r w:rsidRPr="00031A85">
        <w:rPr>
          <w:color w:val="000000" w:themeColor="text1"/>
        </w:rPr>
        <w:t>2016</w:t>
      </w:r>
      <w:r>
        <w:rPr>
          <w:color w:val="000000" w:themeColor="text1"/>
        </w:rPr>
        <w:t xml:space="preserve"> est principalement due au fait que le taux d’appel réduit était pour la première fois applicable cette année-là, à la suite de l’entrée en vigueur de la décision «ressources propres» (DRP) de </w:t>
      </w:r>
      <w:r w:rsidRPr="00031A85">
        <w:rPr>
          <w:color w:val="000000" w:themeColor="text1"/>
        </w:rPr>
        <w:t>2014</w:t>
      </w:r>
      <w:r>
        <w:rPr>
          <w:color w:val="000000" w:themeColor="text1"/>
        </w:rPr>
        <w:t>.</w:t>
      </w:r>
    </w:p>
    <w:p w:rsidR="00FB0C75" w:rsidRPr="00A34857" w:rsidRDefault="00525E53" w:rsidP="00FB0C75">
      <w:pPr>
        <w:pStyle w:val="Textstand-alone"/>
        <w:spacing w:before="0"/>
        <w:rPr>
          <w:color w:val="000000" w:themeColor="text1"/>
        </w:rPr>
        <w:sectPr w:rsidR="00FB0C75" w:rsidRPr="00A34857" w:rsidSect="00FB0C75">
          <w:headerReference w:type="even" r:id="rId286"/>
          <w:headerReference w:type="default" r:id="rId287"/>
          <w:footerReference w:type="even" r:id="rId288"/>
          <w:footerReference w:type="default" r:id="rId289"/>
          <w:headerReference w:type="first" r:id="rId290"/>
          <w:footerReference w:type="first" r:id="rId291"/>
          <w:type w:val="continuous"/>
          <w:pgSz w:w="11906" w:h="16838"/>
          <w:pgMar w:top="1134" w:right="1134" w:bottom="1134" w:left="1134" w:header="709" w:footer="709" w:gutter="0"/>
          <w:cols w:space="708"/>
          <w:docGrid w:linePitch="360"/>
        </w:sectPr>
      </w:pPr>
      <w:r>
        <w:rPr>
          <w:color w:val="000000" w:themeColor="text1"/>
        </w:rPr>
        <w:t xml:space="preserve"> </w:t>
      </w:r>
      <w:bookmarkEnd w:id="271"/>
    </w:p>
    <w:p w:rsidR="00AA3095" w:rsidRDefault="00AA3095" w:rsidP="00FB0C75">
      <w:pPr>
        <w:pStyle w:val="HEADERTABLE"/>
        <w:spacing w:after="0"/>
      </w:pPr>
      <w:bookmarkStart w:id="272" w:name="_DMBM_8914"/>
    </w:p>
    <w:p w:rsidR="00FB0C75" w:rsidRDefault="00525E53" w:rsidP="00FB0C75">
      <w:pPr>
        <w:pStyle w:val="HEADERTABLE"/>
        <w:spacing w:after="0"/>
      </w:pPr>
      <w:r>
        <w:t>PRODUITS DES OPÉRATIONS SANS CONTREPARTIE DIRECTE: TRANSFERTS</w:t>
      </w:r>
    </w:p>
    <w:p w:rsidR="00FB0C75" w:rsidRPr="00A83DAA" w:rsidRDefault="00525E53" w:rsidP="00FB0C75">
      <w:pPr>
        <w:pStyle w:val="Textstand-alone"/>
        <w:spacing w:before="0"/>
        <w:sectPr w:rsidR="00FB0C75" w:rsidRPr="00A83DAA" w:rsidSect="00FB0C75">
          <w:headerReference w:type="even" r:id="rId292"/>
          <w:headerReference w:type="default" r:id="rId293"/>
          <w:footerReference w:type="even" r:id="rId294"/>
          <w:footerReference w:type="default" r:id="rId295"/>
          <w:headerReference w:type="first" r:id="rId296"/>
          <w:footerReference w:type="first" r:id="rId297"/>
          <w:type w:val="continuous"/>
          <w:pgSz w:w="11906" w:h="16838"/>
          <w:pgMar w:top="1134" w:right="1134" w:bottom="1134" w:left="1134" w:header="709" w:footer="709" w:gutter="0"/>
          <w:cols w:space="708"/>
          <w:docGrid w:linePitch="360"/>
        </w:sectPr>
      </w:pPr>
      <w:r>
        <w:t xml:space="preserve"> </w:t>
      </w:r>
      <w:bookmarkEnd w:id="272"/>
    </w:p>
    <w:p w:rsidR="00FB0C75" w:rsidRDefault="00525E53" w:rsidP="00FB0C75">
      <w:pPr>
        <w:pStyle w:val="HEADER2Part2"/>
      </w:pPr>
      <w:bookmarkStart w:id="273" w:name="_DMBM_8986"/>
      <w:r>
        <w:t>AMENDES</w:t>
      </w:r>
    </w:p>
    <w:p w:rsidR="00FB0C75" w:rsidRDefault="00525E53" w:rsidP="00FB0C75">
      <w:pPr>
        <w:pStyle w:val="Textstand-alone"/>
      </w:pPr>
      <w:r>
        <w:t xml:space="preserve">Ces produits, qui s'élèvent à </w:t>
      </w:r>
      <w:r w:rsidRPr="00031A85">
        <w:t>3</w:t>
      </w:r>
      <w:r>
        <w:t>,</w:t>
      </w:r>
      <w:r w:rsidRPr="00031A85">
        <w:t>858</w:t>
      </w:r>
      <w:r>
        <w:t xml:space="preserve"> milliards d’EUR (contre </w:t>
      </w:r>
      <w:r w:rsidRPr="00031A85">
        <w:t>531</w:t>
      </w:r>
      <w:r>
        <w:t xml:space="preserve"> millions d’EUR en </w:t>
      </w:r>
      <w:r w:rsidRPr="00031A85">
        <w:t>2015</w:t>
      </w:r>
      <w:r>
        <w:t>), se rapportent aux amendes imposées par la Commission pour manquement aux règles en matière d'infractions, essentiellement dans le domaine de la concurrence. Les créances et produits correspondants sont comptabilisés une fois la décision d’imposer une amende arrêtée par la Commission et officiellement notifiée au destinataire. Les principaux montants en </w:t>
      </w:r>
      <w:r w:rsidRPr="00031A85">
        <w:t>2016</w:t>
      </w:r>
      <w:r>
        <w:t>, et donc la forte hausse par rapport aux recettes issues des amendes en </w:t>
      </w:r>
      <w:r w:rsidRPr="00031A85">
        <w:t>2015</w:t>
      </w:r>
      <w:r>
        <w:t>, concernent le marché des poids lourds (</w:t>
      </w:r>
      <w:r w:rsidRPr="00031A85">
        <w:t>2</w:t>
      </w:r>
      <w:r>
        <w:t>,</w:t>
      </w:r>
      <w:r w:rsidRPr="00031A85">
        <w:t>927</w:t>
      </w:r>
      <w:r>
        <w:t> milliards d’EUR) et le secteur bancaire (</w:t>
      </w:r>
      <w:r w:rsidRPr="00031A85">
        <w:t>485</w:t>
      </w:r>
      <w:r>
        <w:t> millions d’EUR).</w:t>
      </w:r>
    </w:p>
    <w:p w:rsidR="002345E0" w:rsidRDefault="002345E0" w:rsidP="002345E0">
      <w:pPr>
        <w:pStyle w:val="HEADER2Part2"/>
      </w:pPr>
      <w:bookmarkStart w:id="274" w:name="_DMBM_8929"/>
      <w:bookmarkEnd w:id="273"/>
      <w:r>
        <w:t>RÉCUPÉRATION DE DÉPENSES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5" w:name="DOC_TBL00056_1_1"/>
            <w:bookmarkEnd w:id="275"/>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Gestion partagée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Gestion directe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Gestion indirecte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947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547</w:t>
            </w:r>
          </w:p>
        </w:tc>
      </w:tr>
    </w:tbl>
    <w:p w:rsidR="00FB0C75" w:rsidRDefault="00525E53" w:rsidP="00FB0C75">
      <w:pPr>
        <w:pStyle w:val="Textstand-alone"/>
      </w:pPr>
      <w:r>
        <w:t>Cette rubrique représente principalement les ordres de recouvrement émis par la Commission qui sont encaissés ou qui font l'objet d'une compensation (c'est-à-dire d'une déduction) par rapport à des paiements ultérieurs enregistrés dans le système comptable de la Commission, de manière à permettre le recouvrement des montants précédemment payés sur le budget général. Les recouvrements sont fondés sur des contrôles, des audits ou des analyses d’éligibilité, si bien que ces actions sont un élément important à prendre en considération dans l'exécution du budget de l’Union. Ces opérations, qui protègent le budget de l’UE contre les dépenses engagées en violation du droit, sont particulièrement importantes puisqu'il ressort des résultats issus de l’audit de la Cour des comptes un niveau significatif d’erreur dans les paiements effectués au titre du budget de l’UE — voir le rapport annuel de la Cour, notamment la déclaration d’assurance sur la légalité et la régularité des opérations sous-jacentes.</w:t>
      </w:r>
    </w:p>
    <w:p w:rsidR="00FB0C75" w:rsidRDefault="00525E53" w:rsidP="00FB0C75">
      <w:pPr>
        <w:pStyle w:val="Textstand-alone"/>
      </w:pPr>
      <w:r>
        <w:t xml:space="preserve">Les ordres de recouvrement émis par les États membres à l’intention des bénéficiaires des dépenses du FEAGA, ainsi que les fluctuations des estimations des produits à recevoir entre la fin de l’exercice précédent et la fin de celui-ci, sont également inclus. </w:t>
      </w:r>
    </w:p>
    <w:p w:rsidR="00FB0C75" w:rsidRDefault="00525E53" w:rsidP="00FB0C75">
      <w:pPr>
        <w:pStyle w:val="Textstand-alone"/>
      </w:pPr>
      <w:r>
        <w:t>Les montants repris dans le tableau ci-dessus représentent les recettes découlant de l’émission d’ordres de recouvrement. Ces chiffres ne peuvent exprimer et n’expriment donc pas toute l’ampleur des mesures prises pour protéger le budget de l’UE, en particulier pour la politique de cohésion, où des mécanismes spécifiques ont été mis en place pour assurer la correction des dépenses inéligibles, et dont la plupart n’impliquent pas l’émission d’un ordre de recouvrement. Ne sont pas pris en compte les montants recouvrés par voie de compensation par rapport à des dépenses, les montants recouvrés au moyen de retraits et la récupération de préfinancements.</w:t>
      </w:r>
    </w:p>
    <w:p w:rsidR="00FB0C75" w:rsidRDefault="00525E53" w:rsidP="00FB0C75">
      <w:pPr>
        <w:pStyle w:val="Textstand-alone"/>
      </w:pPr>
      <w:r>
        <w:rPr>
          <w:noProof w:val="0"/>
          <w:color w:val="016794"/>
        </w:rPr>
        <w:t>Les recouvrements liés à la gestion partagée</w:t>
      </w:r>
      <w:r>
        <w:t xml:space="preserve"> constituent l'essentiel du montant total:</w:t>
      </w:r>
    </w:p>
    <w:p w:rsidR="00FB0C75" w:rsidRPr="00CE6656" w:rsidRDefault="00525E53" w:rsidP="00FB0C75">
      <w:pPr>
        <w:pStyle w:val="HEADER5"/>
        <w:rPr>
          <w:b w:val="0"/>
          <w:i/>
          <w:color w:val="auto"/>
        </w:rPr>
      </w:pPr>
      <w:r>
        <w:rPr>
          <w:b w:val="0"/>
          <w:i/>
          <w:color w:val="auto"/>
        </w:rPr>
        <w:t>Agriculture: FEAGA et développement rural</w:t>
      </w:r>
    </w:p>
    <w:p w:rsidR="00FB0C75" w:rsidRDefault="00525E53" w:rsidP="00FB0C75">
      <w:pPr>
        <w:pStyle w:val="Textstand-alone"/>
      </w:pPr>
      <w:r>
        <w:t>Dans le cadre du FEAGA et du Feader, les montants inscrits en produits de l’exercice sous cette rubrique sont des corrections financières de l’exercice et des remboursements déclarés par les États membres et perçus au cours de l’exercice, auxquels s’ajoute l’augmentation nette des montants en suspens déclarés par les États membres à recouvrer en fin d'exercice au titre des fraudes et irrégularités.</w:t>
      </w:r>
    </w:p>
    <w:p w:rsidR="00FB0C75" w:rsidRPr="00CE6656" w:rsidRDefault="00525E53" w:rsidP="00FB0C75">
      <w:pPr>
        <w:pStyle w:val="HEADER5"/>
        <w:rPr>
          <w:b w:val="0"/>
          <w:i/>
          <w:color w:val="auto"/>
        </w:rPr>
      </w:pPr>
      <w:r>
        <w:rPr>
          <w:b w:val="0"/>
          <w:i/>
          <w:color w:val="auto"/>
        </w:rPr>
        <w:t>Politique de cohésion</w:t>
      </w:r>
    </w:p>
    <w:p w:rsidR="00FB0C75" w:rsidRDefault="00525E53" w:rsidP="00FB0C75">
      <w:pPr>
        <w:pStyle w:val="Textstand-alone"/>
      </w:pPr>
      <w:r>
        <w:t>Les principaux montants associés à la politique de cohésion comprennent les ordres de recouvrement émis par la Commission pour récupérer les montants de dépenses indues des années précédentes ainsi que les déductions des dépenses moins la diminution des produits à recevoir en fin d’exercice.</w:t>
      </w:r>
    </w:p>
    <w:p w:rsidR="003850AF" w:rsidRDefault="003850AF" w:rsidP="00FB0C75">
      <w:pPr>
        <w:pStyle w:val="Textstand-alone"/>
      </w:pPr>
    </w:p>
    <w:p w:rsidR="00FB0C75" w:rsidRDefault="00525E53" w:rsidP="00FB0C75">
      <w:pPr>
        <w:pStyle w:val="HEADER2Part2"/>
      </w:pPr>
      <w:bookmarkStart w:id="276" w:name="_DMBM_8991"/>
      <w:bookmarkEnd w:id="274"/>
      <w:r>
        <w:t>AUTRES PRODUITS DES OPÉRATIONS SANS CONTREPARTIE DIRECTE</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7" w:name="DOC_TBL00057_1_1"/>
            <w:bookmarkEnd w:id="27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Ajustements budgétaires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956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984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Impôts et cotisations du personnel</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115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Contributions des pays tiers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953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946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Contributions des États membres à l’aide extérieure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732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Transfert d’actifs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Ajustements des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Prélèvements agricoles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744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939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w:t>
            </w:r>
            <w:r>
              <w:t xml:space="preserve"> </w:t>
            </w:r>
            <w:r w:rsidRPr="00031A85">
              <w:t>740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w:t>
            </w:r>
            <w:r>
              <w:t xml:space="preserve"> </w:t>
            </w:r>
            <w:r w:rsidRPr="00031A85">
              <w:t>067</w:t>
            </w:r>
          </w:p>
        </w:tc>
      </w:tr>
    </w:tbl>
    <w:p w:rsidR="00FB0C75" w:rsidRPr="00FD325D" w:rsidRDefault="00525E53" w:rsidP="00FB0C75">
      <w:pPr>
        <w:pStyle w:val="Textstand-alone"/>
      </w:pPr>
      <w:r>
        <w:t xml:space="preserve">Les ajustements budgétaires incluent l’excédent budgétaire de </w:t>
      </w:r>
      <w:r w:rsidRPr="00031A85">
        <w:t>2015</w:t>
      </w:r>
      <w:r>
        <w:t xml:space="preserve"> (</w:t>
      </w:r>
      <w:r w:rsidRPr="00031A85">
        <w:t>1</w:t>
      </w:r>
      <w:r>
        <w:t>,</w:t>
      </w:r>
      <w:r w:rsidRPr="00031A85">
        <w:t>349</w:t>
      </w:r>
      <w:r>
        <w:t xml:space="preserve"> milliard d’EUR), qui est indirectement reversé aux États membres par déduction des montants de ressources propres qu’ils doivent payer à l’UE l’année suivante. Il s’agit donc de recettes pour </w:t>
      </w:r>
      <w:r w:rsidRPr="00031A85">
        <w:t>2016</w:t>
      </w:r>
      <w:r>
        <w:t>.</w:t>
      </w:r>
    </w:p>
    <w:p w:rsidR="00FB0C75" w:rsidRPr="00FD325D" w:rsidRDefault="00525E53" w:rsidP="00FB0C75">
      <w:pPr>
        <w:pStyle w:val="Textstand-alone"/>
      </w:pPr>
      <w:r>
        <w:t>Les produits issus des impôts et cotisations du personnel résultent essentiellement des prélèvements sur les traitements du personnel et sont essentiellement composés de deux montants: les contributions au régime de pension et les impôts sur le revenu.</w:t>
      </w:r>
    </w:p>
    <w:p w:rsidR="00FB0C75" w:rsidRPr="00FD325D" w:rsidRDefault="00525E53" w:rsidP="00FB0C75">
      <w:pPr>
        <w:pStyle w:val="Textstand-alone"/>
      </w:pPr>
      <w:r>
        <w:t>Les contributions des pays tiers se rapportent aux contributions versées par les pays de l’AELE et les pays candidats à l’adhésion.</w:t>
      </w:r>
    </w:p>
    <w:p w:rsidR="00FB0C75" w:rsidRPr="00FD325D" w:rsidRDefault="00525E53" w:rsidP="00FB0C75">
      <w:pPr>
        <w:pStyle w:val="Textstand-alone"/>
      </w:pPr>
      <w:r>
        <w:t>Les contributions des États membres à l’aide extérieure sont principalement les montants reçus en vue de la mise en place de la facilité en faveur des réfugiés en Turquie.</w:t>
      </w:r>
    </w:p>
    <w:p w:rsidR="00FB0C75" w:rsidRPr="00FD325D" w:rsidRDefault="00525E53" w:rsidP="00FB0C75">
      <w:pPr>
        <w:pStyle w:val="Textstand-alone"/>
      </w:pPr>
      <w:r>
        <w:t xml:space="preserve">Le produit du transfert d’actifs concerne principalement le transfert, dans le cadre du programme Copernicus (anciennement le programme GMES), de satellites de l’Agence spatiale européenne (ESA) à la Commission (voir note </w:t>
      </w:r>
      <w:r w:rsidRPr="00031A85">
        <w:rPr>
          <w:b/>
        </w:rPr>
        <w:t>2</w:t>
      </w:r>
      <w:r>
        <w:rPr>
          <w:b/>
        </w:rPr>
        <w:t>.</w:t>
      </w:r>
      <w:r w:rsidRPr="00031A85">
        <w:rPr>
          <w:b/>
        </w:rPr>
        <w:t>2</w:t>
      </w:r>
      <w:r>
        <w:t>). Ce transfert constitue une opération sans contrepartie directe au sens des règles comptables de l’UE et aura lieu à l’avenir pour les autres satellites Copernicus encore en construction.</w:t>
      </w:r>
    </w:p>
    <w:p w:rsidR="00FB0C75" w:rsidRDefault="00525E53" w:rsidP="00FB0C75">
      <w:pPr>
        <w:pStyle w:val="Textstand-alone"/>
        <w:spacing w:after="0"/>
      </w:pPr>
      <w:r>
        <w:t xml:space="preserve">Les prélèvements agricoles concernent les prélèvements laitiers, qui sont un outil de gestion du marché visant à pénaliser les producteurs de lait qui dépassent leurs quantités de référence. N’étant pas lié à des paiements antérieurs de la Commission, il est considéré en pratique comme une recette correspondant à une destination particulière. Le montant élevé des prélèvements laitiers de l’année dernière était principalement dû au prélèvement supplémentaire de </w:t>
      </w:r>
      <w:r w:rsidRPr="00031A85">
        <w:t>811</w:t>
      </w:r>
      <w:r>
        <w:t> millions d’EUR.</w:t>
      </w:r>
    </w:p>
    <w:p w:rsidR="00FB0C75" w:rsidRDefault="00525E53" w:rsidP="00FB0C75">
      <w:pPr>
        <w:pStyle w:val="Textstand-alone"/>
        <w:spacing w:before="0"/>
      </w:pPr>
      <w:r>
        <w:t xml:space="preserve"> </w:t>
      </w:r>
      <w:bookmarkEnd w:id="276"/>
    </w:p>
    <w:p w:rsidR="00FB0C75" w:rsidRDefault="00525E53" w:rsidP="00FB0C75">
      <w:pPr>
        <w:pStyle w:val="HEADERTABLE"/>
        <w:spacing w:after="0"/>
      </w:pPr>
      <w:bookmarkStart w:id="278" w:name="_DMBM_8982"/>
      <w:r>
        <w:t>PRODUITS DES OPÉRATIONS AVEC CONTREPARTIE DIRECTE</w:t>
      </w:r>
    </w:p>
    <w:p w:rsidR="00FB0C75" w:rsidRPr="00883D66" w:rsidRDefault="00525E53" w:rsidP="00FB0C75">
      <w:pPr>
        <w:pStyle w:val="Textstand-alone"/>
        <w:spacing w:before="0"/>
        <w:sectPr w:rsidR="00FB0C75" w:rsidRPr="00883D66" w:rsidSect="00FB0C75">
          <w:headerReference w:type="even" r:id="rId298"/>
          <w:headerReference w:type="default" r:id="rId299"/>
          <w:footerReference w:type="even" r:id="rId300"/>
          <w:footerReference w:type="default" r:id="rId301"/>
          <w:headerReference w:type="first" r:id="rId302"/>
          <w:footerReference w:type="first" r:id="rId303"/>
          <w:pgSz w:w="11906" w:h="16838"/>
          <w:pgMar w:top="1134" w:right="1134" w:bottom="1134" w:left="1134" w:header="709" w:footer="709" w:gutter="0"/>
          <w:cols w:space="708"/>
          <w:docGrid w:linePitch="360"/>
        </w:sectPr>
      </w:pPr>
      <w:r>
        <w:t xml:space="preserve"> </w:t>
      </w:r>
      <w:bookmarkEnd w:id="278"/>
    </w:p>
    <w:p w:rsidR="00FB0C75" w:rsidRDefault="00525E53" w:rsidP="00FB0C75">
      <w:pPr>
        <w:pStyle w:val="HEADER2Part2"/>
      </w:pPr>
      <w:bookmarkStart w:id="279" w:name="_DMBM_8905"/>
      <w:r>
        <w:t>PRODUIT FINANCIER</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1920"/>
        <w:gridCol w:w="1720"/>
      </w:tblGrid>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0" w:name="DOC_TBL00058_1_1"/>
            <w:bookmarkEnd w:id="280"/>
          </w:p>
        </w:tc>
        <w:tc>
          <w:tcPr>
            <w:tcW w:w="192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C12D51">
        <w:tc>
          <w:tcPr>
            <w:tcW w:w="610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92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72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d’intérêts sur:</w:t>
            </w:r>
          </w:p>
        </w:tc>
        <w:tc>
          <w:tcPr>
            <w:tcW w:w="1920"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720"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Préfinancements</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r>
              <w:t>)</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Retards de paiement</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108</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20</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Actifs financiers disponibles à la vente</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24</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56</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Prêts</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446</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616</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Trésorerie et équivalents de trésorerie</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w:t>
            </w:r>
          </w:p>
        </w:tc>
      </w:tr>
      <w:tr w:rsidR="005B4EEC" w:rsidTr="00C12D51">
        <w:tc>
          <w:tcPr>
            <w:tcW w:w="610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Actifs financiers dépréciés</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w:t>
            </w:r>
          </w:p>
        </w:tc>
        <w:tc>
          <w:tcPr>
            <w:tcW w:w="17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w:t>
            </w:r>
          </w:p>
        </w:tc>
      </w:tr>
      <w:tr w:rsidR="005B4EEC" w:rsidTr="00C12D51">
        <w:tc>
          <w:tcPr>
            <w:tcW w:w="610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  Autres </w:t>
            </w:r>
          </w:p>
        </w:tc>
        <w:tc>
          <w:tcPr>
            <w:tcW w:w="192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72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r>
      <w:tr w:rsidR="005B4EEC" w:rsidTr="00C12D51">
        <w:tc>
          <w:tcPr>
            <w:tcW w:w="610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Produits d’intérêts</w:t>
            </w:r>
          </w:p>
        </w:tc>
        <w:tc>
          <w:tcPr>
            <w:tcW w:w="19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1</w:t>
            </w:r>
            <w:r>
              <w:rPr>
                <w:b/>
                <w:i w:val="0"/>
              </w:rPr>
              <w:t xml:space="preserve"> </w:t>
            </w:r>
            <w:r w:rsidRPr="00031A85">
              <w:rPr>
                <w:b/>
                <w:i w:val="0"/>
              </w:rPr>
              <w:t>592</w:t>
            </w:r>
          </w:p>
        </w:tc>
        <w:tc>
          <w:tcPr>
            <w:tcW w:w="17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sidRPr="00031A85">
              <w:rPr>
                <w:b/>
                <w:i w:val="0"/>
              </w:rPr>
              <w:t>1</w:t>
            </w:r>
            <w:r>
              <w:rPr>
                <w:b/>
                <w:i w:val="0"/>
              </w:rPr>
              <w:t xml:space="preserve"> </w:t>
            </w:r>
            <w:r w:rsidRPr="00031A85">
              <w:rPr>
                <w:b/>
                <w:i w:val="0"/>
              </w:rPr>
              <w:t>721</w:t>
            </w:r>
          </w:p>
        </w:tc>
      </w:tr>
      <w:tr w:rsidR="005B4EEC" w:rsidTr="00C12D51">
        <w:tc>
          <w:tcPr>
            <w:tcW w:w="610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Dividendes</w:t>
            </w:r>
          </w:p>
        </w:tc>
        <w:tc>
          <w:tcPr>
            <w:tcW w:w="19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13</w:t>
            </w:r>
          </w:p>
        </w:tc>
        <w:tc>
          <w:tcPr>
            <w:tcW w:w="17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8</w:t>
            </w:r>
          </w:p>
        </w:tc>
      </w:tr>
      <w:tr w:rsidR="005B4EEC" w:rsidTr="00C12D51">
        <w:tc>
          <w:tcPr>
            <w:tcW w:w="610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Gains réalisés sur la vente d’actifs financiers</w:t>
            </w:r>
          </w:p>
        </w:tc>
        <w:tc>
          <w:tcPr>
            <w:tcW w:w="19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35</w:t>
            </w:r>
          </w:p>
        </w:tc>
        <w:tc>
          <w:tcPr>
            <w:tcW w:w="17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50</w:t>
            </w:r>
          </w:p>
        </w:tc>
      </w:tr>
      <w:tr w:rsidR="005B4EEC" w:rsidTr="00C12D51">
        <w:tc>
          <w:tcPr>
            <w:tcW w:w="610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 xml:space="preserve">Produit financier d'actifs ou de passifs financiers </w:t>
            </w:r>
            <w:r>
              <w:rPr>
                <w:rFonts w:cs="Verdana"/>
                <w:b/>
              </w:rPr>
              <w:br/>
            </w:r>
            <w:r>
              <w:rPr>
                <w:b/>
              </w:rPr>
              <w:t>à la juste valeur par le biais de l’excédent ou du déficit</w:t>
            </w:r>
          </w:p>
        </w:tc>
        <w:tc>
          <w:tcPr>
            <w:tcW w:w="19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0</w:t>
            </w:r>
          </w:p>
        </w:tc>
        <w:tc>
          <w:tcPr>
            <w:tcW w:w="172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w:t>
            </w:r>
          </w:p>
        </w:tc>
      </w:tr>
      <w:tr w:rsidR="005B4EEC" w:rsidTr="00C12D51">
        <w:tc>
          <w:tcPr>
            <w:tcW w:w="6108" w:type="dxa"/>
            <w:tcBorders>
              <w:top w:val="single" w:sz="4" w:space="0" w:color="016794"/>
              <w:left w:val="nil"/>
              <w:bottom w:val="nil"/>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Autres produits financiers</w:t>
            </w:r>
          </w:p>
        </w:tc>
        <w:tc>
          <w:tcPr>
            <w:tcW w:w="192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128</w:t>
            </w:r>
          </w:p>
        </w:tc>
        <w:tc>
          <w:tcPr>
            <w:tcW w:w="172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w:t>
            </w:r>
            <w:r w:rsidRPr="00031A85">
              <w:rPr>
                <w:b/>
                <w:i w:val="0"/>
              </w:rPr>
              <w:t>66</w:t>
            </w:r>
          </w:p>
        </w:tc>
      </w:tr>
      <w:tr w:rsidR="005B4EEC" w:rsidTr="00C12D51">
        <w:tc>
          <w:tcPr>
            <w:tcW w:w="61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1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769</w:t>
            </w:r>
          </w:p>
        </w:tc>
        <w:tc>
          <w:tcPr>
            <w:tcW w:w="17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846</w:t>
            </w:r>
          </w:p>
        </w:tc>
      </w:tr>
    </w:tbl>
    <w:p w:rsidR="00FB0C75" w:rsidRPr="00E21237" w:rsidRDefault="00525E53" w:rsidP="00FB0C75">
      <w:pPr>
        <w:pStyle w:val="Textstand-alone"/>
      </w:pPr>
      <w:r>
        <w:t>Les produits d’intérêts sur prêts concernent surtout les prêts d’assistance financière (voir la note </w:t>
      </w:r>
      <w:r w:rsidRPr="00031A85">
        <w:rPr>
          <w:b/>
        </w:rPr>
        <w:t>2</w:t>
      </w:r>
      <w:r>
        <w:rPr>
          <w:b/>
        </w:rPr>
        <w:t>.</w:t>
      </w:r>
      <w:r w:rsidRPr="00031A85">
        <w:rPr>
          <w:b/>
        </w:rPr>
        <w:t>4</w:t>
      </w:r>
      <w:r>
        <w:rPr>
          <w:b/>
        </w:rPr>
        <w:t>.</w:t>
      </w:r>
      <w:r w:rsidRPr="00031A85">
        <w:rPr>
          <w:b/>
        </w:rPr>
        <w:t>3</w:t>
      </w:r>
      <w:r>
        <w:t>).</w:t>
      </w:r>
    </w:p>
    <w:p w:rsidR="00FB0C75" w:rsidRPr="00AC62E1" w:rsidRDefault="00525E53" w:rsidP="00FB0C75">
      <w:pPr>
        <w:pStyle w:val="Textstand-alone"/>
        <w:spacing w:before="0"/>
        <w:sectPr w:rsidR="00FB0C75" w:rsidRPr="00AC62E1" w:rsidSect="00FB0C75">
          <w:headerReference w:type="even" r:id="rId304"/>
          <w:headerReference w:type="default" r:id="rId305"/>
          <w:footerReference w:type="even" r:id="rId306"/>
          <w:footerReference w:type="default" r:id="rId307"/>
          <w:headerReference w:type="first" r:id="rId308"/>
          <w:footerReference w:type="first" r:id="rId309"/>
          <w:type w:val="continuous"/>
          <w:pgSz w:w="11906" w:h="16838"/>
          <w:pgMar w:top="1134" w:right="1134" w:bottom="1134" w:left="1134" w:header="709" w:footer="709" w:gutter="0"/>
          <w:cols w:space="708"/>
          <w:docGrid w:linePitch="360"/>
        </w:sectPr>
      </w:pPr>
      <w:r>
        <w:t xml:space="preserve"> </w:t>
      </w:r>
      <w:bookmarkEnd w:id="279"/>
    </w:p>
    <w:p w:rsidR="00FB0C75" w:rsidRDefault="00525E53" w:rsidP="00FB0C75">
      <w:pPr>
        <w:pStyle w:val="HEADER2Part2"/>
      </w:pPr>
      <w:bookmarkStart w:id="281" w:name="_DMBM_8912"/>
      <w:r>
        <w:t>AUTRES PRODUITS DES OPÉRATIONS AVEC CONTREPARTIE DIRECTE</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2" w:name="DOC_TBL00059_1_1"/>
            <w:bookmarkEnd w:id="28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Gains de change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970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Recettes tirées de redevances pour prestation de services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Recettes tirées de redevances et de primes liées à des instruments financiers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Ventes de biens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Produits liés aux immobilisations corporelles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288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996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562</w:t>
            </w:r>
          </w:p>
        </w:tc>
      </w:tr>
    </w:tbl>
    <w:p w:rsidR="00FB0C75" w:rsidRPr="00C73174" w:rsidRDefault="00525E53" w:rsidP="00FB0C75">
      <w:pPr>
        <w:pStyle w:val="Textstand-alone"/>
        <w:spacing w:before="0"/>
        <w:sectPr w:rsidR="00FB0C75" w:rsidRPr="00C73174" w:rsidSect="00FB0C75">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t xml:space="preserve"> </w:t>
      </w:r>
      <w:bookmarkEnd w:id="281"/>
    </w:p>
    <w:p w:rsidR="00FB0C75" w:rsidRPr="0069721E" w:rsidRDefault="00525E53" w:rsidP="00FB0C75">
      <w:pPr>
        <w:pStyle w:val="HEADERTABLE"/>
      </w:pPr>
      <w:bookmarkStart w:id="283" w:name="_DMBM_8919"/>
      <w:r>
        <w:t>DÉPENSES</w:t>
      </w:r>
    </w:p>
    <w:p w:rsidR="00FB0C75" w:rsidRPr="003816B7" w:rsidRDefault="00525E53" w:rsidP="00FB0C75">
      <w:pPr>
        <w:pStyle w:val="Textstand-alone"/>
        <w:spacing w:before="0"/>
        <w:sectPr w:rsidR="00FB0C75" w:rsidRPr="003816B7" w:rsidSect="00FB0C75">
          <w:headerReference w:type="even" r:id="rId316"/>
          <w:headerReference w:type="default" r:id="rId317"/>
          <w:footerReference w:type="even" r:id="rId318"/>
          <w:footerReference w:type="default" r:id="rId319"/>
          <w:headerReference w:type="first" r:id="rId320"/>
          <w:footerReference w:type="first" r:id="rId321"/>
          <w:type w:val="continuous"/>
          <w:pgSz w:w="11906" w:h="16838"/>
          <w:pgMar w:top="1134" w:right="1134" w:bottom="1134" w:left="1134" w:header="709" w:footer="709" w:gutter="0"/>
          <w:cols w:space="708"/>
          <w:docGrid w:linePitch="360"/>
        </w:sectPr>
      </w:pPr>
      <w:r>
        <w:t xml:space="preserve"> </w:t>
      </w:r>
      <w:bookmarkEnd w:id="283"/>
    </w:p>
    <w:p w:rsidR="00FB0C75" w:rsidRDefault="00525E53" w:rsidP="00FB0C75">
      <w:pPr>
        <w:pStyle w:val="HEADER2Part2"/>
      </w:pPr>
      <w:bookmarkStart w:id="284" w:name="_DMBM_8916"/>
      <w:r>
        <w:t>GESTION PARTAGÉE</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920"/>
        <w:gridCol w:w="1600"/>
      </w:tblGrid>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5" w:name="DOC_TBL00060_1_1"/>
            <w:bookmarkEnd w:id="285"/>
          </w:p>
        </w:tc>
        <w:tc>
          <w:tcPr>
            <w:tcW w:w="192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F418CB">
        <w:tc>
          <w:tcPr>
            <w:tcW w:w="622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t>Exécution par les États membres</w:t>
            </w:r>
          </w:p>
        </w:tc>
        <w:tc>
          <w:tcPr>
            <w:tcW w:w="192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60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Fonds européen agricole de garantie</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44</w:t>
            </w:r>
            <w:r>
              <w:t xml:space="preserve"> </w:t>
            </w:r>
            <w:r w:rsidRPr="00031A85">
              <w:t>152</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45</w:t>
            </w:r>
            <w:r>
              <w:t xml:space="preserve"> </w:t>
            </w:r>
            <w:r w:rsidRPr="00031A85">
              <w:t>032</w:t>
            </w:r>
          </w:p>
        </w:tc>
      </w:tr>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t>Fonds européen agricole pour le développement rural et autres instruments de développement rural</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12</w:t>
            </w:r>
            <w:r>
              <w:t xml:space="preserve"> </w:t>
            </w:r>
            <w:r w:rsidRPr="00031A85">
              <w:t>604</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16</w:t>
            </w:r>
            <w:r>
              <w:t xml:space="preserve"> </w:t>
            </w:r>
            <w:r w:rsidRPr="00031A85">
              <w:t>376</w:t>
            </w:r>
          </w:p>
        </w:tc>
      </w:tr>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Fonds européen de développement régional et Fonds de cohésion</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35</w:t>
            </w:r>
            <w:r>
              <w:t xml:space="preserve"> </w:t>
            </w:r>
            <w:r w:rsidRPr="00031A85">
              <w:t>045</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38</w:t>
            </w:r>
            <w:r>
              <w:t xml:space="preserve"> </w:t>
            </w:r>
            <w:r w:rsidRPr="00031A85">
              <w:t>745</w:t>
            </w:r>
          </w:p>
        </w:tc>
      </w:tr>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Fonds social européen</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366</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849</w:t>
            </w:r>
          </w:p>
        </w:tc>
      </w:tr>
      <w:tr w:rsidR="005B4EEC" w:rsidTr="00F418CB">
        <w:tc>
          <w:tcPr>
            <w:tcW w:w="62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192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606</w:t>
            </w:r>
          </w:p>
        </w:tc>
        <w:tc>
          <w:tcPr>
            <w:tcW w:w="160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380</w:t>
            </w:r>
          </w:p>
        </w:tc>
      </w:tr>
      <w:tr w:rsidR="005B4EEC" w:rsidTr="00F418CB">
        <w:tc>
          <w:tcPr>
            <w:tcW w:w="622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1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102</w:t>
            </w:r>
            <w:r>
              <w:t xml:space="preserve"> </w:t>
            </w:r>
            <w:r w:rsidRPr="00031A85">
              <w:t>772</w:t>
            </w:r>
          </w:p>
        </w:tc>
        <w:tc>
          <w:tcPr>
            <w:tcW w:w="160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112</w:t>
            </w:r>
            <w:r>
              <w:t xml:space="preserve"> </w:t>
            </w:r>
            <w:r w:rsidRPr="00031A85">
              <w:t>382</w:t>
            </w:r>
          </w:p>
        </w:tc>
      </w:tr>
    </w:tbl>
    <w:p w:rsidR="00FB0C75" w:rsidRDefault="00525E53" w:rsidP="00FB0C75">
      <w:pPr>
        <w:pStyle w:val="Textstand-alone"/>
      </w:pPr>
      <w:r>
        <w:t>Le passage de l’ancienne période de programmation (</w:t>
      </w:r>
      <w:r w:rsidRPr="00031A85">
        <w:t>2007</w:t>
      </w:r>
      <w:r>
        <w:t>-</w:t>
      </w:r>
      <w:r w:rsidRPr="00031A85">
        <w:t>2013</w:t>
      </w:r>
      <w:r>
        <w:t>) à la période </w:t>
      </w:r>
      <w:r w:rsidRPr="00031A85">
        <w:t>2014</w:t>
      </w:r>
      <w:r>
        <w:t>-</w:t>
      </w:r>
      <w:r w:rsidRPr="00031A85">
        <w:t>2020</w:t>
      </w:r>
      <w:r>
        <w:t xml:space="preserve"> explique la réduction des dépenses de </w:t>
      </w:r>
      <w:r w:rsidRPr="00031A85">
        <w:t>4</w:t>
      </w:r>
      <w:r>
        <w:t>,</w:t>
      </w:r>
      <w:r w:rsidRPr="00031A85">
        <w:t>2</w:t>
      </w:r>
      <w:r>
        <w:t xml:space="preserve"> milliards d’EUR dans le domaine de la cohésion: comme prévu, les coûts déclarés pour la période précédente sont en baisse, tandis que ceux liés à la période actuelle sont en hausse mais restent faibles. Pour cette même raison, une diminution </w:t>
      </w:r>
      <w:r w:rsidRPr="00031A85">
        <w:t>3</w:t>
      </w:r>
      <w:r>
        <w:t>,</w:t>
      </w:r>
      <w:r w:rsidRPr="00031A85">
        <w:t>8</w:t>
      </w:r>
      <w:r>
        <w:t> milliards d’EUR touche les dépenses exposées au titre du Fonds européen agricole pour le développement rural (Feader) et d’autres instruments de développement rural - voir également la note </w:t>
      </w:r>
      <w:r w:rsidRPr="00031A85">
        <w:rPr>
          <w:b/>
        </w:rPr>
        <w:t>2</w:t>
      </w:r>
      <w:r>
        <w:rPr>
          <w:b/>
        </w:rPr>
        <w:t>.</w:t>
      </w:r>
      <w:r w:rsidRPr="00031A85">
        <w:rPr>
          <w:b/>
        </w:rPr>
        <w:t>13</w:t>
      </w:r>
      <w:r>
        <w:t>.</w:t>
      </w:r>
    </w:p>
    <w:p w:rsidR="00FB0C75" w:rsidRPr="00760446" w:rsidRDefault="00525E53" w:rsidP="00FB0C75">
      <w:pPr>
        <w:pStyle w:val="Textstand-alone"/>
      </w:pPr>
      <w:r>
        <w:t>La sous-rubrique «Autres» inclut essentiellement: les affaires maritimes et la pêche (</w:t>
      </w:r>
      <w:r w:rsidRPr="00031A85">
        <w:t>756</w:t>
      </w:r>
      <w:r>
        <w:t> millions d'EUR), l'asile et la migration (</w:t>
      </w:r>
      <w:r w:rsidRPr="00031A85">
        <w:t>310</w:t>
      </w:r>
      <w:r>
        <w:t> millions d'EUR) et le Fonds européen d’aide aux plus démunis (</w:t>
      </w:r>
      <w:r w:rsidRPr="00031A85">
        <w:t>178</w:t>
      </w:r>
      <w:r>
        <w:t> millions d’EUR).</w:t>
      </w:r>
    </w:p>
    <w:p w:rsidR="00FB0C75" w:rsidRPr="00760446" w:rsidRDefault="00525E53" w:rsidP="00FB0C75">
      <w:pPr>
        <w:pStyle w:val="Textstand-alone"/>
        <w:spacing w:before="0"/>
        <w:sectPr w:rsidR="00FB0C75" w:rsidRPr="00760446" w:rsidSect="00FB0C75">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284"/>
    </w:p>
    <w:p w:rsidR="00FB0C75" w:rsidRDefault="00525E53" w:rsidP="00FB0C75">
      <w:pPr>
        <w:pStyle w:val="HEADER2Part2"/>
      </w:pPr>
      <w:bookmarkStart w:id="286" w:name="_DMBM_8928"/>
      <w:r>
        <w:t>GESTION DIRECTE</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7" w:name="DOC_TBL00061_1_1"/>
            <w:bookmarkEnd w:id="28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la Commission</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9</w:t>
            </w:r>
            <w:r>
              <w:t xml:space="preserve"> </w:t>
            </w:r>
            <w:r w:rsidRPr="00031A85">
              <w:t>254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089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les agences exécutives de l’UE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259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w:t>
            </w:r>
            <w:r>
              <w:t xml:space="preserve"> </w:t>
            </w:r>
            <w:r w:rsidRPr="00031A85">
              <w:t>532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des fonds fiduciaires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15</w:t>
            </w:r>
            <w:r>
              <w:t xml:space="preserve"> </w:t>
            </w:r>
            <w:r w:rsidRPr="00031A85">
              <w:t>610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15</w:t>
            </w:r>
            <w:r>
              <w:t xml:space="preserve"> </w:t>
            </w:r>
            <w:r w:rsidRPr="00031A85">
              <w:t>626</w:t>
            </w:r>
          </w:p>
        </w:tc>
      </w:tr>
    </w:tbl>
    <w:p w:rsidR="00FB0C75" w:rsidRDefault="00525E53" w:rsidP="00FB0C75">
      <w:pPr>
        <w:pStyle w:val="Textstand-alone"/>
      </w:pPr>
      <w:r>
        <w:t>Ces montants concernent principalement la mise en œuvre de programmes relevant de la politique de recherche (</w:t>
      </w:r>
      <w:r w:rsidRPr="00031A85">
        <w:t>7</w:t>
      </w:r>
      <w:r>
        <w:t>,</w:t>
      </w:r>
      <w:r w:rsidRPr="00031A85">
        <w:t>1</w:t>
      </w:r>
      <w:r>
        <w:t> milliards d’EUR) et de l'agence pour les réseaux (</w:t>
      </w:r>
      <w:r w:rsidRPr="00031A85">
        <w:t>2</w:t>
      </w:r>
      <w:r>
        <w:t>,</w:t>
      </w:r>
      <w:r w:rsidRPr="00031A85">
        <w:t>0</w:t>
      </w:r>
      <w:r>
        <w:t> milliards d’EUR), ainsi que les instruments relevant de la politique européenne de voisinage (</w:t>
      </w:r>
      <w:r w:rsidRPr="00031A85">
        <w:t>1</w:t>
      </w:r>
      <w:r>
        <w:t>,</w:t>
      </w:r>
      <w:r w:rsidRPr="00031A85">
        <w:t>0</w:t>
      </w:r>
      <w:r>
        <w:t> milliard d’EUR), de la coopération au développement (</w:t>
      </w:r>
      <w:r w:rsidRPr="00031A85">
        <w:t>1</w:t>
      </w:r>
      <w:r>
        <w:t>,</w:t>
      </w:r>
      <w:r w:rsidRPr="00031A85">
        <w:t>2</w:t>
      </w:r>
      <w:r>
        <w:t> milliard d’EUR) et de l’aide humanitaire (</w:t>
      </w:r>
      <w:r w:rsidRPr="00031A85">
        <w:t>0</w:t>
      </w:r>
      <w:r>
        <w:t>,</w:t>
      </w:r>
      <w:r w:rsidRPr="00031A85">
        <w:t>7</w:t>
      </w:r>
      <w:r>
        <w:t> milliard d’EUR).</w:t>
      </w:r>
    </w:p>
    <w:p w:rsidR="00FB0C75" w:rsidRPr="0061709E" w:rsidRDefault="00525E53" w:rsidP="00FB0C75">
      <w:pPr>
        <w:pStyle w:val="Textstand-alone"/>
        <w:spacing w:before="0"/>
        <w:sectPr w:rsidR="00FB0C75" w:rsidRPr="0061709E" w:rsidSect="00FB0C75">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r>
        <w:t xml:space="preserve"> </w:t>
      </w:r>
      <w:bookmarkEnd w:id="286"/>
    </w:p>
    <w:p w:rsidR="00FB0C75" w:rsidRDefault="00525E53" w:rsidP="00FB0C75">
      <w:pPr>
        <w:pStyle w:val="HEADER2Part2"/>
      </w:pPr>
      <w:bookmarkStart w:id="288" w:name="_DMBM_8961"/>
      <w:r>
        <w:t>GESTION INDIRECTE</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9" w:name="DOC_TBL00062_1_1"/>
            <w:bookmarkEnd w:id="289"/>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t>Exécution par d’autres agences et organes de l’UE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547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209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des pays tiers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905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des organisations internationales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382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127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Exécution par d’autres entités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035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107</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7</w:t>
            </w:r>
            <w:r>
              <w:t xml:space="preserve"> </w:t>
            </w:r>
            <w:r w:rsidRPr="00031A85">
              <w:t>840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348</w:t>
            </w:r>
          </w:p>
        </w:tc>
      </w:tr>
    </w:tbl>
    <w:p w:rsidR="00FB0C75" w:rsidRDefault="00525E53" w:rsidP="00FB0C75">
      <w:pPr>
        <w:pStyle w:val="Textstand-alone"/>
        <w:spacing w:before="0"/>
        <w:sectPr w:rsidR="00FB0C75" w:rsidSect="00FB0C75">
          <w:headerReference w:type="even" r:id="rId334"/>
          <w:headerReference w:type="default" r:id="rId335"/>
          <w:footerReference w:type="even" r:id="rId336"/>
          <w:footerReference w:type="default" r:id="rId337"/>
          <w:headerReference w:type="first" r:id="rId338"/>
          <w:footerReference w:type="first" r:id="rId339"/>
          <w:type w:val="continuous"/>
          <w:pgSz w:w="11906" w:h="16838"/>
          <w:pgMar w:top="1134" w:right="1134" w:bottom="1134" w:left="1134" w:header="709" w:footer="709" w:gutter="0"/>
          <w:cols w:space="708"/>
          <w:docGrid w:linePitch="360"/>
        </w:sectPr>
      </w:pPr>
      <w:r>
        <w:t xml:space="preserve"> </w:t>
      </w:r>
      <w:bookmarkEnd w:id="288"/>
    </w:p>
    <w:p w:rsidR="003850AF" w:rsidRDefault="003850AF" w:rsidP="00FB0C75">
      <w:pPr>
        <w:pStyle w:val="HEADER2Part2"/>
        <w:sectPr w:rsidR="003850AF" w:rsidSect="00FB0C75">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bookmarkStart w:id="290" w:name="_DMBM_8993"/>
    </w:p>
    <w:p w:rsidR="00FB0C75" w:rsidRDefault="00525E53" w:rsidP="00FB0C75">
      <w:pPr>
        <w:pStyle w:val="HEADER2Part2"/>
      </w:pPr>
      <w:r>
        <w:t>COÛTS DU PERSONNEL ET DES PENSIONS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1" w:name="DOC_TBL00063_1_1"/>
            <w:bookmarkEnd w:id="29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Coûts du personnel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074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w:t>
            </w:r>
            <w:r>
              <w:t xml:space="preserve"> </w:t>
            </w:r>
            <w:r w:rsidRPr="00031A85">
              <w:t>838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Coûts des pensions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702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435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9</w:t>
            </w:r>
            <w:r>
              <w:t xml:space="preserve"> </w:t>
            </w:r>
            <w:r w:rsidRPr="00031A85">
              <w:t>776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273</w:t>
            </w:r>
          </w:p>
        </w:tc>
      </w:tr>
    </w:tbl>
    <w:p w:rsidR="00FB0C75" w:rsidRDefault="00525E53" w:rsidP="00FB0C75">
      <w:pPr>
        <w:pStyle w:val="Textstand-alone"/>
        <w:spacing w:after="0"/>
      </w:pPr>
      <w:r>
        <w:t>Les coûts liés aux pensions sont des éléments des variations qui sont apparues à la suite de l'évaluation actuarielle du passif lié aux avantages du personnel autres que les hypothèses actuarielles.</w:t>
      </w:r>
    </w:p>
    <w:p w:rsidR="003B65D7" w:rsidRDefault="003B65D7" w:rsidP="00FB0C75">
      <w:pPr>
        <w:pStyle w:val="Textstand-alone"/>
        <w:spacing w:after="0"/>
      </w:pPr>
    </w:p>
    <w:p w:rsidR="00FB0C75" w:rsidRPr="006C4C5B" w:rsidRDefault="00525E53" w:rsidP="00FB0C75">
      <w:pPr>
        <w:pStyle w:val="HEADER2Part2"/>
      </w:pPr>
      <w:bookmarkStart w:id="292" w:name="_DMBM_8962"/>
      <w:bookmarkEnd w:id="290"/>
      <w:r>
        <w:t>MODIFICATIONS DES HYPOTHÈSES ACTUARIELLES RELATIVES AUX AVANTAGES DU PERSONNEL</w:t>
      </w:r>
    </w:p>
    <w:p w:rsidR="00FB0C75" w:rsidRDefault="00525E53" w:rsidP="00FB0C75">
      <w:pPr>
        <w:pStyle w:val="Textstand-alone"/>
        <w:spacing w:after="0"/>
      </w:pPr>
      <w:r>
        <w:t xml:space="preserve">La perte actuarielle de </w:t>
      </w:r>
      <w:r w:rsidRPr="00031A85">
        <w:t>1</w:t>
      </w:r>
      <w:r>
        <w:t> milliard d’EUR net sous cette rubrique concerne le passif lié aux avantages du personnel porté au bilan (voir la note </w:t>
      </w:r>
      <w:r w:rsidRPr="00031A85">
        <w:rPr>
          <w:b/>
        </w:rPr>
        <w:t>2</w:t>
      </w:r>
      <w:r>
        <w:rPr>
          <w:b/>
        </w:rPr>
        <w:t>.</w:t>
      </w:r>
      <w:r w:rsidRPr="00031A85">
        <w:rPr>
          <w:b/>
        </w:rPr>
        <w:t>9</w:t>
      </w:r>
      <w:r>
        <w:t>).</w:t>
      </w:r>
    </w:p>
    <w:p w:rsidR="003B65D7" w:rsidRDefault="003B65D7" w:rsidP="00FB0C75">
      <w:pPr>
        <w:pStyle w:val="Textstand-alone"/>
        <w:spacing w:after="0"/>
      </w:pPr>
    </w:p>
    <w:p w:rsidR="00FB0C75" w:rsidRDefault="00525E53" w:rsidP="00FB0C75">
      <w:pPr>
        <w:pStyle w:val="HEADER2Part2"/>
      </w:pPr>
      <w:bookmarkStart w:id="293" w:name="_DMBM_8958"/>
      <w:bookmarkEnd w:id="292"/>
      <w:r>
        <w:t>CHARGES FINANCIÈRES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4" w:name="DOC_TBL00064_1_1"/>
            <w:bookmarkEnd w:id="29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Charges d’intérêts:</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Emprunts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607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Autres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Contrats de location-financement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Dépréciation d’actifs financiers disponibles à la vente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Pertes de valeur sur les prêts et créances à recevoir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174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Perte réalisée sur la vente d’actifs financiers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Perte réalisée sur les actifs ou passifs financiers à la juste valeur par le biais de l’excédent ou du déficit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charges financières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116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904</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986</w:t>
            </w:r>
          </w:p>
        </w:tc>
      </w:tr>
    </w:tbl>
    <w:p w:rsidR="00FB0C75" w:rsidRDefault="00525E53" w:rsidP="00FB0C75">
      <w:pPr>
        <w:pStyle w:val="Textstand-alone"/>
      </w:pPr>
      <w:r>
        <w:t>Le montant de la charge d’intérêts sur les emprunts correspond au produit des intérêts sur les prêts d’assistance financière (opérations réciproques ou «back-to-back»).</w:t>
      </w:r>
    </w:p>
    <w:p w:rsidR="00FB0C75" w:rsidRDefault="00525E53" w:rsidP="00FB0C75">
      <w:pPr>
        <w:pStyle w:val="Textstand-alone"/>
        <w:sectPr w:rsidR="00FB0C75" w:rsidSect="00FB0C75">
          <w:headerReference w:type="even" r:id="rId346"/>
          <w:headerReference w:type="default" r:id="rId347"/>
          <w:footerReference w:type="even" r:id="rId348"/>
          <w:footerReference w:type="default" r:id="rId349"/>
          <w:headerReference w:type="first" r:id="rId350"/>
          <w:footerReference w:type="first" r:id="rId351"/>
          <w:pgSz w:w="11906" w:h="16838"/>
          <w:pgMar w:top="1134" w:right="1134" w:bottom="1134" w:left="1134" w:header="709" w:footer="709" w:gutter="0"/>
          <w:cols w:space="708"/>
          <w:docGrid w:linePitch="360"/>
        </w:sectPr>
      </w:pPr>
      <w:r>
        <w:t xml:space="preserve"> </w:t>
      </w:r>
      <w:bookmarkEnd w:id="293"/>
    </w:p>
    <w:p w:rsidR="00FB0C75" w:rsidRPr="006C4C5B" w:rsidRDefault="00525E53" w:rsidP="00FB0C75">
      <w:pPr>
        <w:pStyle w:val="HEADER2Part2"/>
      </w:pPr>
      <w:bookmarkStart w:id="295" w:name="_DMBM_8980"/>
      <w:r>
        <w:t>PART DU RÉSULTAT DES COENTREPRISES ET ENTITÉS ASSOCIÉES</w:t>
      </w:r>
    </w:p>
    <w:p w:rsidR="00FB0C75" w:rsidRDefault="00525E53" w:rsidP="00FB0C75">
      <w:pPr>
        <w:pStyle w:val="Textstand-alone"/>
        <w:spacing w:after="0"/>
      </w:pPr>
      <w:r>
        <w:t>Conformément à la méthode de la mise en équivalence, l’UE comptabilise dans son compte de résultat économique la part du résultat de ses coentreprises et de ses entités associées (voir la note </w:t>
      </w:r>
      <w:r w:rsidRPr="00031A85">
        <w:rPr>
          <w:b/>
        </w:rPr>
        <w:t>2</w:t>
      </w:r>
      <w:r>
        <w:rPr>
          <w:b/>
        </w:rPr>
        <w:t>.</w:t>
      </w:r>
      <w:r w:rsidRPr="00031A85">
        <w:rPr>
          <w:b/>
        </w:rPr>
        <w:t>3</w:t>
      </w:r>
      <w:r>
        <w:t>).</w:t>
      </w:r>
    </w:p>
    <w:p w:rsidR="00FB0C75" w:rsidRPr="006E1E43" w:rsidRDefault="00525E53" w:rsidP="00FB0C75">
      <w:pPr>
        <w:pStyle w:val="Textstand-alone"/>
        <w:spacing w:before="0"/>
        <w:sectPr w:rsidR="00FB0C75" w:rsidRPr="006E1E43" w:rsidSect="00FB0C75">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r>
        <w:t xml:space="preserve"> </w:t>
      </w:r>
      <w:bookmarkEnd w:id="295"/>
    </w:p>
    <w:p w:rsidR="003B65D7" w:rsidRDefault="003B65D7" w:rsidP="00FB0C75">
      <w:pPr>
        <w:pStyle w:val="HEADER2Part2"/>
        <w:sectPr w:rsidR="003B65D7" w:rsidSect="00FB0C75">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bookmarkStart w:id="296" w:name="_DMBM_8951"/>
    </w:p>
    <w:p w:rsidR="00FB0C75" w:rsidRDefault="00525E53" w:rsidP="00FB0C75">
      <w:pPr>
        <w:pStyle w:val="HEADER2Part2"/>
      </w:pPr>
      <w:r>
        <w:t>AUTRES DÉPENSES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7" w:name="DOC_TBL00065_1_1"/>
            <w:bookmarkEnd w:id="29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Dépenses administratives et informatiques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455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419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Dépenses liées aux immobilisations corporelles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404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304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Ajustements des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520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Pertes de change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505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785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Réduction d'amendes par la Cour de justice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137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458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w:t>
            </w:r>
            <w:r>
              <w:t xml:space="preserve"> </w:t>
            </w:r>
            <w:r w:rsidRPr="00031A85">
              <w:t>486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623</w:t>
            </w:r>
          </w:p>
        </w:tc>
      </w:tr>
    </w:tbl>
    <w:p w:rsidR="00FB0C75" w:rsidRDefault="00525E53" w:rsidP="00FB0C75">
      <w:pPr>
        <w:pStyle w:val="Textstand-alone"/>
      </w:pPr>
      <w:r>
        <w:t>La baisse des autres dépenses est principalement due à l’annulation d'amendes imposées en </w:t>
      </w:r>
      <w:r w:rsidRPr="00031A85">
        <w:t>2015</w:t>
      </w:r>
      <w:r>
        <w:t>, lorsque la Cour de justice a tranché en faveur de l’entreprise visée par la sanction.</w:t>
      </w:r>
    </w:p>
    <w:p w:rsidR="00FB0C75" w:rsidRDefault="00525E53" w:rsidP="00FB0C75">
      <w:pPr>
        <w:pStyle w:val="Textstand-alone"/>
      </w:pPr>
      <w:r>
        <w:t xml:space="preserve">La rubrique «Dépenses liées aux immobilisations corporelles» comprend un montant de </w:t>
      </w:r>
      <w:r w:rsidRPr="00031A85">
        <w:t>383</w:t>
      </w:r>
      <w:r>
        <w:t xml:space="preserve"> millions d’EUR (contre </w:t>
      </w:r>
      <w:r w:rsidRPr="00031A85">
        <w:t>373</w:t>
      </w:r>
      <w:r>
        <w:t xml:space="preserve"> millions d’EUR en </w:t>
      </w:r>
      <w:r w:rsidRPr="00031A85">
        <w:t>2015</w:t>
      </w:r>
      <w:r>
        <w:t>) concernant les contrats de location simple.</w:t>
      </w:r>
    </w:p>
    <w:p w:rsidR="00FB0C75" w:rsidRDefault="00525E53" w:rsidP="00FB0C75">
      <w:pPr>
        <w:pStyle w:val="Textstand-alone"/>
      </w:pPr>
      <w:r>
        <w:t>Les coûts de recherche et de développement, qui sont inclus dans les dépenses administratives et informatiques, sont les suivants: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8" w:name="DOC_TBL00066_1_1"/>
            <w:bookmarkEnd w:id="29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en Mio EUR </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Coûts de recherche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344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384</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Coûts de développement non capitalisés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88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431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443</w:t>
            </w:r>
          </w:p>
        </w:tc>
      </w:tr>
    </w:tbl>
    <w:p w:rsidR="00FB0C75" w:rsidRDefault="00525E53" w:rsidP="00FB0C75">
      <w:pPr>
        <w:pStyle w:val="Textstand-alone"/>
        <w:sectPr w:rsidR="00FB0C75" w:rsidSect="003B65D7">
          <w:headerReference w:type="even" r:id="rId364"/>
          <w:headerReference w:type="default" r:id="rId365"/>
          <w:footerReference w:type="even" r:id="rId366"/>
          <w:footerReference w:type="default" r:id="rId367"/>
          <w:headerReference w:type="first" r:id="rId368"/>
          <w:footerReference w:type="first" r:id="rId369"/>
          <w:pgSz w:w="11906" w:h="16838"/>
          <w:pgMar w:top="1134" w:right="1134" w:bottom="1134" w:left="1134" w:header="709" w:footer="709" w:gutter="0"/>
          <w:cols w:space="708"/>
          <w:docGrid w:linePitch="360"/>
        </w:sectPr>
      </w:pPr>
      <w:r>
        <w:t xml:space="preserve"> </w:t>
      </w:r>
      <w:bookmarkEnd w:id="296"/>
    </w:p>
    <w:p w:rsidR="00FB0C75" w:rsidRPr="006C4C5B" w:rsidRDefault="00525E53" w:rsidP="00FB0C75">
      <w:pPr>
        <w:pStyle w:val="HEADER2Part2"/>
        <w:spacing w:line="360" w:lineRule="auto"/>
      </w:pPr>
      <w:bookmarkStart w:id="299" w:name="_DMBM_8942"/>
      <w:r>
        <w:t>INFORMATIONS SECTORIELLES PAR RUBRIQUE DU CADRE FINANCIER PLURIANNUEL (CFP)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2"/>
        <w:gridCol w:w="1641"/>
        <w:gridCol w:w="1709"/>
        <w:gridCol w:w="1310"/>
        <w:gridCol w:w="1375"/>
        <w:gridCol w:w="1869"/>
        <w:gridCol w:w="1292"/>
        <w:gridCol w:w="1458"/>
      </w:tblGrid>
      <w:tr w:rsidR="005B4EEC" w:rsidTr="00FB0C75">
        <w:trPr>
          <w:cantSplit/>
          <w:trHeight w:val="250"/>
        </w:trPr>
        <w:tc>
          <w:tcPr>
            <w:tcW w:w="1397" w:type="pct"/>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300" w:name="DOC_TBL00067_1_1"/>
            <w:bookmarkEnd w:id="300"/>
          </w:p>
        </w:tc>
        <w:tc>
          <w:tcPr>
            <w:tcW w:w="55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1" w:name="DOC_TBL00067_1_2"/>
            <w:bookmarkEnd w:id="301"/>
          </w:p>
        </w:tc>
        <w:tc>
          <w:tcPr>
            <w:tcW w:w="578"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2" w:name="DOC_TBL00067_1_3"/>
            <w:bookmarkEnd w:id="302"/>
          </w:p>
        </w:tc>
        <w:tc>
          <w:tcPr>
            <w:tcW w:w="443"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3" w:name="DOC_TBL00067_1_4"/>
            <w:bookmarkEnd w:id="303"/>
          </w:p>
        </w:tc>
        <w:tc>
          <w:tcPr>
            <w:tcW w:w="46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4" w:name="DOC_TBL00067_1_5"/>
            <w:bookmarkEnd w:id="304"/>
          </w:p>
        </w:tc>
        <w:tc>
          <w:tcPr>
            <w:tcW w:w="632"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5" w:name="DOC_TBL00067_1_6"/>
            <w:bookmarkEnd w:id="305"/>
          </w:p>
        </w:tc>
        <w:tc>
          <w:tcPr>
            <w:tcW w:w="437"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6" w:name="DOC_TBL00067_1_7"/>
            <w:bookmarkEnd w:id="30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bookmarkStart w:id="307" w:name="DOC_TBL00067_1_8"/>
            <w:r>
              <w:t>en Mio EUR</w:t>
            </w:r>
            <w:bookmarkEnd w:id="307"/>
          </w:p>
        </w:tc>
      </w:tr>
      <w:tr w:rsidR="005B4EEC" w:rsidTr="00FB0C75">
        <w:trPr>
          <w:cantSplit/>
          <w:trHeight w:val="737"/>
        </w:trPr>
        <w:tc>
          <w:tcPr>
            <w:tcW w:w="1397"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bookmarkStart w:id="308" w:name="DOC_TBL00067_2_1"/>
            <w:bookmarkEnd w:id="308"/>
          </w:p>
        </w:tc>
        <w:tc>
          <w:tcPr>
            <w:tcW w:w="55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09" w:name="DOC_TBL00067_2_2"/>
            <w:r>
              <w:t>Croissance intelligente et inclusive</w:t>
            </w:r>
            <w:bookmarkEnd w:id="309"/>
          </w:p>
        </w:tc>
        <w:tc>
          <w:tcPr>
            <w:tcW w:w="578"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0" w:name="DOC_TBL00067_2_3"/>
            <w:r>
              <w:t>Croissance durable</w:t>
            </w:r>
            <w:bookmarkEnd w:id="310"/>
          </w:p>
        </w:tc>
        <w:tc>
          <w:tcPr>
            <w:tcW w:w="44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1" w:name="DOC_TBL00067_2_4"/>
            <w:r>
              <w:t>Sécurité et citoyenneté</w:t>
            </w:r>
            <w:bookmarkEnd w:id="311"/>
          </w:p>
        </w:tc>
        <w:tc>
          <w:tcPr>
            <w:tcW w:w="46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2" w:name="DOC_TBL00067_2_5"/>
            <w:r>
              <w:t>L'Europe dans le monde</w:t>
            </w:r>
            <w:bookmarkEnd w:id="312"/>
          </w:p>
        </w:tc>
        <w:tc>
          <w:tcPr>
            <w:tcW w:w="632"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3" w:name="DOC_TBL00067_2_6"/>
            <w:r>
              <w:t>Administration</w:t>
            </w:r>
            <w:bookmarkEnd w:id="313"/>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4" w:name="DOC_TBL00067_2_7"/>
            <w:r>
              <w:t>Non attribué à une rubrique du CFP*</w:t>
            </w:r>
            <w:bookmarkEnd w:id="314"/>
          </w:p>
        </w:tc>
        <w:tc>
          <w:tcPr>
            <w:tcW w:w="49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5" w:name="DOC_TBL00067_2_8"/>
            <w:r>
              <w:t>Total</w:t>
            </w:r>
            <w:bookmarkEnd w:id="31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16" w:name="DOC_TBL00067_3_1"/>
            <w:r>
              <w:t>Ressources RNB</w:t>
            </w:r>
            <w:bookmarkEnd w:id="31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7" w:name="DOC_TBL00067_3_2"/>
            <w:r>
              <w:t>–</w:t>
            </w:r>
            <w:bookmarkEnd w:id="31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8" w:name="DOC_TBL00067_3_3"/>
            <w:r>
              <w:t>–</w:t>
            </w:r>
            <w:bookmarkEnd w:id="31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9" w:name="DOC_TBL00067_3_4"/>
            <w:r>
              <w:t>–</w:t>
            </w:r>
            <w:bookmarkEnd w:id="31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0" w:name="DOC_TBL00067_3_5"/>
            <w:r>
              <w:t>–</w:t>
            </w:r>
            <w:bookmarkEnd w:id="32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1" w:name="DOC_TBL00067_3_6"/>
            <w:r>
              <w:t>–</w:t>
            </w:r>
            <w:bookmarkEnd w:id="32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2" w:name="DOC_TBL00067_3_7"/>
            <w:r w:rsidRPr="00031A85">
              <w:t>95</w:t>
            </w:r>
            <w:r>
              <w:t xml:space="preserve"> </w:t>
            </w:r>
            <w:r w:rsidRPr="00031A85">
              <w:t>578</w:t>
            </w:r>
            <w:bookmarkEnd w:id="32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3" w:name="DOC_TBL00067_3_8"/>
            <w:r w:rsidRPr="00031A85">
              <w:t>95</w:t>
            </w:r>
            <w:r>
              <w:t xml:space="preserve"> </w:t>
            </w:r>
            <w:r w:rsidRPr="00031A85">
              <w:t>578</w:t>
            </w:r>
            <w:bookmarkEnd w:id="32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24" w:name="DOC_TBL00067_4_1"/>
            <w:r>
              <w:t>Ressources propres traditionnelles</w:t>
            </w:r>
            <w:bookmarkEnd w:id="32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5" w:name="DOC_TBL00067_4_2"/>
            <w:r>
              <w:t>–</w:t>
            </w:r>
            <w:bookmarkEnd w:id="32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6" w:name="DOC_TBL00067_4_3"/>
            <w:r>
              <w:t>–</w:t>
            </w:r>
            <w:bookmarkEnd w:id="32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7" w:name="DOC_TBL00067_4_4"/>
            <w:r>
              <w:t>–</w:t>
            </w:r>
            <w:bookmarkEnd w:id="32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8" w:name="DOC_TBL00067_4_5"/>
            <w:r>
              <w:t>–</w:t>
            </w:r>
            <w:bookmarkEnd w:id="32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9" w:name="DOC_TBL00067_4_6"/>
            <w:r>
              <w:t>–</w:t>
            </w:r>
            <w:bookmarkEnd w:id="32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0" w:name="DOC_TBL00067_4_7"/>
            <w:r w:rsidRPr="00031A85">
              <w:t>20</w:t>
            </w:r>
            <w:r>
              <w:t xml:space="preserve"> </w:t>
            </w:r>
            <w:r w:rsidRPr="00031A85">
              <w:t>439</w:t>
            </w:r>
            <w:bookmarkEnd w:id="33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1" w:name="DOC_TBL00067_4_8"/>
            <w:r w:rsidRPr="00031A85">
              <w:t>20</w:t>
            </w:r>
            <w:r>
              <w:t xml:space="preserve"> </w:t>
            </w:r>
            <w:r w:rsidRPr="00031A85">
              <w:t>439</w:t>
            </w:r>
            <w:bookmarkEnd w:id="33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32" w:name="DOC_TBL00067_5_1"/>
            <w:r>
              <w:t>TVA</w:t>
            </w:r>
            <w:bookmarkEnd w:id="33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3" w:name="DOC_TBL00067_5_2"/>
            <w:r>
              <w:t>–</w:t>
            </w:r>
            <w:bookmarkEnd w:id="33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4" w:name="DOC_TBL00067_5_3"/>
            <w:r>
              <w:t>–</w:t>
            </w:r>
            <w:bookmarkEnd w:id="33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5" w:name="DOC_TBL00067_5_4"/>
            <w:r>
              <w:t>–</w:t>
            </w:r>
            <w:bookmarkEnd w:id="33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6" w:name="DOC_TBL00067_5_5"/>
            <w:r>
              <w:t>–</w:t>
            </w:r>
            <w:bookmarkEnd w:id="33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7" w:name="DOC_TBL00067_5_6"/>
            <w:r>
              <w:t>–</w:t>
            </w:r>
            <w:bookmarkEnd w:id="33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8" w:name="DOC_TBL00067_5_7"/>
            <w:r w:rsidRPr="00031A85">
              <w:t>15</w:t>
            </w:r>
            <w:r>
              <w:t xml:space="preserve"> </w:t>
            </w:r>
            <w:r w:rsidRPr="00031A85">
              <w:t>859</w:t>
            </w:r>
            <w:bookmarkEnd w:id="33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9" w:name="DOC_TBL00067_5_8"/>
            <w:r w:rsidRPr="00031A85">
              <w:t>15</w:t>
            </w:r>
            <w:r>
              <w:t xml:space="preserve"> </w:t>
            </w:r>
            <w:r w:rsidRPr="00031A85">
              <w:t>859</w:t>
            </w:r>
            <w:bookmarkEnd w:id="33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40" w:name="DOC_TBL00067_6_1"/>
            <w:r>
              <w:t>Amendes</w:t>
            </w:r>
            <w:bookmarkEnd w:id="34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1" w:name="DOC_TBL00067_6_2"/>
            <w:r>
              <w:t>–</w:t>
            </w:r>
            <w:bookmarkEnd w:id="34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2" w:name="DOC_TBL00067_6_3"/>
            <w:r>
              <w:t>–</w:t>
            </w:r>
            <w:bookmarkEnd w:id="34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3" w:name="DOC_TBL00067_6_4"/>
            <w:r>
              <w:t>–</w:t>
            </w:r>
            <w:bookmarkEnd w:id="34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4" w:name="DOC_TBL00067_6_5"/>
            <w:r>
              <w:t>–</w:t>
            </w:r>
            <w:bookmarkEnd w:id="34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5" w:name="DOC_TBL00067_6_6"/>
            <w:r>
              <w:t>–</w:t>
            </w:r>
            <w:bookmarkEnd w:id="34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6" w:name="DOC_TBL00067_6_7"/>
            <w:r w:rsidRPr="00031A85">
              <w:t>3</w:t>
            </w:r>
            <w:r>
              <w:t xml:space="preserve"> </w:t>
            </w:r>
            <w:r w:rsidRPr="00031A85">
              <w:t>858</w:t>
            </w:r>
            <w:bookmarkEnd w:id="34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7" w:name="DOC_TBL00067_6_8"/>
            <w:r w:rsidRPr="00031A85">
              <w:t>3</w:t>
            </w:r>
            <w:r>
              <w:t xml:space="preserve"> </w:t>
            </w:r>
            <w:r w:rsidRPr="00031A85">
              <w:t>858</w:t>
            </w:r>
            <w:bookmarkEnd w:id="34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48" w:name="DOC_TBL00067_7_1"/>
            <w:r>
              <w:t>Récupération de dépenses</w:t>
            </w:r>
            <w:bookmarkEnd w:id="34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9" w:name="DOC_TBL00067_7_2"/>
            <w:r>
              <w:t xml:space="preserve"> </w:t>
            </w:r>
            <w:r w:rsidRPr="00031A85">
              <w:t>48</w:t>
            </w:r>
            <w:bookmarkEnd w:id="34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0" w:name="DOC_TBL00067_7_3"/>
            <w:r w:rsidRPr="00031A85">
              <w:t>1</w:t>
            </w:r>
            <w:r>
              <w:t xml:space="preserve"> </w:t>
            </w:r>
            <w:r w:rsidRPr="00031A85">
              <w:t>871</w:t>
            </w:r>
            <w:bookmarkEnd w:id="35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1" w:name="DOC_TBL00067_7_4"/>
            <w:r>
              <w:t xml:space="preserve"> </w:t>
            </w:r>
            <w:r w:rsidRPr="00031A85">
              <w:t>4</w:t>
            </w:r>
            <w:bookmarkEnd w:id="35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2" w:name="DOC_TBL00067_7_5"/>
            <w:r>
              <w:t xml:space="preserve"> </w:t>
            </w:r>
            <w:r w:rsidRPr="00031A85">
              <w:t>23</w:t>
            </w:r>
            <w:bookmarkEnd w:id="35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3" w:name="DOC_TBL00067_7_6"/>
            <w:r>
              <w:t>–</w:t>
            </w:r>
            <w:bookmarkEnd w:id="35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4" w:name="DOC_TBL00067_7_7"/>
            <w:r>
              <w:t xml:space="preserve"> </w:t>
            </w:r>
            <w:r w:rsidRPr="00031A85">
              <w:t>1</w:t>
            </w:r>
            <w:bookmarkEnd w:id="35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5" w:name="DOC_TBL00067_7_8"/>
            <w:r w:rsidRPr="00031A85">
              <w:t>1</w:t>
            </w:r>
            <w:r>
              <w:t xml:space="preserve"> </w:t>
            </w:r>
            <w:r w:rsidRPr="00031A85">
              <w:t>947</w:t>
            </w:r>
            <w:bookmarkEnd w:id="35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56" w:name="DOC_TBL00067_8_1"/>
            <w:r>
              <w:t>Autres</w:t>
            </w:r>
            <w:bookmarkEnd w:id="35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7" w:name="DOC_TBL00067_8_2"/>
            <w:r>
              <w:t xml:space="preserve"> </w:t>
            </w:r>
            <w:r w:rsidRPr="00031A85">
              <w:t>785</w:t>
            </w:r>
            <w:bookmarkEnd w:id="35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8" w:name="DOC_TBL00067_8_3"/>
            <w:r>
              <w:t xml:space="preserve"> </w:t>
            </w:r>
            <w:r w:rsidRPr="00031A85">
              <w:t>171</w:t>
            </w:r>
            <w:bookmarkEnd w:id="35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9" w:name="DOC_TBL00067_8_4"/>
            <w:r>
              <w:t xml:space="preserve"> </w:t>
            </w:r>
            <w:r w:rsidRPr="00031A85">
              <w:t>28</w:t>
            </w:r>
            <w:bookmarkEnd w:id="35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0" w:name="DOC_TBL00067_8_5"/>
            <w:r>
              <w:t xml:space="preserve"> </w:t>
            </w:r>
            <w:r w:rsidRPr="00031A85">
              <w:t>105</w:t>
            </w:r>
            <w:bookmarkEnd w:id="36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1" w:name="DOC_TBL00067_8_6"/>
            <w:r w:rsidRPr="00031A85">
              <w:t>4</w:t>
            </w:r>
            <w:r>
              <w:t xml:space="preserve"> </w:t>
            </w:r>
            <w:r w:rsidRPr="00031A85">
              <w:t>750</w:t>
            </w:r>
            <w:bookmarkEnd w:id="36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2" w:name="DOC_TBL00067_8_7"/>
            <w:r>
              <w:t xml:space="preserve"> (</w:t>
            </w:r>
            <w:r w:rsidRPr="00031A85">
              <w:t>97</w:t>
            </w:r>
            <w:r>
              <w:t>)</w:t>
            </w:r>
            <w:bookmarkEnd w:id="36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3" w:name="DOC_TBL00067_8_8"/>
            <w:r w:rsidRPr="00031A85">
              <w:t>5</w:t>
            </w:r>
            <w:r>
              <w:t xml:space="preserve"> </w:t>
            </w:r>
            <w:r w:rsidRPr="00031A85">
              <w:t>740</w:t>
            </w:r>
            <w:bookmarkEnd w:id="36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64" w:name="DOC_TBL00067_9_1"/>
            <w:r>
              <w:t>Produits des opérations sans contrepartie directe</w:t>
            </w:r>
            <w:bookmarkEnd w:id="36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5" w:name="DOC_TBL00067_9_2"/>
            <w:r>
              <w:t xml:space="preserve"> </w:t>
            </w:r>
            <w:r w:rsidRPr="00031A85">
              <w:t>834</w:t>
            </w:r>
            <w:bookmarkEnd w:id="36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6" w:name="DOC_TBL00067_9_3"/>
            <w:r w:rsidRPr="00031A85">
              <w:t>2</w:t>
            </w:r>
            <w:r>
              <w:t xml:space="preserve"> </w:t>
            </w:r>
            <w:r w:rsidRPr="00031A85">
              <w:t>041</w:t>
            </w:r>
            <w:bookmarkEnd w:id="36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7" w:name="DOC_TBL00067_9_4"/>
            <w:r>
              <w:t xml:space="preserve"> </w:t>
            </w:r>
            <w:r w:rsidRPr="00031A85">
              <w:t>32</w:t>
            </w:r>
            <w:bookmarkEnd w:id="36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8" w:name="DOC_TBL00067_9_5"/>
            <w:r>
              <w:t xml:space="preserve"> </w:t>
            </w:r>
            <w:r w:rsidRPr="00031A85">
              <w:t>128</w:t>
            </w:r>
            <w:bookmarkEnd w:id="36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9" w:name="DOC_TBL00067_9_6"/>
            <w:r w:rsidRPr="00031A85">
              <w:t>4</w:t>
            </w:r>
            <w:r>
              <w:t xml:space="preserve"> </w:t>
            </w:r>
            <w:r w:rsidRPr="00031A85">
              <w:t>750</w:t>
            </w:r>
            <w:bookmarkEnd w:id="36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0" w:name="DOC_TBL00067_9_7"/>
            <w:r w:rsidRPr="00031A85">
              <w:t>135</w:t>
            </w:r>
            <w:r>
              <w:t xml:space="preserve"> </w:t>
            </w:r>
            <w:r w:rsidRPr="00031A85">
              <w:t>638</w:t>
            </w:r>
            <w:bookmarkEnd w:id="37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1" w:name="DOC_TBL00067_9_8"/>
            <w:r w:rsidRPr="00031A85">
              <w:t>143</w:t>
            </w:r>
            <w:r>
              <w:t xml:space="preserve"> </w:t>
            </w:r>
            <w:r w:rsidRPr="00031A85">
              <w:t>422</w:t>
            </w:r>
            <w:bookmarkEnd w:id="37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72" w:name="DOC_TBL00067_10_1"/>
            <w:r>
              <w:t>Produit financier</w:t>
            </w:r>
            <w:bookmarkEnd w:id="37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3" w:name="DOC_TBL00067_10_2"/>
            <w:r>
              <w:t xml:space="preserve"> </w:t>
            </w:r>
            <w:r w:rsidRPr="00031A85">
              <w:t>87</w:t>
            </w:r>
            <w:bookmarkEnd w:id="37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4" w:name="DOC_TBL00067_10_3"/>
            <w:r>
              <w:t xml:space="preserve"> </w:t>
            </w:r>
            <w:r w:rsidRPr="00031A85">
              <w:t>0</w:t>
            </w:r>
            <w:bookmarkEnd w:id="37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5" w:name="DOC_TBL00067_10_4"/>
            <w:r>
              <w:t xml:space="preserve"> </w:t>
            </w:r>
            <w:r w:rsidRPr="00031A85">
              <w:t>0</w:t>
            </w:r>
            <w:bookmarkEnd w:id="37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6" w:name="DOC_TBL00067_10_5"/>
            <w:r>
              <w:t xml:space="preserve"> </w:t>
            </w:r>
            <w:r w:rsidRPr="00031A85">
              <w:t>21</w:t>
            </w:r>
            <w:bookmarkEnd w:id="37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7" w:name="DOC_TBL00067_10_6"/>
            <w:r>
              <w:t xml:space="preserve"> </w:t>
            </w:r>
            <w:r w:rsidRPr="00031A85">
              <w:t>0</w:t>
            </w:r>
            <w:bookmarkEnd w:id="37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8" w:name="DOC_TBL00067_10_7"/>
            <w:r w:rsidRPr="00031A85">
              <w:t>1</w:t>
            </w:r>
            <w:r>
              <w:t xml:space="preserve"> </w:t>
            </w:r>
            <w:r w:rsidRPr="00031A85">
              <w:t>661</w:t>
            </w:r>
            <w:bookmarkEnd w:id="37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9" w:name="DOC_TBL00067_10_8"/>
            <w:r w:rsidRPr="00031A85">
              <w:t>1</w:t>
            </w:r>
            <w:r>
              <w:t xml:space="preserve"> </w:t>
            </w:r>
            <w:r w:rsidRPr="00031A85">
              <w:t>769</w:t>
            </w:r>
            <w:bookmarkEnd w:id="37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80" w:name="DOC_TBL00067_11_1"/>
            <w:r>
              <w:t>Autres</w:t>
            </w:r>
            <w:bookmarkEnd w:id="38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1" w:name="DOC_TBL00067_11_2"/>
            <w:r>
              <w:t xml:space="preserve"> </w:t>
            </w:r>
            <w:r w:rsidRPr="00031A85">
              <w:t>121</w:t>
            </w:r>
            <w:bookmarkEnd w:id="38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2" w:name="DOC_TBL00067_11_3"/>
            <w:r>
              <w:t xml:space="preserve"> (</w:t>
            </w:r>
            <w:r w:rsidRPr="00031A85">
              <w:t>11</w:t>
            </w:r>
            <w:r>
              <w:t>)</w:t>
            </w:r>
            <w:bookmarkEnd w:id="38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3" w:name="DOC_TBL00067_11_4"/>
            <w:r>
              <w:t xml:space="preserve"> (</w:t>
            </w:r>
            <w:r w:rsidRPr="00031A85">
              <w:t>7</w:t>
            </w:r>
            <w:r>
              <w:t>)</w:t>
            </w:r>
            <w:bookmarkEnd w:id="38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4" w:name="DOC_TBL00067_11_5"/>
            <w:r>
              <w:t xml:space="preserve"> (</w:t>
            </w:r>
            <w:r w:rsidRPr="00031A85">
              <w:t>5</w:t>
            </w:r>
            <w:r>
              <w:t>)</w:t>
            </w:r>
            <w:bookmarkEnd w:id="38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5" w:name="DOC_TBL00067_11_6"/>
            <w:r>
              <w:t xml:space="preserve"> </w:t>
            </w:r>
            <w:r w:rsidRPr="00031A85">
              <w:t>307</w:t>
            </w:r>
            <w:bookmarkEnd w:id="38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6" w:name="DOC_TBL00067_11_7"/>
            <w:r>
              <w:t xml:space="preserve"> </w:t>
            </w:r>
            <w:r w:rsidRPr="00031A85">
              <w:t>592</w:t>
            </w:r>
            <w:bookmarkEnd w:id="38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7" w:name="DOC_TBL00067_11_8"/>
            <w:r>
              <w:t xml:space="preserve"> </w:t>
            </w:r>
            <w:r w:rsidRPr="00031A85">
              <w:t>996</w:t>
            </w:r>
            <w:bookmarkEnd w:id="387"/>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88" w:name="DOC_TBL00067_12_1"/>
            <w:r>
              <w:t>Produits des opérations avec contrepartie directe</w:t>
            </w:r>
            <w:bookmarkEnd w:id="388"/>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9" w:name="DOC_TBL00067_12_2"/>
            <w:r>
              <w:t xml:space="preserve"> </w:t>
            </w:r>
            <w:r w:rsidRPr="00031A85">
              <w:t>208</w:t>
            </w:r>
            <w:bookmarkEnd w:id="389"/>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0" w:name="DOC_TBL00067_12_3"/>
            <w:r>
              <w:t xml:space="preserve"> (</w:t>
            </w:r>
            <w:r w:rsidRPr="00031A85">
              <w:t>11</w:t>
            </w:r>
            <w:r>
              <w:t>)</w:t>
            </w:r>
            <w:bookmarkEnd w:id="390"/>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1" w:name="DOC_TBL00067_12_4"/>
            <w:r>
              <w:t xml:space="preserve"> (</w:t>
            </w:r>
            <w:r w:rsidRPr="00031A85">
              <w:t>7</w:t>
            </w:r>
            <w:r>
              <w:t>)</w:t>
            </w:r>
            <w:bookmarkEnd w:id="391"/>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2" w:name="DOC_TBL00067_12_5"/>
            <w:r>
              <w:t xml:space="preserve"> </w:t>
            </w:r>
            <w:r w:rsidRPr="00031A85">
              <w:t>16</w:t>
            </w:r>
            <w:bookmarkEnd w:id="392"/>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3" w:name="DOC_TBL00067_12_6"/>
            <w:r>
              <w:t xml:space="preserve"> </w:t>
            </w:r>
            <w:r w:rsidRPr="00031A85">
              <w:t>307</w:t>
            </w:r>
            <w:bookmarkEnd w:id="393"/>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4" w:name="DOC_TBL00067_12_7"/>
            <w:r w:rsidRPr="00031A85">
              <w:t>2</w:t>
            </w:r>
            <w:r>
              <w:t xml:space="preserve"> </w:t>
            </w:r>
            <w:r w:rsidRPr="00031A85">
              <w:t>253</w:t>
            </w:r>
            <w:bookmarkEnd w:id="394"/>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5" w:name="DOC_TBL00067_12_8"/>
            <w:r w:rsidRPr="00031A85">
              <w:t>2</w:t>
            </w:r>
            <w:r>
              <w:t xml:space="preserve"> </w:t>
            </w:r>
            <w:r w:rsidRPr="00031A85">
              <w:t>765</w:t>
            </w:r>
            <w:bookmarkEnd w:id="395"/>
          </w:p>
        </w:tc>
      </w:tr>
      <w:tr w:rsidR="005B4EEC" w:rsidTr="00FB0C75">
        <w:trPr>
          <w:cantSplit/>
          <w:trHeight w:val="234"/>
        </w:trPr>
        <w:tc>
          <w:tcPr>
            <w:tcW w:w="139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96" w:name="DOC_TBL00067_13_1"/>
            <w:r>
              <w:t>Total des recettes</w:t>
            </w:r>
            <w:bookmarkEnd w:id="396"/>
          </w:p>
        </w:tc>
        <w:tc>
          <w:tcPr>
            <w:tcW w:w="55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7" w:name="DOC_TBL00067_13_2"/>
            <w:r w:rsidRPr="00031A85">
              <w:t>1</w:t>
            </w:r>
            <w:r>
              <w:t xml:space="preserve"> </w:t>
            </w:r>
            <w:r w:rsidRPr="00031A85">
              <w:t>041</w:t>
            </w:r>
            <w:bookmarkEnd w:id="397"/>
          </w:p>
        </w:tc>
        <w:tc>
          <w:tcPr>
            <w:tcW w:w="578"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8" w:name="DOC_TBL00067_13_3"/>
            <w:r w:rsidRPr="00031A85">
              <w:t>2</w:t>
            </w:r>
            <w:r>
              <w:t xml:space="preserve"> </w:t>
            </w:r>
            <w:r w:rsidRPr="00031A85">
              <w:t>030</w:t>
            </w:r>
            <w:bookmarkEnd w:id="398"/>
          </w:p>
        </w:tc>
        <w:tc>
          <w:tcPr>
            <w:tcW w:w="44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9" w:name="DOC_TBL00067_13_4"/>
            <w:r>
              <w:t xml:space="preserve"> </w:t>
            </w:r>
            <w:r w:rsidRPr="00031A85">
              <w:t>25</w:t>
            </w:r>
            <w:bookmarkEnd w:id="399"/>
          </w:p>
        </w:tc>
        <w:tc>
          <w:tcPr>
            <w:tcW w:w="46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0" w:name="DOC_TBL00067_13_5"/>
            <w:r>
              <w:t xml:space="preserve"> </w:t>
            </w:r>
            <w:r w:rsidRPr="00031A85">
              <w:t>144</w:t>
            </w:r>
            <w:bookmarkEnd w:id="400"/>
          </w:p>
        </w:tc>
        <w:tc>
          <w:tcPr>
            <w:tcW w:w="632"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1" w:name="DOC_TBL00067_13_6"/>
            <w:r w:rsidRPr="00031A85">
              <w:t>5</w:t>
            </w:r>
            <w:r>
              <w:t xml:space="preserve"> </w:t>
            </w:r>
            <w:r w:rsidRPr="00031A85">
              <w:t>057</w:t>
            </w:r>
            <w:bookmarkEnd w:id="401"/>
          </w:p>
        </w:tc>
        <w:tc>
          <w:tcPr>
            <w:tcW w:w="43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2" w:name="DOC_TBL00067_13_7"/>
            <w:r w:rsidRPr="00031A85">
              <w:t>137</w:t>
            </w:r>
            <w:r>
              <w:t xml:space="preserve"> </w:t>
            </w:r>
            <w:r w:rsidRPr="00031A85">
              <w:t>891</w:t>
            </w:r>
            <w:bookmarkEnd w:id="402"/>
          </w:p>
        </w:tc>
        <w:tc>
          <w:tcPr>
            <w:tcW w:w="49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3" w:name="DOC_TBL00067_13_8"/>
            <w:r w:rsidRPr="00031A85">
              <w:t>146</w:t>
            </w:r>
            <w:r>
              <w:t xml:space="preserve"> </w:t>
            </w:r>
            <w:r w:rsidRPr="00031A85">
              <w:t>187</w:t>
            </w:r>
            <w:bookmarkEnd w:id="403"/>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04" w:name="DOC_TBL00067_14_1"/>
            <w:r>
              <w:t>Dépenses exécutées par les États membres:</w:t>
            </w:r>
            <w:bookmarkEnd w:id="404"/>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5" w:name="DOC_TBL00067_14_2"/>
            <w:bookmarkEnd w:id="405"/>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6" w:name="DOC_TBL00067_14_3"/>
            <w:bookmarkEnd w:id="406"/>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7" w:name="DOC_TBL00067_14_4"/>
            <w:bookmarkEnd w:id="407"/>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8" w:name="DOC_TBL00067_14_5"/>
            <w:bookmarkEnd w:id="408"/>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9" w:name="DOC_TBL00067_14_6"/>
            <w:bookmarkEnd w:id="409"/>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10" w:name="DOC_TBL00067_14_7"/>
            <w:bookmarkEnd w:id="410"/>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11" w:name="DOC_TBL00067_14_8"/>
            <w:bookmarkEnd w:id="41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12" w:name="DOC_TBL00067_15_1"/>
            <w:r>
              <w:t xml:space="preserve">  FEAGA</w:t>
            </w:r>
            <w:bookmarkEnd w:id="41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3" w:name="DOC_TBL00067_15_2"/>
            <w:r>
              <w:t>–</w:t>
            </w:r>
            <w:bookmarkEnd w:id="41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4" w:name="DOC_TBL00067_15_3"/>
            <w:r>
              <w:t>(</w:t>
            </w:r>
            <w:r w:rsidRPr="00031A85">
              <w:t>44</w:t>
            </w:r>
            <w:r>
              <w:t xml:space="preserve"> </w:t>
            </w:r>
            <w:r w:rsidRPr="00031A85">
              <w:t>152</w:t>
            </w:r>
            <w:r>
              <w:t>)</w:t>
            </w:r>
            <w:bookmarkEnd w:id="41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5" w:name="DOC_TBL00067_15_4"/>
            <w:r>
              <w:t>–</w:t>
            </w:r>
            <w:bookmarkEnd w:id="41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6" w:name="DOC_TBL00067_15_5"/>
            <w:r>
              <w:t>–</w:t>
            </w:r>
            <w:bookmarkEnd w:id="41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7" w:name="DOC_TBL00067_15_6"/>
            <w:r>
              <w:t>–</w:t>
            </w:r>
            <w:bookmarkEnd w:id="41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8" w:name="DOC_TBL00067_15_7"/>
            <w:r>
              <w:t>–</w:t>
            </w:r>
            <w:bookmarkEnd w:id="41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9" w:name="DOC_TBL00067_15_8"/>
            <w:r>
              <w:t>(</w:t>
            </w:r>
            <w:r w:rsidRPr="00031A85">
              <w:t>44</w:t>
            </w:r>
            <w:r>
              <w:t xml:space="preserve"> </w:t>
            </w:r>
            <w:r w:rsidRPr="00031A85">
              <w:t>152</w:t>
            </w:r>
            <w:r>
              <w:t>)</w:t>
            </w:r>
            <w:bookmarkEnd w:id="41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20" w:name="DOC_TBL00067_16_1"/>
            <w:r>
              <w:t xml:space="preserve">  Feader et autres instruments de développement rural</w:t>
            </w:r>
            <w:bookmarkEnd w:id="42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1" w:name="DOC_TBL00067_16_2"/>
            <w:r>
              <w:t>–</w:t>
            </w:r>
            <w:bookmarkEnd w:id="42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2" w:name="DOC_TBL00067_16_3"/>
            <w:r>
              <w:t>(</w:t>
            </w:r>
            <w:r w:rsidRPr="00031A85">
              <w:t>12</w:t>
            </w:r>
            <w:r>
              <w:t xml:space="preserve"> </w:t>
            </w:r>
            <w:r w:rsidRPr="00031A85">
              <w:t>604</w:t>
            </w:r>
            <w:r>
              <w:t>)</w:t>
            </w:r>
            <w:bookmarkEnd w:id="42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3" w:name="DOC_TBL00067_16_4"/>
            <w:r>
              <w:t>–</w:t>
            </w:r>
            <w:bookmarkEnd w:id="42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4" w:name="DOC_TBL00067_16_5"/>
            <w:r>
              <w:t>–</w:t>
            </w:r>
            <w:bookmarkEnd w:id="42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5" w:name="DOC_TBL00067_16_6"/>
            <w:r>
              <w:t>–</w:t>
            </w:r>
            <w:bookmarkEnd w:id="42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6" w:name="DOC_TBL00067_16_7"/>
            <w:r>
              <w:t>–</w:t>
            </w:r>
            <w:bookmarkEnd w:id="42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7" w:name="DOC_TBL00067_16_8"/>
            <w:r>
              <w:t>(</w:t>
            </w:r>
            <w:r w:rsidRPr="00031A85">
              <w:t>12</w:t>
            </w:r>
            <w:r>
              <w:t xml:space="preserve"> </w:t>
            </w:r>
            <w:r w:rsidRPr="00031A85">
              <w:t>604</w:t>
            </w:r>
            <w:r>
              <w:t>)</w:t>
            </w:r>
            <w:bookmarkEnd w:id="42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28" w:name="DOC_TBL00067_17_1"/>
            <w:r>
              <w:t xml:space="preserve">  FEDER et FC</w:t>
            </w:r>
            <w:bookmarkEnd w:id="42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9" w:name="DOC_TBL00067_17_2"/>
            <w:r>
              <w:t>(</w:t>
            </w:r>
            <w:r w:rsidRPr="00031A85">
              <w:t>35</w:t>
            </w:r>
            <w:r>
              <w:t xml:space="preserve"> </w:t>
            </w:r>
            <w:r w:rsidRPr="00031A85">
              <w:t>045</w:t>
            </w:r>
            <w:r>
              <w:t>)</w:t>
            </w:r>
            <w:bookmarkEnd w:id="42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0" w:name="DOC_TBL00067_17_3"/>
            <w:r>
              <w:t>–</w:t>
            </w:r>
            <w:bookmarkEnd w:id="43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1" w:name="DOC_TBL00067_17_4"/>
            <w:r>
              <w:t>–</w:t>
            </w:r>
            <w:bookmarkEnd w:id="43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2" w:name="DOC_TBL00067_17_5"/>
            <w:r>
              <w:t>–</w:t>
            </w:r>
            <w:bookmarkEnd w:id="43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3" w:name="DOC_TBL00067_17_6"/>
            <w:r>
              <w:t>–</w:t>
            </w:r>
            <w:bookmarkEnd w:id="43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4" w:name="DOC_TBL00067_17_7"/>
            <w:r>
              <w:t>–</w:t>
            </w:r>
            <w:bookmarkEnd w:id="43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5" w:name="DOC_TBL00067_17_8"/>
            <w:r>
              <w:t>(</w:t>
            </w:r>
            <w:r w:rsidRPr="00031A85">
              <w:t>35</w:t>
            </w:r>
            <w:r>
              <w:t xml:space="preserve"> </w:t>
            </w:r>
            <w:r w:rsidRPr="00031A85">
              <w:t>045</w:t>
            </w:r>
            <w:r>
              <w:t>)</w:t>
            </w:r>
            <w:bookmarkEnd w:id="43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36" w:name="DOC_TBL00067_18_1"/>
            <w:r>
              <w:t xml:space="preserve">  FSE</w:t>
            </w:r>
            <w:bookmarkEnd w:id="43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7" w:name="DOC_TBL00067_18_2"/>
            <w:r>
              <w:t>(</w:t>
            </w:r>
            <w:r w:rsidRPr="00031A85">
              <w:t>9</w:t>
            </w:r>
            <w:r>
              <w:t xml:space="preserve"> </w:t>
            </w:r>
            <w:r w:rsidRPr="00031A85">
              <w:t>366</w:t>
            </w:r>
            <w:r>
              <w:t>)</w:t>
            </w:r>
            <w:bookmarkEnd w:id="43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8" w:name="DOC_TBL00067_18_3"/>
            <w:r>
              <w:t>–</w:t>
            </w:r>
            <w:bookmarkEnd w:id="43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9" w:name="DOC_TBL00067_18_4"/>
            <w:r>
              <w:t>–</w:t>
            </w:r>
            <w:bookmarkEnd w:id="43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0" w:name="DOC_TBL00067_18_5"/>
            <w:r>
              <w:t>–</w:t>
            </w:r>
            <w:bookmarkEnd w:id="44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1" w:name="DOC_TBL00067_18_6"/>
            <w:r>
              <w:t>–</w:t>
            </w:r>
            <w:bookmarkEnd w:id="44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2" w:name="DOC_TBL00067_18_7"/>
            <w:r>
              <w:t>–</w:t>
            </w:r>
            <w:bookmarkEnd w:id="44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3" w:name="DOC_TBL00067_18_8"/>
            <w:r>
              <w:t>(</w:t>
            </w:r>
            <w:r w:rsidRPr="00031A85">
              <w:t>9</w:t>
            </w:r>
            <w:r>
              <w:t xml:space="preserve"> </w:t>
            </w:r>
            <w:r w:rsidRPr="00031A85">
              <w:t>366</w:t>
            </w:r>
            <w:r>
              <w:t>)</w:t>
            </w:r>
            <w:bookmarkEnd w:id="44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44" w:name="DOC_TBL00067_19_1"/>
            <w:r>
              <w:t xml:space="preserve">  Autres</w:t>
            </w:r>
            <w:bookmarkEnd w:id="44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5" w:name="DOC_TBL00067_19_2"/>
            <w:r>
              <w:t xml:space="preserve"> (</w:t>
            </w:r>
            <w:r w:rsidRPr="00031A85">
              <w:t>466</w:t>
            </w:r>
            <w:r>
              <w:t>)</w:t>
            </w:r>
            <w:bookmarkEnd w:id="44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6" w:name="DOC_TBL00067_19_3"/>
            <w:r>
              <w:t xml:space="preserve"> (</w:t>
            </w:r>
            <w:r w:rsidRPr="00031A85">
              <w:t>754</w:t>
            </w:r>
            <w:r>
              <w:t>)</w:t>
            </w:r>
            <w:bookmarkEnd w:id="44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7" w:name="DOC_TBL00067_19_4"/>
            <w:r>
              <w:t xml:space="preserve"> (</w:t>
            </w:r>
            <w:r w:rsidRPr="00031A85">
              <w:t>470</w:t>
            </w:r>
            <w:r>
              <w:t>)</w:t>
            </w:r>
            <w:bookmarkEnd w:id="44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8" w:name="DOC_TBL00067_19_5"/>
            <w:r>
              <w:t xml:space="preserve"> </w:t>
            </w:r>
            <w:r w:rsidRPr="00031A85">
              <w:t>84</w:t>
            </w:r>
            <w:bookmarkEnd w:id="44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9" w:name="DOC_TBL00067_19_6"/>
            <w:r>
              <w:t>–</w:t>
            </w:r>
            <w:bookmarkEnd w:id="44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0" w:name="DOC_TBL00067_19_7"/>
            <w:r>
              <w:t>–</w:t>
            </w:r>
            <w:bookmarkEnd w:id="45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1" w:name="DOC_TBL00067_19_8"/>
            <w:r>
              <w:t>(</w:t>
            </w:r>
            <w:r w:rsidRPr="00031A85">
              <w:t>1</w:t>
            </w:r>
            <w:r>
              <w:t xml:space="preserve"> </w:t>
            </w:r>
            <w:r w:rsidRPr="00031A85">
              <w:t>606</w:t>
            </w:r>
            <w:r>
              <w:t>)</w:t>
            </w:r>
            <w:bookmarkEnd w:id="45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52" w:name="DOC_TBL00067_20_1"/>
            <w:r>
              <w:t>Exécution par la CE, des agences exécutives et des fonds fiduciaires</w:t>
            </w:r>
            <w:bookmarkEnd w:id="45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3" w:name="DOC_TBL00067_20_2"/>
            <w:r>
              <w:t>(</w:t>
            </w:r>
            <w:r w:rsidRPr="00031A85">
              <w:t>10</w:t>
            </w:r>
            <w:r>
              <w:t xml:space="preserve"> </w:t>
            </w:r>
            <w:r w:rsidRPr="00031A85">
              <w:t>143</w:t>
            </w:r>
            <w:r>
              <w:t>)</w:t>
            </w:r>
            <w:bookmarkEnd w:id="45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4" w:name="DOC_TBL00067_20_3"/>
            <w:r>
              <w:t xml:space="preserve"> (</w:t>
            </w:r>
            <w:r w:rsidRPr="00031A85">
              <w:t>544</w:t>
            </w:r>
            <w:r>
              <w:t>)</w:t>
            </w:r>
            <w:bookmarkEnd w:id="45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5" w:name="DOC_TBL00067_20_4"/>
            <w:r>
              <w:t xml:space="preserve"> (</w:t>
            </w:r>
            <w:r w:rsidRPr="00031A85">
              <w:t>957</w:t>
            </w:r>
            <w:r>
              <w:t>)</w:t>
            </w:r>
            <w:bookmarkEnd w:id="45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6" w:name="DOC_TBL00067_20_5"/>
            <w:r>
              <w:t>(</w:t>
            </w:r>
            <w:r w:rsidRPr="00031A85">
              <w:t>3</w:t>
            </w:r>
            <w:r>
              <w:t xml:space="preserve"> </w:t>
            </w:r>
            <w:r w:rsidRPr="00031A85">
              <w:t>951</w:t>
            </w:r>
            <w:r>
              <w:t>)</w:t>
            </w:r>
            <w:bookmarkEnd w:id="45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7" w:name="DOC_TBL00067_20_6"/>
            <w:r>
              <w:t xml:space="preserve"> (</w:t>
            </w:r>
            <w:r w:rsidRPr="00031A85">
              <w:t>50</w:t>
            </w:r>
            <w:r>
              <w:t>)</w:t>
            </w:r>
            <w:bookmarkEnd w:id="45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8" w:name="DOC_TBL00067_20_7"/>
            <w:r>
              <w:t xml:space="preserve"> </w:t>
            </w:r>
            <w:r w:rsidRPr="00031A85">
              <w:t>34</w:t>
            </w:r>
            <w:bookmarkEnd w:id="45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9" w:name="DOC_TBL00067_20_8"/>
            <w:r>
              <w:t>(</w:t>
            </w:r>
            <w:r w:rsidRPr="00031A85">
              <w:t>15</w:t>
            </w:r>
            <w:r>
              <w:t xml:space="preserve"> </w:t>
            </w:r>
            <w:r w:rsidRPr="00031A85">
              <w:t>610</w:t>
            </w:r>
            <w:r>
              <w:t>)</w:t>
            </w:r>
            <w:bookmarkEnd w:id="45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60" w:name="DOC_TBL00067_21_1"/>
            <w:r>
              <w:t>Exécution par d’autres agences et organes de l’UE</w:t>
            </w:r>
            <w:bookmarkEnd w:id="46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1" w:name="DOC_TBL00067_21_2"/>
            <w:r>
              <w:t>(</w:t>
            </w:r>
            <w:r w:rsidRPr="00031A85">
              <w:t>2</w:t>
            </w:r>
            <w:r>
              <w:t xml:space="preserve"> </w:t>
            </w:r>
            <w:r w:rsidRPr="00031A85">
              <w:t>028</w:t>
            </w:r>
            <w:r>
              <w:t>)</w:t>
            </w:r>
            <w:bookmarkEnd w:id="46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2" w:name="DOC_TBL00067_21_3"/>
            <w:r>
              <w:t xml:space="preserve"> (</w:t>
            </w:r>
            <w:r w:rsidRPr="00031A85">
              <w:t>110</w:t>
            </w:r>
            <w:r>
              <w:t>)</w:t>
            </w:r>
            <w:bookmarkEnd w:id="46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3" w:name="DOC_TBL00067_21_4"/>
            <w:r>
              <w:t xml:space="preserve"> (</w:t>
            </w:r>
            <w:r w:rsidRPr="00031A85">
              <w:t>662</w:t>
            </w:r>
            <w:r>
              <w:t>)</w:t>
            </w:r>
            <w:bookmarkEnd w:id="46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4" w:name="DOC_TBL00067_21_5"/>
            <w:r>
              <w:t xml:space="preserve"> (</w:t>
            </w:r>
            <w:r w:rsidRPr="00031A85">
              <w:t>265</w:t>
            </w:r>
            <w:r>
              <w:t>)</w:t>
            </w:r>
            <w:bookmarkEnd w:id="46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5" w:name="DOC_TBL00067_21_6"/>
            <w:r>
              <w:t>–</w:t>
            </w:r>
            <w:bookmarkEnd w:id="46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6" w:name="DOC_TBL00067_21_7"/>
            <w:r>
              <w:t xml:space="preserve"> </w:t>
            </w:r>
            <w:r w:rsidRPr="00031A85">
              <w:t>518</w:t>
            </w:r>
            <w:bookmarkEnd w:id="46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7" w:name="DOC_TBL00067_21_8"/>
            <w:r>
              <w:t>(</w:t>
            </w:r>
            <w:r w:rsidRPr="00031A85">
              <w:t>2</w:t>
            </w:r>
            <w:r>
              <w:t xml:space="preserve"> </w:t>
            </w:r>
            <w:r w:rsidRPr="00031A85">
              <w:t>547</w:t>
            </w:r>
            <w:r>
              <w:t>)</w:t>
            </w:r>
            <w:bookmarkEnd w:id="46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68" w:name="DOC_TBL00067_22_1"/>
            <w:r>
              <w:t>Exécution par des pays tiers et des organisations internationales</w:t>
            </w:r>
            <w:bookmarkEnd w:id="46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9" w:name="DOC_TBL00067_22_2"/>
            <w:r>
              <w:t xml:space="preserve"> (</w:t>
            </w:r>
            <w:r w:rsidRPr="00031A85">
              <w:t>274</w:t>
            </w:r>
            <w:r>
              <w:t>)</w:t>
            </w:r>
            <w:bookmarkEnd w:id="46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0" w:name="DOC_TBL00067_22_3"/>
            <w:r>
              <w:t xml:space="preserve"> (</w:t>
            </w:r>
            <w:r w:rsidRPr="00031A85">
              <w:t>5</w:t>
            </w:r>
            <w:r>
              <w:t>)</w:t>
            </w:r>
            <w:bookmarkEnd w:id="47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1" w:name="DOC_TBL00067_22_4"/>
            <w:r>
              <w:t xml:space="preserve"> (</w:t>
            </w:r>
            <w:r w:rsidRPr="00031A85">
              <w:t>188</w:t>
            </w:r>
            <w:r>
              <w:t>)</w:t>
            </w:r>
            <w:bookmarkEnd w:id="47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2" w:name="DOC_TBL00067_22_5"/>
            <w:r>
              <w:t>(</w:t>
            </w:r>
            <w:r w:rsidRPr="00031A85">
              <w:t>2</w:t>
            </w:r>
            <w:r>
              <w:t xml:space="preserve"> </w:t>
            </w:r>
            <w:r w:rsidRPr="00031A85">
              <w:t>792</w:t>
            </w:r>
            <w:r>
              <w:t>)</w:t>
            </w:r>
            <w:bookmarkEnd w:id="47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3" w:name="DOC_TBL00067_22_6"/>
            <w:r>
              <w:t>–</w:t>
            </w:r>
            <w:bookmarkEnd w:id="47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4" w:name="DOC_TBL00067_22_7"/>
            <w:r>
              <w:t>–</w:t>
            </w:r>
            <w:bookmarkEnd w:id="47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5" w:name="DOC_TBL00067_22_8"/>
            <w:r>
              <w:t>(</w:t>
            </w:r>
            <w:r w:rsidRPr="00031A85">
              <w:t>3</w:t>
            </w:r>
            <w:r>
              <w:t xml:space="preserve"> </w:t>
            </w:r>
            <w:r w:rsidRPr="00031A85">
              <w:t>258</w:t>
            </w:r>
            <w:r>
              <w:t>)</w:t>
            </w:r>
            <w:bookmarkEnd w:id="47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76" w:name="DOC_TBL00067_23_1"/>
            <w:r>
              <w:t>Exécution par d’autres entités</w:t>
            </w:r>
            <w:bookmarkEnd w:id="47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7" w:name="DOC_TBL00067_23_2"/>
            <w:r>
              <w:t>(</w:t>
            </w:r>
            <w:r w:rsidRPr="00031A85">
              <w:t>1</w:t>
            </w:r>
            <w:r>
              <w:t xml:space="preserve"> </w:t>
            </w:r>
            <w:r w:rsidRPr="00031A85">
              <w:t>411</w:t>
            </w:r>
            <w:r>
              <w:t>)</w:t>
            </w:r>
            <w:bookmarkEnd w:id="47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8" w:name="DOC_TBL00067_23_3"/>
            <w:r>
              <w:t xml:space="preserve"> (</w:t>
            </w:r>
            <w:r w:rsidRPr="00031A85">
              <w:t>16</w:t>
            </w:r>
            <w:r>
              <w:t>)</w:t>
            </w:r>
            <w:bookmarkEnd w:id="47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9" w:name="DOC_TBL00067_23_4"/>
            <w:r>
              <w:t xml:space="preserve"> (</w:t>
            </w:r>
            <w:r w:rsidRPr="00031A85">
              <w:t>2</w:t>
            </w:r>
            <w:r>
              <w:t>)</w:t>
            </w:r>
            <w:bookmarkEnd w:id="47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0" w:name="DOC_TBL00067_23_5"/>
            <w:r>
              <w:t xml:space="preserve"> (</w:t>
            </w:r>
            <w:r w:rsidRPr="00031A85">
              <w:t>606</w:t>
            </w:r>
            <w:r>
              <w:t>)</w:t>
            </w:r>
            <w:bookmarkEnd w:id="48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1" w:name="DOC_TBL00067_23_6"/>
            <w:r>
              <w:t xml:space="preserve"> (</w:t>
            </w:r>
            <w:r w:rsidRPr="00031A85">
              <w:t>0</w:t>
            </w:r>
            <w:r>
              <w:t>)</w:t>
            </w:r>
            <w:bookmarkEnd w:id="48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2" w:name="DOC_TBL00067_23_7"/>
            <w:r>
              <w:t>–</w:t>
            </w:r>
            <w:bookmarkEnd w:id="48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3" w:name="DOC_TBL00067_23_8"/>
            <w:r>
              <w:t>(</w:t>
            </w:r>
            <w:r w:rsidRPr="00031A85">
              <w:t>2</w:t>
            </w:r>
            <w:r>
              <w:t xml:space="preserve"> </w:t>
            </w:r>
            <w:r w:rsidRPr="00031A85">
              <w:t>035</w:t>
            </w:r>
            <w:r>
              <w:t>)</w:t>
            </w:r>
            <w:bookmarkEnd w:id="48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84" w:name="DOC_TBL00067_24_1"/>
            <w:r>
              <w:t>Coûts du personnel et des pensions</w:t>
            </w:r>
            <w:bookmarkEnd w:id="48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5" w:name="DOC_TBL00067_24_2"/>
            <w:r>
              <w:t>(</w:t>
            </w:r>
            <w:r w:rsidRPr="00031A85">
              <w:t>1</w:t>
            </w:r>
            <w:r>
              <w:t xml:space="preserve"> </w:t>
            </w:r>
            <w:r w:rsidRPr="00031A85">
              <w:t>593</w:t>
            </w:r>
            <w:r>
              <w:t>)</w:t>
            </w:r>
            <w:bookmarkEnd w:id="48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6" w:name="DOC_TBL00067_24_3"/>
            <w:r>
              <w:t xml:space="preserve"> (</w:t>
            </w:r>
            <w:r w:rsidRPr="00031A85">
              <w:t>345</w:t>
            </w:r>
            <w:r>
              <w:t>)</w:t>
            </w:r>
            <w:bookmarkEnd w:id="48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7" w:name="DOC_TBL00067_24_4"/>
            <w:r>
              <w:t xml:space="preserve"> (</w:t>
            </w:r>
            <w:r w:rsidRPr="00031A85">
              <w:t>390</w:t>
            </w:r>
            <w:r>
              <w:t>)</w:t>
            </w:r>
            <w:bookmarkEnd w:id="48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8" w:name="DOC_TBL00067_24_5"/>
            <w:r>
              <w:t xml:space="preserve"> (</w:t>
            </w:r>
            <w:r w:rsidRPr="00031A85">
              <w:t>575</w:t>
            </w:r>
            <w:r>
              <w:t>)</w:t>
            </w:r>
            <w:bookmarkEnd w:id="48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9" w:name="DOC_TBL00067_24_6"/>
            <w:r>
              <w:t>(</w:t>
            </w:r>
            <w:r w:rsidRPr="00031A85">
              <w:t>5</w:t>
            </w:r>
            <w:r>
              <w:t xml:space="preserve"> </w:t>
            </w:r>
            <w:r w:rsidRPr="00031A85">
              <w:t>968</w:t>
            </w:r>
            <w:r>
              <w:t>)</w:t>
            </w:r>
            <w:bookmarkEnd w:id="48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0" w:name="DOC_TBL00067_24_7"/>
            <w:r>
              <w:t xml:space="preserve"> (</w:t>
            </w:r>
            <w:r w:rsidRPr="00031A85">
              <w:t>904</w:t>
            </w:r>
            <w:r>
              <w:t>)</w:t>
            </w:r>
            <w:bookmarkEnd w:id="49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1" w:name="DOC_TBL00067_24_8"/>
            <w:r>
              <w:t>(</w:t>
            </w:r>
            <w:r w:rsidRPr="00031A85">
              <w:t>9</w:t>
            </w:r>
            <w:r>
              <w:t xml:space="preserve"> </w:t>
            </w:r>
            <w:r w:rsidRPr="00031A85">
              <w:t>776</w:t>
            </w:r>
            <w:r>
              <w:t>)</w:t>
            </w:r>
            <w:bookmarkEnd w:id="49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92" w:name="DOC_TBL00067_25_1"/>
            <w:r>
              <w:t>Modifications des hypothèses actuarielles relatives aux avantages du personnel</w:t>
            </w:r>
            <w:bookmarkEnd w:id="49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3" w:name="DOC_TBL00067_25_2"/>
            <w:r>
              <w:t>–</w:t>
            </w:r>
            <w:bookmarkEnd w:id="49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4" w:name="DOC_TBL00067_25_3"/>
            <w:r>
              <w:t>–</w:t>
            </w:r>
            <w:bookmarkEnd w:id="49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5" w:name="DOC_TBL00067_25_4"/>
            <w:r>
              <w:t>–</w:t>
            </w:r>
            <w:bookmarkEnd w:id="49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6" w:name="DOC_TBL00067_25_5"/>
            <w:r>
              <w:t>–</w:t>
            </w:r>
            <w:bookmarkEnd w:id="49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7" w:name="DOC_TBL00067_25_6"/>
            <w:r>
              <w:t>(</w:t>
            </w:r>
            <w:r w:rsidRPr="00031A85">
              <w:t>1</w:t>
            </w:r>
            <w:r>
              <w:t xml:space="preserve"> </w:t>
            </w:r>
            <w:r w:rsidRPr="00031A85">
              <w:t>068</w:t>
            </w:r>
            <w:r>
              <w:t>)</w:t>
            </w:r>
            <w:bookmarkEnd w:id="49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8" w:name="DOC_TBL00067_25_7"/>
            <w:r>
              <w:t>–</w:t>
            </w:r>
            <w:bookmarkEnd w:id="49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9" w:name="DOC_TBL00067_25_8"/>
            <w:r>
              <w:t>(</w:t>
            </w:r>
            <w:r w:rsidRPr="00031A85">
              <w:t>1</w:t>
            </w:r>
            <w:r>
              <w:t xml:space="preserve"> </w:t>
            </w:r>
            <w:r w:rsidRPr="00031A85">
              <w:t>068</w:t>
            </w:r>
            <w:r>
              <w:t>)</w:t>
            </w:r>
            <w:bookmarkEnd w:id="49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500" w:name="DOC_TBL00067_26_1"/>
            <w:r>
              <w:t>Charges financières</w:t>
            </w:r>
            <w:bookmarkEnd w:id="50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1" w:name="DOC_TBL00067_26_2"/>
            <w:r>
              <w:t xml:space="preserve"> (</w:t>
            </w:r>
            <w:r w:rsidRPr="00031A85">
              <w:t>173</w:t>
            </w:r>
            <w:r>
              <w:t>)</w:t>
            </w:r>
            <w:bookmarkEnd w:id="50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2" w:name="DOC_TBL00067_26_3"/>
            <w:r>
              <w:t xml:space="preserve"> (</w:t>
            </w:r>
            <w:r w:rsidRPr="00031A85">
              <w:t>47</w:t>
            </w:r>
            <w:r>
              <w:t>)</w:t>
            </w:r>
            <w:bookmarkEnd w:id="50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3" w:name="DOC_TBL00067_26_4"/>
            <w:r>
              <w:t xml:space="preserve"> (</w:t>
            </w:r>
            <w:r w:rsidRPr="00031A85">
              <w:t>1</w:t>
            </w:r>
            <w:r>
              <w:t>)</w:t>
            </w:r>
            <w:bookmarkEnd w:id="50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4" w:name="DOC_TBL00067_26_5"/>
            <w:r>
              <w:t xml:space="preserve"> (</w:t>
            </w:r>
            <w:r w:rsidRPr="00031A85">
              <w:t>20</w:t>
            </w:r>
            <w:r>
              <w:t>)</w:t>
            </w:r>
            <w:bookmarkEnd w:id="50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5" w:name="DOC_TBL00067_26_6"/>
            <w:r>
              <w:t xml:space="preserve"> (</w:t>
            </w:r>
            <w:r w:rsidRPr="00031A85">
              <w:t>127</w:t>
            </w:r>
            <w:r>
              <w:t>)</w:t>
            </w:r>
            <w:bookmarkEnd w:id="50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6" w:name="DOC_TBL00067_26_7"/>
            <w:r>
              <w:t>(</w:t>
            </w:r>
            <w:r w:rsidRPr="00031A85">
              <w:t>1</w:t>
            </w:r>
            <w:r>
              <w:t xml:space="preserve"> </w:t>
            </w:r>
            <w:r w:rsidRPr="00031A85">
              <w:t>536</w:t>
            </w:r>
            <w:r>
              <w:t>)</w:t>
            </w:r>
            <w:bookmarkEnd w:id="50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7" w:name="DOC_TBL00067_26_8"/>
            <w:r>
              <w:t>(</w:t>
            </w:r>
            <w:r w:rsidRPr="00031A85">
              <w:t>1</w:t>
            </w:r>
            <w:r>
              <w:t xml:space="preserve"> </w:t>
            </w:r>
            <w:r w:rsidRPr="00031A85">
              <w:t>904</w:t>
            </w:r>
            <w:r>
              <w:t>)</w:t>
            </w:r>
            <w:bookmarkEnd w:id="50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508" w:name="DOC_TBL00067_27_1"/>
            <w:r>
              <w:t>Part du résultat des entités associées et coentreprises</w:t>
            </w:r>
            <w:bookmarkEnd w:id="50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9" w:name="DOC_TBL00067_27_2"/>
            <w:r>
              <w:t xml:space="preserve"> </w:t>
            </w:r>
            <w:r w:rsidRPr="00031A85">
              <w:t>2</w:t>
            </w:r>
            <w:bookmarkEnd w:id="50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0" w:name="DOC_TBL00067_27_3"/>
            <w:r>
              <w:t>–</w:t>
            </w:r>
            <w:bookmarkEnd w:id="51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1" w:name="DOC_TBL00067_27_4"/>
            <w:r>
              <w:t>–</w:t>
            </w:r>
            <w:bookmarkEnd w:id="51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2" w:name="DOC_TBL00067_27_5"/>
            <w:r>
              <w:t>–</w:t>
            </w:r>
            <w:bookmarkEnd w:id="51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3" w:name="DOC_TBL00067_27_6"/>
            <w:r>
              <w:t>–</w:t>
            </w:r>
            <w:bookmarkEnd w:id="51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4" w:name="DOC_TBL00067_27_7"/>
            <w:r>
              <w:t>–</w:t>
            </w:r>
            <w:bookmarkEnd w:id="51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5" w:name="DOC_TBL00067_27_8"/>
            <w:r>
              <w:t xml:space="preserve"> </w:t>
            </w:r>
            <w:r w:rsidRPr="00031A85">
              <w:t>2</w:t>
            </w:r>
            <w:bookmarkEnd w:id="515"/>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bookmarkStart w:id="516" w:name="DOC_TBL00067_28_1"/>
            <w:r>
              <w:t>Autres dépenses</w:t>
            </w:r>
            <w:bookmarkEnd w:id="516"/>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7" w:name="DOC_TBL00067_28_2"/>
            <w:r>
              <w:t>(</w:t>
            </w:r>
            <w:r w:rsidRPr="00031A85">
              <w:t>1</w:t>
            </w:r>
            <w:r>
              <w:t xml:space="preserve"> </w:t>
            </w:r>
            <w:r w:rsidRPr="00031A85">
              <w:t>468</w:t>
            </w:r>
            <w:r>
              <w:t>)</w:t>
            </w:r>
            <w:bookmarkEnd w:id="517"/>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8" w:name="DOC_TBL00067_28_3"/>
            <w:r>
              <w:t xml:space="preserve"> (</w:t>
            </w:r>
            <w:r w:rsidRPr="00031A85">
              <w:t>83</w:t>
            </w:r>
            <w:r>
              <w:t>)</w:t>
            </w:r>
            <w:bookmarkEnd w:id="518"/>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9" w:name="DOC_TBL00067_28_4"/>
            <w:r>
              <w:t xml:space="preserve"> (</w:t>
            </w:r>
            <w:r w:rsidRPr="00031A85">
              <w:t>102</w:t>
            </w:r>
            <w:r>
              <w:t>)</w:t>
            </w:r>
            <w:bookmarkEnd w:id="519"/>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0" w:name="DOC_TBL00067_28_5"/>
            <w:r>
              <w:t xml:space="preserve"> (</w:t>
            </w:r>
            <w:r w:rsidRPr="00031A85">
              <w:t>70</w:t>
            </w:r>
            <w:r>
              <w:t>)</w:t>
            </w:r>
            <w:bookmarkEnd w:id="520"/>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1" w:name="DOC_TBL00067_28_6"/>
            <w:r>
              <w:t>(</w:t>
            </w:r>
            <w:r w:rsidRPr="00031A85">
              <w:t>3</w:t>
            </w:r>
            <w:r>
              <w:t xml:space="preserve"> </w:t>
            </w:r>
            <w:r w:rsidRPr="00031A85">
              <w:t>196</w:t>
            </w:r>
            <w:r>
              <w:t>)</w:t>
            </w:r>
            <w:bookmarkEnd w:id="521"/>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2" w:name="DOC_TBL00067_28_7"/>
            <w:r>
              <w:t xml:space="preserve"> (</w:t>
            </w:r>
            <w:r w:rsidRPr="00031A85">
              <w:t>566</w:t>
            </w:r>
            <w:r>
              <w:t>)</w:t>
            </w:r>
            <w:bookmarkEnd w:id="522"/>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3" w:name="DOC_TBL00067_28_8"/>
            <w:r>
              <w:t>(</w:t>
            </w:r>
            <w:r w:rsidRPr="00031A85">
              <w:t>5</w:t>
            </w:r>
            <w:r>
              <w:t xml:space="preserve"> </w:t>
            </w:r>
            <w:r w:rsidRPr="00031A85">
              <w:t>486</w:t>
            </w:r>
            <w:r>
              <w:t>)</w:t>
            </w:r>
            <w:bookmarkEnd w:id="523"/>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524" w:name="DOC_TBL00067_29_1"/>
            <w:r>
              <w:t>Total des dépenses</w:t>
            </w:r>
            <w:bookmarkEnd w:id="524"/>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5" w:name="DOC_TBL00067_29_2"/>
            <w:r>
              <w:t>(</w:t>
            </w:r>
            <w:r w:rsidRPr="00031A85">
              <w:t>61</w:t>
            </w:r>
            <w:r>
              <w:t xml:space="preserve"> </w:t>
            </w:r>
            <w:r w:rsidRPr="00031A85">
              <w:t>964</w:t>
            </w:r>
            <w:r>
              <w:t>)</w:t>
            </w:r>
            <w:bookmarkEnd w:id="525"/>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6" w:name="DOC_TBL00067_29_3"/>
            <w:r>
              <w:t>(</w:t>
            </w:r>
            <w:r w:rsidRPr="00031A85">
              <w:t>58</w:t>
            </w:r>
            <w:r>
              <w:t xml:space="preserve"> </w:t>
            </w:r>
            <w:r w:rsidRPr="00031A85">
              <w:t>659</w:t>
            </w:r>
            <w:r>
              <w:t>)</w:t>
            </w:r>
            <w:bookmarkEnd w:id="526"/>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7" w:name="DOC_TBL00067_29_4"/>
            <w:r>
              <w:t>(</w:t>
            </w:r>
            <w:r w:rsidRPr="00031A85">
              <w:t>2</w:t>
            </w:r>
            <w:r>
              <w:t xml:space="preserve"> </w:t>
            </w:r>
            <w:r w:rsidRPr="00031A85">
              <w:t>772</w:t>
            </w:r>
            <w:r>
              <w:t>)</w:t>
            </w:r>
            <w:bookmarkEnd w:id="527"/>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8" w:name="DOC_TBL00067_29_5"/>
            <w:r>
              <w:t>(</w:t>
            </w:r>
            <w:r w:rsidRPr="00031A85">
              <w:t>8</w:t>
            </w:r>
            <w:r>
              <w:t xml:space="preserve"> </w:t>
            </w:r>
            <w:r w:rsidRPr="00031A85">
              <w:t>195</w:t>
            </w:r>
            <w:r>
              <w:t>)</w:t>
            </w:r>
            <w:bookmarkEnd w:id="528"/>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9" w:name="DOC_TBL00067_29_6"/>
            <w:r>
              <w:t>(</w:t>
            </w:r>
            <w:r w:rsidRPr="00031A85">
              <w:t>10</w:t>
            </w:r>
            <w:r>
              <w:t xml:space="preserve"> </w:t>
            </w:r>
            <w:r w:rsidRPr="00031A85">
              <w:t>409</w:t>
            </w:r>
            <w:r>
              <w:t>)</w:t>
            </w:r>
            <w:bookmarkEnd w:id="529"/>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30" w:name="DOC_TBL00067_29_7"/>
            <w:r>
              <w:t>(</w:t>
            </w:r>
            <w:r w:rsidRPr="00031A85">
              <w:t>2</w:t>
            </w:r>
            <w:r>
              <w:t xml:space="preserve"> </w:t>
            </w:r>
            <w:r w:rsidRPr="00031A85">
              <w:t>455</w:t>
            </w:r>
            <w:r>
              <w:t>)</w:t>
            </w:r>
            <w:bookmarkEnd w:id="530"/>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31" w:name="DOC_TBL00067_29_8"/>
            <w:r>
              <w:t>(</w:t>
            </w:r>
            <w:r w:rsidRPr="00031A85">
              <w:t>144</w:t>
            </w:r>
            <w:r>
              <w:t xml:space="preserve"> </w:t>
            </w:r>
            <w:r w:rsidRPr="00031A85">
              <w:t>454</w:t>
            </w:r>
            <w:r>
              <w:t>)</w:t>
            </w:r>
            <w:bookmarkEnd w:id="531"/>
          </w:p>
        </w:tc>
      </w:tr>
      <w:tr w:rsidR="005B4EEC" w:rsidTr="00FB0C75">
        <w:trPr>
          <w:cantSplit/>
          <w:trHeight w:val="234"/>
        </w:trPr>
        <w:tc>
          <w:tcPr>
            <w:tcW w:w="139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bookmarkStart w:id="532" w:name="DOC_TBL00067_30_1"/>
            <w:r>
              <w:t>Résultat économique de l’exercice</w:t>
            </w:r>
            <w:bookmarkEnd w:id="532"/>
          </w:p>
        </w:tc>
        <w:tc>
          <w:tcPr>
            <w:tcW w:w="55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3" w:name="DOC_TBL00067_30_2"/>
            <w:r>
              <w:t>(</w:t>
            </w:r>
            <w:r w:rsidRPr="00031A85">
              <w:t>60</w:t>
            </w:r>
            <w:r>
              <w:t xml:space="preserve"> </w:t>
            </w:r>
            <w:r w:rsidRPr="00031A85">
              <w:t>923</w:t>
            </w:r>
            <w:r>
              <w:t>)</w:t>
            </w:r>
            <w:bookmarkEnd w:id="533"/>
          </w:p>
        </w:tc>
        <w:tc>
          <w:tcPr>
            <w:tcW w:w="578"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4" w:name="DOC_TBL00067_30_3"/>
            <w:r>
              <w:t>(</w:t>
            </w:r>
            <w:r w:rsidRPr="00031A85">
              <w:t>56</w:t>
            </w:r>
            <w:r>
              <w:t xml:space="preserve"> </w:t>
            </w:r>
            <w:r w:rsidRPr="00031A85">
              <w:t>629</w:t>
            </w:r>
            <w:r>
              <w:t>)</w:t>
            </w:r>
            <w:bookmarkEnd w:id="534"/>
          </w:p>
        </w:tc>
        <w:tc>
          <w:tcPr>
            <w:tcW w:w="44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5" w:name="DOC_TBL00067_30_4"/>
            <w:r>
              <w:t>(</w:t>
            </w:r>
            <w:r w:rsidRPr="00031A85">
              <w:t>2</w:t>
            </w:r>
            <w:r>
              <w:t xml:space="preserve"> </w:t>
            </w:r>
            <w:r w:rsidRPr="00031A85">
              <w:t>747</w:t>
            </w:r>
            <w:r>
              <w:t>)</w:t>
            </w:r>
            <w:bookmarkEnd w:id="535"/>
          </w:p>
        </w:tc>
        <w:tc>
          <w:tcPr>
            <w:tcW w:w="46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6" w:name="DOC_TBL00067_30_5"/>
            <w:r>
              <w:t>(</w:t>
            </w:r>
            <w:r w:rsidRPr="00031A85">
              <w:t>8</w:t>
            </w:r>
            <w:r>
              <w:t xml:space="preserve"> </w:t>
            </w:r>
            <w:r w:rsidRPr="00031A85">
              <w:t>051</w:t>
            </w:r>
            <w:r>
              <w:t>)</w:t>
            </w:r>
            <w:bookmarkEnd w:id="536"/>
          </w:p>
        </w:tc>
        <w:tc>
          <w:tcPr>
            <w:tcW w:w="632"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7" w:name="DOC_TBL00067_30_6"/>
            <w:r>
              <w:t>(</w:t>
            </w:r>
            <w:r w:rsidRPr="00031A85">
              <w:t>5</w:t>
            </w:r>
            <w:r>
              <w:t xml:space="preserve"> </w:t>
            </w:r>
            <w:r w:rsidRPr="00031A85">
              <w:t>352</w:t>
            </w:r>
            <w:r>
              <w:t>)</w:t>
            </w:r>
            <w:bookmarkEnd w:id="537"/>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8" w:name="DOC_TBL00067_30_7"/>
            <w:r w:rsidRPr="00031A85">
              <w:t>135</w:t>
            </w:r>
            <w:r>
              <w:t xml:space="preserve"> </w:t>
            </w:r>
            <w:r w:rsidRPr="00031A85">
              <w:t>436</w:t>
            </w:r>
            <w:bookmarkEnd w:id="538"/>
          </w:p>
        </w:tc>
        <w:tc>
          <w:tcPr>
            <w:tcW w:w="49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9" w:name="DOC_TBL00067_30_8"/>
            <w:r w:rsidRPr="00031A85">
              <w:t>1</w:t>
            </w:r>
            <w:r>
              <w:t xml:space="preserve"> </w:t>
            </w:r>
            <w:r w:rsidRPr="00031A85">
              <w:t>733</w:t>
            </w:r>
            <w:bookmarkEnd w:id="539"/>
          </w:p>
        </w:tc>
      </w:tr>
    </w:tbl>
    <w:p w:rsidR="00FB0C75" w:rsidRPr="00D67BC0" w:rsidRDefault="00525E53" w:rsidP="00FB0C75">
      <w:pPr>
        <w:pStyle w:val="Textstand-alone"/>
        <w:tabs>
          <w:tab w:val="left" w:pos="284"/>
        </w:tabs>
        <w:spacing w:before="60"/>
        <w:ind w:left="284" w:hanging="284"/>
        <w:rPr>
          <w:i/>
          <w:sz w:val="14"/>
        </w:rPr>
      </w:pPr>
      <w:r>
        <w:rPr>
          <w:i/>
          <w:sz w:val="14"/>
        </w:rPr>
        <w:t>*</w:t>
      </w:r>
      <w:r>
        <w:tab/>
      </w:r>
      <w:r>
        <w:rPr>
          <w:i/>
          <w:sz w:val="14"/>
        </w:rPr>
        <w:t>«Non attribué à une rubrique du CFP»: l’exécution budgétaire des entités consolidées et les ajustements de consolidation, les opérations non budgétaires et les programmes non alloués d'un montant non significatif.</w:t>
      </w:r>
    </w:p>
    <w:p w:rsidR="00FB0C75" w:rsidRDefault="00525E53" w:rsidP="00FB0C75">
      <w:pPr>
        <w:pStyle w:val="Textstand-alone"/>
        <w:tabs>
          <w:tab w:val="left" w:pos="284"/>
        </w:tabs>
        <w:spacing w:before="0" w:after="0"/>
        <w:ind w:left="284" w:hanging="284"/>
      </w:pPr>
      <w:r>
        <w:t xml:space="preserve">La présentation des recettes et des dépenses par rubrique du CFP se fonde sur une estimation, tous les engagements n'étant pas liés à une rubrique du CFP. </w:t>
      </w:r>
    </w:p>
    <w:p w:rsidR="00FB0C75" w:rsidRPr="00557D3B" w:rsidRDefault="00525E53" w:rsidP="00FB0C75">
      <w:pPr>
        <w:pStyle w:val="Textstand-alone"/>
        <w:tabs>
          <w:tab w:val="left" w:pos="284"/>
        </w:tabs>
        <w:spacing w:before="0" w:after="0"/>
        <w:ind w:left="284" w:hanging="284"/>
        <w:sectPr w:rsidR="00FB0C75" w:rsidRPr="00557D3B" w:rsidSect="00FB0C75">
          <w:headerReference w:type="even" r:id="rId370"/>
          <w:headerReference w:type="default" r:id="rId371"/>
          <w:footerReference w:type="even" r:id="rId372"/>
          <w:footerReference w:type="default" r:id="rId373"/>
          <w:headerReference w:type="first" r:id="rId374"/>
          <w:footerReference w:type="first" r:id="rId375"/>
          <w:pgSz w:w="16838" w:h="11906" w:orient="landscape"/>
          <w:pgMar w:top="1134" w:right="1134" w:bottom="1134" w:left="1134" w:header="708" w:footer="708" w:gutter="0"/>
          <w:cols w:space="708"/>
          <w:docGrid w:linePitch="360"/>
        </w:sectPr>
      </w:pPr>
      <w:r>
        <w:t xml:space="preserve"> </w:t>
      </w:r>
      <w:bookmarkEnd w:id="299"/>
    </w:p>
    <w:p w:rsidR="00FB0C75" w:rsidRDefault="00525E53" w:rsidP="00FB0C75">
      <w:pPr>
        <w:pStyle w:val="HEADER1Part2"/>
        <w:spacing w:after="0"/>
      </w:pPr>
      <w:bookmarkStart w:id="540" w:name="_Toc485724204"/>
      <w:bookmarkStart w:id="541" w:name="_Toc491678831"/>
      <w:bookmarkStart w:id="542" w:name="_DMBM_8913"/>
      <w:r>
        <w:t>ACTIF ET PASSIF ÉVENTUELS</w:t>
      </w:r>
      <w:bookmarkEnd w:id="540"/>
      <w:bookmarkEnd w:id="541"/>
    </w:p>
    <w:p w:rsidR="00FB0C75" w:rsidRPr="009B5B10" w:rsidRDefault="00525E53" w:rsidP="00FB0C75">
      <w:pPr>
        <w:pStyle w:val="Textstand-alone"/>
        <w:spacing w:before="0"/>
        <w:sectPr w:rsidR="00FB0C75" w:rsidRPr="009B5B10" w:rsidSect="00FB0C75">
          <w:headerReference w:type="even" r:id="rId376"/>
          <w:headerReference w:type="default" r:id="rId377"/>
          <w:footerReference w:type="even" r:id="rId378"/>
          <w:footerReference w:type="default" r:id="rId379"/>
          <w:headerReference w:type="first" r:id="rId380"/>
          <w:footerReference w:type="first" r:id="rId381"/>
          <w:type w:val="continuous"/>
          <w:pgSz w:w="11906" w:h="16838"/>
          <w:pgMar w:top="1134" w:right="1134" w:bottom="1134" w:left="1134" w:header="709" w:footer="709" w:gutter="0"/>
          <w:cols w:space="708"/>
          <w:docGrid w:linePitch="360"/>
        </w:sectPr>
      </w:pPr>
      <w:r>
        <w:t xml:space="preserve"> </w:t>
      </w:r>
      <w:bookmarkEnd w:id="542"/>
    </w:p>
    <w:p w:rsidR="00FB0C75" w:rsidRPr="007C3F94" w:rsidRDefault="00525E53" w:rsidP="00FB0C75">
      <w:pPr>
        <w:pStyle w:val="HEADER2Part2"/>
      </w:pPr>
      <w:bookmarkStart w:id="543" w:name="_DMBM_8925"/>
      <w:r>
        <w:t>PASSIF ÉVENTUEL</w:t>
      </w:r>
    </w:p>
    <w:p w:rsidR="00FB0C75" w:rsidRPr="007C3F94" w:rsidRDefault="00525E53" w:rsidP="00FB0C75">
      <w:pPr>
        <w:pStyle w:val="DGTextstand-alone"/>
        <w:spacing w:before="360"/>
        <w:rPr>
          <w:noProof w:val="0"/>
        </w:rPr>
      </w:pPr>
      <w:r>
        <w:t>Les passifs éventuels représentent les potentielles obligations de paiement futures de l’UE qui peuvent résulter d’événements passés ou d’engagements juridiquement contraignants mais qui dépendront d'événements à venir dont l'UE n'a pas l'entière maîtrise. Ils concernent principalement les garanties financières données (dans le cadre des prêts ou des programmes d’assistance financière) et les risques juridiques. Toutes les dettes éventuelles, à l’exception de celles liées aux amendes et aux garanties couvertes par des fonds (voir la note </w:t>
      </w:r>
      <w:r w:rsidRPr="00031A85">
        <w:rPr>
          <w:b/>
          <w:noProof w:val="0"/>
        </w:rPr>
        <w:t>2</w:t>
      </w:r>
      <w:r>
        <w:rPr>
          <w:b/>
          <w:noProof w:val="0"/>
        </w:rPr>
        <w:t>.</w:t>
      </w:r>
      <w:r w:rsidRPr="00031A85">
        <w:rPr>
          <w:b/>
          <w:noProof w:val="0"/>
        </w:rPr>
        <w:t>4</w:t>
      </w:r>
      <w:r>
        <w:rPr>
          <w:b/>
          <w:noProof w:val="0"/>
        </w:rPr>
        <w:t>.</w:t>
      </w:r>
      <w:r w:rsidRPr="00031A85">
        <w:rPr>
          <w:b/>
          <w:noProof w:val="0"/>
        </w:rPr>
        <w:t>1</w:t>
      </w:r>
      <w:r>
        <w:t>), seraient financées, si elles devenaient exigibles, par le budget de l’UE (et donc par les États membres de l’Union) lors des exercices à venir.</w:t>
      </w:r>
    </w:p>
    <w:p w:rsidR="00FB0C75" w:rsidRPr="007C3F94" w:rsidRDefault="00525E53" w:rsidP="00FB0C75">
      <w:pPr>
        <w:pStyle w:val="HEADER3Part2"/>
        <w:spacing w:after="0"/>
      </w:pPr>
      <w:r>
        <w:t>Garanties budgétaires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4" w:name="DOC_TBL00068_1_1"/>
            <w:bookmarkEnd w:id="544"/>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t>en Mio EUR</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031A85">
              <w:t>31</w:t>
            </w:r>
            <w:r>
              <w:t>.</w:t>
            </w:r>
            <w:r w:rsidRPr="00031A85">
              <w:t>12</w:t>
            </w:r>
            <w:r>
              <w:t>.</w:t>
            </w:r>
            <w:r w:rsidRPr="00031A85">
              <w:t>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031A85">
              <w:t>31</w:t>
            </w:r>
            <w:r>
              <w:t>.</w:t>
            </w:r>
            <w:r w:rsidRPr="00031A85">
              <w:t>12</w:t>
            </w:r>
            <w:r>
              <w:t>.</w:t>
            </w:r>
            <w:r w:rsidRPr="00031A85">
              <w:t>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Plafond</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Signées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Décaissées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Plafond</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Signées</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Décaissées</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Garanties du mandat de prêt extérieur de la BEI</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40</w:t>
            </w:r>
            <w:r>
              <w:t xml:space="preserve"> </w:t>
            </w:r>
            <w:r w:rsidRPr="00031A85">
              <w:t>645</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30</w:t>
            </w:r>
            <w:r>
              <w:t xml:space="preserve"> </w:t>
            </w:r>
            <w:r w:rsidRPr="00031A85">
              <w:t>161</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21</w:t>
            </w:r>
            <w:r>
              <w:t xml:space="preserve"> </w:t>
            </w:r>
            <w:r w:rsidRPr="00031A85">
              <w:t>145</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41</w:t>
            </w:r>
            <w:r>
              <w:t xml:space="preserve"> </w:t>
            </w:r>
            <w:r w:rsidRPr="00031A85">
              <w:t>764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28</w:t>
            </w:r>
            <w:r>
              <w:t xml:space="preserve"> </w:t>
            </w:r>
            <w:r w:rsidRPr="00031A85">
              <w:t>741</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19</w:t>
            </w:r>
            <w:r>
              <w:t xml:space="preserve"> </w:t>
            </w:r>
            <w:r w:rsidRPr="00031A85">
              <w:t>450</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Garantie de l’EFSI</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16</w:t>
            </w:r>
            <w:r>
              <w:t xml:space="preserve"> </w:t>
            </w:r>
            <w:r w:rsidRPr="00031A85">
              <w:t>000</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11</w:t>
            </w:r>
            <w:r>
              <w:t xml:space="preserve"> </w:t>
            </w:r>
            <w:r w:rsidRPr="00031A85">
              <w:t>245</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w:t>
            </w:r>
            <w:r>
              <w:t xml:space="preserve"> </w:t>
            </w:r>
            <w:r w:rsidRPr="00031A85">
              <w:t>392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16</w:t>
            </w:r>
            <w:r>
              <w:t xml:space="preserve"> </w:t>
            </w:r>
            <w:r w:rsidRPr="00031A85">
              <w:t>000</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w:t>
            </w:r>
            <w:r>
              <w:t xml:space="preserve"> </w:t>
            </w:r>
            <w:r w:rsidRPr="00031A85">
              <w:t>252</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202</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56</w:t>
            </w:r>
            <w:r>
              <w:t xml:space="preserve"> </w:t>
            </w:r>
            <w:r w:rsidRPr="00031A85">
              <w:t>645</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41</w:t>
            </w:r>
            <w:r>
              <w:t xml:space="preserve"> </w:t>
            </w:r>
            <w:r w:rsidRPr="00031A85">
              <w:t>406</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25</w:t>
            </w:r>
            <w:r>
              <w:t xml:space="preserve"> </w:t>
            </w:r>
            <w:r w:rsidRPr="00031A85">
              <w:t>537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57</w:t>
            </w:r>
            <w:r>
              <w:t xml:space="preserve"> </w:t>
            </w:r>
            <w:r w:rsidRPr="00031A85">
              <w:t>764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29</w:t>
            </w:r>
            <w:r>
              <w:t xml:space="preserve"> </w:t>
            </w:r>
            <w:r w:rsidRPr="00031A85">
              <w:t>993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19</w:t>
            </w:r>
            <w:r>
              <w:t xml:space="preserve"> </w:t>
            </w:r>
            <w:r w:rsidRPr="00031A85">
              <w:t>652</w:t>
            </w:r>
          </w:p>
        </w:tc>
      </w:tr>
    </w:tbl>
    <w:p w:rsidR="00FB0C75" w:rsidRPr="007C3F94" w:rsidRDefault="00525E53" w:rsidP="00FB0C75">
      <w:pPr>
        <w:pStyle w:val="DGTextstand-alone"/>
        <w:spacing w:before="120"/>
        <w:rPr>
          <w:noProof w:val="0"/>
        </w:rPr>
      </w:pPr>
      <w:r>
        <w:t>Le tableau ci-dessus indique dans quelle mesure le budget de l’UE est exposé à de futurs paiements potentiels liés aux garanties données au groupe BEI. Les montants décaissés représentent les montants déjà versés aux bénéficiaires finals, tandis que les montants «signés» comprennent ces montants décaissés et les accords déjà signés avec les bénéficiaires mais n'ayant pas encore fait l'objet d'un décaissement. Le plafond représente la garantie totale que le budget de l’UE, et donc ses États membres, s’est engagé à fournir.</w:t>
      </w:r>
    </w:p>
    <w:p w:rsidR="00FB0C75" w:rsidRPr="007C3F94" w:rsidRDefault="00525E53" w:rsidP="00FB0C75">
      <w:pPr>
        <w:pStyle w:val="DGTextstand-alone"/>
        <w:spacing w:before="120"/>
        <w:rPr>
          <w:noProof w:val="0"/>
          <w:color w:val="016794"/>
          <w:szCs w:val="20"/>
        </w:rPr>
      </w:pPr>
      <w:r>
        <w:rPr>
          <w:noProof w:val="0"/>
          <w:color w:val="016794"/>
        </w:rPr>
        <w:t>Garanties du mandat de prêt extérieur de la BEI</w:t>
      </w:r>
    </w:p>
    <w:p w:rsidR="00FB0C75" w:rsidRPr="007C3F94" w:rsidRDefault="00525E53" w:rsidP="00FB0C75">
      <w:pPr>
        <w:pStyle w:val="DGTextstand-alone"/>
        <w:rPr>
          <w:noProof w:val="0"/>
        </w:rPr>
      </w:pPr>
      <w:r>
        <w:t xml:space="preserve">Le budget de l’UE garantit des prêts signés et accordés par la BEI sur ses fonds propres à des pays tiers. Au </w:t>
      </w:r>
      <w:r w:rsidRPr="00031A85">
        <w:t>31</w:t>
      </w:r>
      <w:r>
        <w:t> décembre </w:t>
      </w:r>
      <w:r w:rsidRPr="00031A85">
        <w:t>2016</w:t>
      </w:r>
      <w:r>
        <w:t xml:space="preserve">, le montant des prêts en cours couverts par la garantie de l’UE était de </w:t>
      </w:r>
      <w:r w:rsidRPr="00031A85">
        <w:t>21</w:t>
      </w:r>
      <w:r>
        <w:t>,</w:t>
      </w:r>
      <w:r w:rsidRPr="00031A85">
        <w:t>1</w:t>
      </w:r>
      <w:r>
        <w:t> milliards d’EUR. Le budget de l’UE garantit les montants suivants:</w:t>
      </w:r>
    </w:p>
    <w:p w:rsidR="00FB0C75" w:rsidRPr="007C3F94" w:rsidRDefault="00525E53" w:rsidP="00FB0C75">
      <w:pPr>
        <w:pStyle w:val="DGTextstand-alone"/>
        <w:numPr>
          <w:ilvl w:val="0"/>
          <w:numId w:val="11"/>
        </w:numPr>
        <w:rPr>
          <w:noProof w:val="0"/>
        </w:rPr>
      </w:pPr>
      <w:r w:rsidRPr="00031A85">
        <w:t>19</w:t>
      </w:r>
      <w:r>
        <w:t>,</w:t>
      </w:r>
      <w:r w:rsidRPr="00031A85">
        <w:t>481</w:t>
      </w:r>
      <w:r>
        <w:t xml:space="preserve"> milliards d’EUR (contre </w:t>
      </w:r>
      <w:r w:rsidRPr="00031A85">
        <w:t>19</w:t>
      </w:r>
      <w:r>
        <w:t>,</w:t>
      </w:r>
      <w:r w:rsidRPr="00031A85">
        <w:t>450</w:t>
      </w:r>
      <w:r>
        <w:t xml:space="preserve"> milliards d’EUR en </w:t>
      </w:r>
      <w:r w:rsidRPr="00031A85">
        <w:t>2015</w:t>
      </w:r>
      <w:r>
        <w:t>) au moyen du Fonds de garantie relatif aux actions extérieures (voir la note </w:t>
      </w:r>
      <w:r w:rsidRPr="00031A85">
        <w:rPr>
          <w:b/>
          <w:noProof w:val="0"/>
        </w:rPr>
        <w:t>2</w:t>
      </w:r>
      <w:r>
        <w:rPr>
          <w:b/>
          <w:noProof w:val="0"/>
        </w:rPr>
        <w:t>.</w:t>
      </w:r>
      <w:r w:rsidRPr="00031A85">
        <w:rPr>
          <w:b/>
          <w:noProof w:val="0"/>
        </w:rPr>
        <w:t>4</w:t>
      </w:r>
      <w:r>
        <w:rPr>
          <w:b/>
          <w:noProof w:val="0"/>
        </w:rPr>
        <w:t>.</w:t>
      </w:r>
      <w:r w:rsidRPr="00031A85">
        <w:rPr>
          <w:b/>
          <w:noProof w:val="0"/>
        </w:rPr>
        <w:t>1</w:t>
      </w:r>
      <w:r>
        <w:t>), et</w:t>
      </w:r>
    </w:p>
    <w:p w:rsidR="00FB0C75" w:rsidRPr="007C3F94" w:rsidRDefault="00525E53" w:rsidP="00FB0C75">
      <w:pPr>
        <w:pStyle w:val="DGTextstand-alone"/>
        <w:numPr>
          <w:ilvl w:val="0"/>
          <w:numId w:val="11"/>
        </w:numPr>
        <w:rPr>
          <w:noProof w:val="0"/>
        </w:rPr>
      </w:pPr>
      <w:r w:rsidRPr="00031A85">
        <w:t>1</w:t>
      </w:r>
      <w:r>
        <w:t>,</w:t>
      </w:r>
      <w:r w:rsidRPr="00031A85">
        <w:t>664</w:t>
      </w:r>
      <w:r>
        <w:t xml:space="preserve"> milliard d’EUR (contre </w:t>
      </w:r>
      <w:r w:rsidRPr="00031A85">
        <w:t>1</w:t>
      </w:r>
      <w:r>
        <w:t>,</w:t>
      </w:r>
      <w:r w:rsidRPr="00031A85">
        <w:t>987</w:t>
      </w:r>
      <w:r>
        <w:t xml:space="preserve"> milliard d’EUR en </w:t>
      </w:r>
      <w:r w:rsidRPr="00031A85">
        <w:t>2015</w:t>
      </w:r>
      <w:r>
        <w:t>) directement pour les prêts accordés aux futurs États membres avant leur adhésion.</w:t>
      </w:r>
    </w:p>
    <w:p w:rsidR="00FB0C75" w:rsidRDefault="00525E53" w:rsidP="00FB0C75">
      <w:pPr>
        <w:pStyle w:val="DGTextstand-alone"/>
        <w:rPr>
          <w:noProof w:val="0"/>
        </w:rPr>
      </w:pPr>
      <w:r>
        <w:t xml:space="preserve">Outre les </w:t>
      </w:r>
      <w:r w:rsidRPr="00031A85">
        <w:t>21</w:t>
      </w:r>
      <w:r>
        <w:t>,</w:t>
      </w:r>
      <w:r w:rsidRPr="00031A85">
        <w:t>1</w:t>
      </w:r>
      <w:r>
        <w:t xml:space="preserve"> milliards d’EUR indiqués ci-dessus en tant que passif éventuel, l’UE garantit </w:t>
      </w:r>
      <w:r w:rsidRPr="00031A85">
        <w:t>309</w:t>
      </w:r>
      <w:r>
        <w:t> millions d’EUR de prêts en cours octroyés à la Syrie pour lesquels des provisions ont été constituées - voir la note </w:t>
      </w:r>
      <w:r w:rsidRPr="00031A85">
        <w:rPr>
          <w:b/>
        </w:rPr>
        <w:t>2</w:t>
      </w:r>
      <w:r>
        <w:rPr>
          <w:b/>
        </w:rPr>
        <w:t>.</w:t>
      </w:r>
      <w:r w:rsidRPr="00031A85">
        <w:rPr>
          <w:b/>
        </w:rPr>
        <w:t>10</w:t>
      </w:r>
      <w:r>
        <w:t>.</w:t>
      </w:r>
    </w:p>
    <w:p w:rsidR="00FB0C75" w:rsidRPr="007C3F94" w:rsidRDefault="00525E53" w:rsidP="00FB0C75">
      <w:pPr>
        <w:pStyle w:val="DGTextstand-alone"/>
        <w:rPr>
          <w:noProof w:val="0"/>
        </w:rPr>
      </w:pPr>
      <w:r>
        <w:t xml:space="preserve">La garantie du mandat de prêt extérieur de l’UE qui couvre les prêts accordés par la BEI est limitée à </w:t>
      </w:r>
      <w:r w:rsidRPr="00031A85">
        <w:t>65</w:t>
      </w:r>
      <w:r>
        <w:t> % des soldes restant à recouvrer pour les accords signés après </w:t>
      </w:r>
      <w:r w:rsidRPr="00031A85">
        <w:t>2007</w:t>
      </w:r>
      <w:r>
        <w:t xml:space="preserve"> (mandats </w:t>
      </w:r>
      <w:r w:rsidRPr="00031A85">
        <w:t>2007</w:t>
      </w:r>
      <w:r>
        <w:t>-</w:t>
      </w:r>
      <w:r w:rsidRPr="00031A85">
        <w:t>2013</w:t>
      </w:r>
      <w:r>
        <w:t xml:space="preserve"> et </w:t>
      </w:r>
      <w:r w:rsidRPr="00031A85">
        <w:t>2014</w:t>
      </w:r>
      <w:r>
        <w:t>-</w:t>
      </w:r>
      <w:r w:rsidRPr="00031A85">
        <w:t>2020</w:t>
      </w:r>
      <w:r>
        <w:t xml:space="preserve">). Pour les accords antérieurs à </w:t>
      </w:r>
      <w:r w:rsidRPr="00031A85">
        <w:t>2007</w:t>
      </w:r>
      <w:r>
        <w:t xml:space="preserve">, la garantie de l’UE est limitée à un pourcentage du plafond des lignes de crédit autorisées: </w:t>
      </w:r>
      <w:r w:rsidRPr="00031A85">
        <w:t>65</w:t>
      </w:r>
      <w:r>
        <w:t xml:space="preserve"> % dans la plupart des cas, mais aussi </w:t>
      </w:r>
      <w:r w:rsidRPr="00031A85">
        <w:t>70</w:t>
      </w:r>
      <w:r>
        <w:t xml:space="preserve"> %, </w:t>
      </w:r>
      <w:r w:rsidRPr="00031A85">
        <w:t>75</w:t>
      </w:r>
      <w:r>
        <w:t xml:space="preserve"> % ou </w:t>
      </w:r>
      <w:r w:rsidRPr="00031A85">
        <w:t>100</w:t>
      </w:r>
      <w:r>
        <w:t> %. Lorsque le plafond n’est pas atteint, c’est la totalité de l’encours qui bénéficie de la garantie de l’UE.</w:t>
      </w:r>
    </w:p>
    <w:p w:rsidR="00FB0C75" w:rsidRPr="007C3F94" w:rsidRDefault="00525E53" w:rsidP="00FB0C75">
      <w:pPr>
        <w:pStyle w:val="DGTextstand-alone"/>
        <w:rPr>
          <w:noProof w:val="0"/>
        </w:rPr>
      </w:pPr>
      <w:r>
        <w:t xml:space="preserve">Pour indiquer le risque maximal encouru par l’UE au </w:t>
      </w:r>
      <w:r w:rsidRPr="00031A85">
        <w:t>31</w:t>
      </w:r>
      <w:r>
        <w:t> décembre </w:t>
      </w:r>
      <w:r w:rsidRPr="00031A85">
        <w:t>2016</w:t>
      </w:r>
      <w:r>
        <w:t>, il convient toutefois de tenir également compte des prêts dont la signature a été autorisée mais qui n’ont pas encore été signés (</w:t>
      </w:r>
      <w:r w:rsidRPr="00031A85">
        <w:t>10</w:t>
      </w:r>
      <w:r>
        <w:t>,</w:t>
      </w:r>
      <w:r w:rsidRPr="00031A85">
        <w:t>5</w:t>
      </w:r>
      <w:r>
        <w:t> milliards d’EUR) ainsi que des prêts signés mais n'ayant pas fait l'objet d'un décaissement (</w:t>
      </w:r>
      <w:r w:rsidRPr="00031A85">
        <w:t>9</w:t>
      </w:r>
      <w:r>
        <w:t> milliards d’EUR).</w:t>
      </w:r>
    </w:p>
    <w:p w:rsidR="00FB0C75" w:rsidRPr="007C3F94" w:rsidRDefault="00525E53" w:rsidP="00FB0C75">
      <w:pPr>
        <w:pStyle w:val="DGTextstand-alone"/>
        <w:spacing w:before="120"/>
        <w:rPr>
          <w:noProof w:val="0"/>
          <w:color w:val="016794"/>
          <w:szCs w:val="20"/>
        </w:rPr>
      </w:pPr>
      <w:r>
        <w:rPr>
          <w:noProof w:val="0"/>
          <w:color w:val="016794"/>
        </w:rPr>
        <w:t>Garantie du Fonds européen pour les investissements stratégiques (EFSI)</w:t>
      </w:r>
    </w:p>
    <w:p w:rsidR="00FB0C75" w:rsidRPr="007C3F94" w:rsidRDefault="00525E53" w:rsidP="00FB0C75">
      <w:pPr>
        <w:pStyle w:val="DGTextstand-alone"/>
        <w:spacing w:before="120" w:after="120"/>
        <w:rPr>
          <w:noProof w:val="0"/>
        </w:rPr>
      </w:pPr>
      <w:r>
        <w:t xml:space="preserve">L'EFSI est une initiative destinée à accroître la capacité de couverture des risques du groupe BEI en permettant à la BEI d’investir jusqu’à </w:t>
      </w:r>
      <w:r w:rsidRPr="00031A85">
        <w:t>61</w:t>
      </w:r>
      <w:r>
        <w:t xml:space="preserve"> milliards d’EUR dans l’UE. Il ne s'agit pas d'une entité juridique distincte ou d'un fonds d’investissement au sens strict. La réserve pour risques de l’EFSI protège la BEI contre les pertes éventuelles dans le cadre d’opérations sous-jacentes. Il se compose d’une enveloppe de </w:t>
      </w:r>
      <w:r w:rsidRPr="00031A85">
        <w:t>5</w:t>
      </w:r>
      <w:r>
        <w:t xml:space="preserve"> milliards d’EUR provenant des capitaux propres de la BEI et d’une garantie budgétaire de l’UE pouvant atteindre jusqu’à </w:t>
      </w:r>
      <w:r w:rsidRPr="00031A85">
        <w:t>16</w:t>
      </w:r>
      <w:r>
        <w:t xml:space="preserve"> milliards d’EUR (plafond). L’objectif est que les financements supplémentaires provenant des États membres, des banques de développement nationales et des investisseurs privés contribuent à porter les investissements dans l’UE à un total de </w:t>
      </w:r>
      <w:r w:rsidRPr="00031A85">
        <w:t>315</w:t>
      </w:r>
      <w:r>
        <w:t> milliards d’EUR.</w:t>
      </w:r>
    </w:p>
    <w:p w:rsidR="00FB0C75" w:rsidRPr="007C3F94" w:rsidRDefault="00525E53" w:rsidP="00FB0C75">
      <w:pPr>
        <w:pStyle w:val="DGTextstand-alone"/>
        <w:spacing w:before="120" w:after="120"/>
        <w:rPr>
          <w:noProof w:val="0"/>
        </w:rPr>
      </w:pPr>
      <w:r>
        <w:t xml:space="preserve">Les opérations de l’EFSI sont menées au sein de deux volets: le volet «Infrastructures et innovation», mis en œuvre par la BEI (garantie de l’UE de </w:t>
      </w:r>
      <w:r w:rsidRPr="00031A85">
        <w:t>13</w:t>
      </w:r>
      <w:r>
        <w:t xml:space="preserve"> milliards d’EUR) et le volet «PME», mis en œuvre par le FEI (garantie de l'UE de </w:t>
      </w:r>
      <w:r w:rsidRPr="00031A85">
        <w:t>3</w:t>
      </w:r>
      <w:r>
        <w:t> milliards d'EUR), qui seront tous deux dotés d’un portefeuille d'instruments de dette et d’un portefeuille d’instruments de fonds propres. Le FEI agit en vertu d’un accord avec la BEI, sur la base d’une garantie de la BEI faisant elle-même l’objet d’une contre-garantie de l’UE.</w:t>
      </w:r>
    </w:p>
    <w:p w:rsidR="00FB0C75" w:rsidRPr="007C3F94" w:rsidRDefault="00525E53" w:rsidP="00FB0C75">
      <w:pPr>
        <w:pStyle w:val="DGTextstand-alone"/>
        <w:spacing w:before="120" w:after="120"/>
        <w:rPr>
          <w:noProof w:val="0"/>
        </w:rPr>
      </w:pPr>
      <w:r>
        <w:t>Aux fins de l’utilisation de la garantie de l’UE, la mise en œuvre de l’EFSI est supervisée par un comité de pilotage qui prend ses décisions par consensus et qui est composé de quatre membres, trois étant nommés par la Commission européenne et un par la BEI. Le comité de pilotage ne décide pas des investissements.</w:t>
      </w:r>
    </w:p>
    <w:p w:rsidR="00FB0C75" w:rsidRPr="007C3F94" w:rsidRDefault="00525E53" w:rsidP="00FB0C75">
      <w:pPr>
        <w:pStyle w:val="DGTextstand-alone"/>
        <w:spacing w:before="120" w:after="120"/>
        <w:rPr>
          <w:noProof w:val="0"/>
          <w:color w:val="000000" w:themeColor="text1"/>
        </w:rPr>
      </w:pPr>
      <w:r>
        <w:rPr>
          <w:noProof w:val="0"/>
          <w:color w:val="000000" w:themeColor="text1"/>
        </w:rPr>
        <w:t>L’UE et la BEI ont des rôles distincts dans le cadre de l’EFSI. L'EFSI est établi au sein de la BEI, qui finance les opérations (créances et prises de participation) et, pour ce faire, emprunte les fonds nécessaires sur les marchés de capitaux. En ce qui concerne le volet «Infrastructures et innovation», la BEI prend les décisions d’investissement en toute indépendance et gère les opérations conformément aux mêmes règles et procédures que celles qu’elle applique à ses propres opérations (sur risques). Afin de garantir que les investissements réalisés au titre de l’EFSI restent axés sur l’objectif spécifique de remédier aux défaillances du marché qui entravent l’investissement dans l’UE, et d’assurer que ces investissements sont admissibles à la protection de la garantie de l’UE, une structure de gouvernance dédiée a été mise en place. Le comité d’investissement composé d’experts indépendants examine chaque projet proposé par la BEI sous l'angle de son éligibilité à la couverture de la garantie de l’Union. Une fois que l'éligibilité d'une opération, en tant qu’opération garantie de l’EFSI, est confirmée, la décision de poursuivre le projet et sa gestion est alors soumise au processus normal de la gouvernance et du cycle de projet de la BEI.</w:t>
      </w:r>
    </w:p>
    <w:p w:rsidR="00FB0C75" w:rsidRPr="007C3F94" w:rsidRDefault="00525E53" w:rsidP="00FB0C75">
      <w:pPr>
        <w:pStyle w:val="DGTextstand-alone"/>
        <w:spacing w:before="120" w:after="120"/>
        <w:rPr>
          <w:noProof w:val="0"/>
        </w:rPr>
      </w:pPr>
      <w:r>
        <w:t>Il revient à l’UE de fournir la garantie de son budget pour une partie des pertes éventuelles que la BEI pourrait subir dans le cadre de ses placements dans des instruments de dette et de fonds propres. Par conséquent, l’Union n’intervient pas dans la sélection et la gestion des opérations de l’EFSI, n’investit pas d’argent dans les opérations de l’EFSI et n’est pas une partie contractante directe aux instruments sous-jacents. Étant donné que les critères de contrôle et les exigences comptables en matière de consolidation des règles comptables de l’UE (et des IPSAS) ne sont pas satisfaits, les actifs connexes ne sont pas comptabilisés dans les comptes annuels consolidés de l’UE.</w:t>
      </w:r>
    </w:p>
    <w:p w:rsidR="00FB0C75" w:rsidRPr="007C3F94" w:rsidRDefault="00525E53" w:rsidP="00FB0C75">
      <w:pPr>
        <w:pStyle w:val="DGTextstand-alone"/>
        <w:spacing w:before="120"/>
        <w:rPr>
          <w:noProof w:val="0"/>
        </w:rPr>
      </w:pPr>
      <w:r>
        <w:t xml:space="preserve">En permanence, la garantie de l’UE est plafonnée à </w:t>
      </w:r>
      <w:r w:rsidRPr="00031A85">
        <w:t>16</w:t>
      </w:r>
      <w:r>
        <w:t> milliards d’EUR et les paiements nets cumulés à partir du budget de l’UE ne doivent pas dépasser ce montant. Les paiements de la garantie de l’UE seront effectués au titre du Fonds de garantie de l’EFSI - voir la note </w:t>
      </w:r>
      <w:r w:rsidRPr="00031A85">
        <w:rPr>
          <w:b/>
          <w:noProof w:val="0"/>
        </w:rPr>
        <w:t>2</w:t>
      </w:r>
      <w:r>
        <w:rPr>
          <w:b/>
          <w:noProof w:val="0"/>
        </w:rPr>
        <w:t>.</w:t>
      </w:r>
      <w:r w:rsidRPr="00031A85">
        <w:rPr>
          <w:b/>
          <w:noProof w:val="0"/>
        </w:rPr>
        <w:t>4</w:t>
      </w:r>
      <w:r>
        <w:rPr>
          <w:b/>
          <w:noProof w:val="0"/>
        </w:rPr>
        <w:t>.</w:t>
      </w:r>
      <w:r w:rsidRPr="00031A85">
        <w:rPr>
          <w:b/>
          <w:noProof w:val="0"/>
        </w:rPr>
        <w:t>1</w:t>
      </w:r>
      <w:r>
        <w:t>. À la fin de l’année </w:t>
      </w:r>
      <w:r w:rsidRPr="00031A85">
        <w:t>2016</w:t>
      </w:r>
      <w:r>
        <w:t xml:space="preserve">, les actifs du fonds de garantie s'élevaient à </w:t>
      </w:r>
      <w:r w:rsidRPr="00031A85">
        <w:t>1</w:t>
      </w:r>
      <w:r>
        <w:t xml:space="preserve"> milliard d’EUR, tandis que </w:t>
      </w:r>
      <w:r w:rsidRPr="00031A85">
        <w:t>2</w:t>
      </w:r>
      <w:r>
        <w:t>,</w:t>
      </w:r>
      <w:r w:rsidRPr="00031A85">
        <w:t>4</w:t>
      </w:r>
      <w:r>
        <w:t> milliards supplémentaires ont été engagés mais non encore versés. Ils figurent dans le montant indiqué comme RAL dans la note </w:t>
      </w:r>
      <w:r w:rsidRPr="00031A85">
        <w:rPr>
          <w:b/>
          <w:noProof w:val="0"/>
        </w:rPr>
        <w:t>5</w:t>
      </w:r>
      <w:r>
        <w:rPr>
          <w:b/>
          <w:noProof w:val="0"/>
        </w:rPr>
        <w:t>.</w:t>
      </w:r>
      <w:r w:rsidRPr="00031A85">
        <w:rPr>
          <w:b/>
          <w:noProof w:val="0"/>
        </w:rPr>
        <w:t>1</w:t>
      </w:r>
      <w:r>
        <w:t xml:space="preserve">. </w:t>
      </w:r>
    </w:p>
    <w:p w:rsidR="00FB0C75" w:rsidRPr="007C3F94" w:rsidRDefault="00525E53" w:rsidP="00FB0C75">
      <w:pPr>
        <w:pStyle w:val="DGTextstand-alone"/>
        <w:spacing w:before="120"/>
        <w:rPr>
          <w:noProof w:val="0"/>
        </w:rPr>
      </w:pPr>
      <w:r>
        <w:t>La garantie accordée par l’Union au groupe BEI au titre de l’EFSI est comptabilisée comme un passif lié à une garantie financière pour le portefeuille d'instruments de dette et comme un passif éventuel tant pour le portefeuille d'instruments de dette que pour le portefeuille d'instruments de fonds propres. Les investissements garantis étant financés et contrôlés par la BEI, les actifs financiers correspondants ne sont pas comptabilisés dans les comptes annuels consolidés de l’Union.</w:t>
      </w:r>
    </w:p>
    <w:p w:rsidR="00FB0C75" w:rsidRPr="007C3F94" w:rsidRDefault="00525E53" w:rsidP="00FB0C75">
      <w:pPr>
        <w:pStyle w:val="DGTextstand-alone"/>
        <w:spacing w:before="120"/>
        <w:rPr>
          <w:noProof w:val="0"/>
        </w:rPr>
      </w:pPr>
      <w:r>
        <w:t xml:space="preserve">Dans le cadre du portefeuille d'instruments de dette du volet «Infrastructures et innovation» de l’EFSI, la garantie de l’Union couvre la tranche de première perte d'un portefeuille d'opérations de financement conclues par la BEI (principalement des garanties et des prêts standard). La garantie de l’Union est appelée en cas de défaut de paiement du débiteur à l’échéance ou en cas de restructuration de la dette. La garantie de l’Union est rémunérée au prorata du risque encouru par l’UE, sous la forme d’une distribution, entre la BEI et elle-même, des produits liés au risque que perçoit la BEI sur les opérations garanties. Les recettes de l’UE servent, en premier lieu, à couvrir les pertes subies sur les opérations garanties. La garantie de l’Union est donc comptabilisée comme passif lié à la garantie financière et évaluée, lors de la comptabilisation initiale, à sa juste valeur, c'est-à-dire la valeur actuelle nette des primes à recevoir (les recettes de l’UE). Aux dates de clôture suivantes, le passif lié à la garantie financière est évalué à la valeur la plus élevée, entre les pertes attendues et le montant comptabilisé initialement, déduction faite, le cas échéant, de l’amortissement cumulé des recettes. Le passif lié à la garantie financière est présenté net des recettes de l’UE encore à recevoir (zéro au </w:t>
      </w:r>
      <w:r w:rsidRPr="00031A85">
        <w:t>31</w:t>
      </w:r>
      <w:r>
        <w:t> décembre </w:t>
      </w:r>
      <w:r w:rsidRPr="00031A85">
        <w:t>2016</w:t>
      </w:r>
      <w:r>
        <w:t>) – voir la note </w:t>
      </w:r>
      <w:r w:rsidRPr="00031A85">
        <w:rPr>
          <w:b/>
          <w:noProof w:val="0"/>
        </w:rPr>
        <w:t>2</w:t>
      </w:r>
      <w:r>
        <w:rPr>
          <w:b/>
          <w:noProof w:val="0"/>
        </w:rPr>
        <w:t>.</w:t>
      </w:r>
      <w:r w:rsidRPr="00031A85">
        <w:rPr>
          <w:b/>
          <w:noProof w:val="0"/>
        </w:rPr>
        <w:t>11</w:t>
      </w:r>
      <w:r>
        <w:rPr>
          <w:b/>
          <w:noProof w:val="0"/>
        </w:rPr>
        <w:t>.</w:t>
      </w:r>
      <w:r w:rsidRPr="00031A85">
        <w:rPr>
          <w:b/>
          <w:noProof w:val="0"/>
        </w:rPr>
        <w:t>3</w:t>
      </w:r>
      <w:r>
        <w:t>.</w:t>
      </w:r>
    </w:p>
    <w:p w:rsidR="00FB0C75" w:rsidRPr="007C3F94" w:rsidRDefault="00525E53" w:rsidP="00FB0C75">
      <w:pPr>
        <w:pStyle w:val="DGTextstand-alone"/>
        <w:spacing w:before="120"/>
        <w:rPr>
          <w:noProof w:val="0"/>
        </w:rPr>
      </w:pPr>
      <w:r>
        <w:t xml:space="preserve">Dans le cadre du portefeuille d'instruments de fonds propres du volet «Infrastructures et innovation» de l'EFSI, qui est composé de participations directes en fonds propres ou quasi-fonds propres et de prêts subordonnés, la BEI investit à égalité de rang à ses propres risques et aux risques de l’UE. Par conséquent, pour la partie des investissements en fonds propres garantis par l’UE, la garantie de l’Union couvre les ajustements de valeur négatifs (pertes latentes) à chaque date de clôture, les pertes réalisées en cas de désinvestissement et les coûts de financement de la BEI. Si la valeur d’un investissement ayant précédemment fait l'objet d'un ajustement de valeur négatif a augmenté aux dates de clôture ultérieures, le montant à concurrence du coût initial de l’investissement est remboursé à l’UE par la BEI. Au moment du désinvestissement, l’UE a également droit à des profits sur investissement dépassant le coût initial. La garantie de l’UE est rémunérée par les revenus perçus par la BEI sur les opérations garanties, comprenant les intérêts, les dividendes et les profits réalisés. Le règlement entre l’Union européenne et la BEI intervient chaque année net des pertes et profits. Au </w:t>
      </w:r>
      <w:r w:rsidRPr="00031A85">
        <w:t>31</w:t>
      </w:r>
      <w:r>
        <w:t xml:space="preserve"> décembre </w:t>
      </w:r>
      <w:r w:rsidRPr="00031A85">
        <w:t>2016</w:t>
      </w:r>
      <w:r>
        <w:t xml:space="preserve">, un montant de </w:t>
      </w:r>
      <w:r w:rsidRPr="00031A85">
        <w:t>35</w:t>
      </w:r>
      <w:r>
        <w:t>,</w:t>
      </w:r>
      <w:r w:rsidRPr="00031A85">
        <w:t>7</w:t>
      </w:r>
      <w:r>
        <w:t xml:space="preserve"> millions d’EUR d'opérations garanties par l'UE au titre du portefeuille d'instruments de fonds propres du volet «Infrastructures et innovation» a été investi, qui a été inscrit en tant que passif éventuel. </w:t>
      </w:r>
    </w:p>
    <w:p w:rsidR="00FB0C75" w:rsidRPr="007C3F94" w:rsidRDefault="00525E53" w:rsidP="00FB0C75">
      <w:pPr>
        <w:pStyle w:val="DGTextstand-alone"/>
        <w:spacing w:before="120"/>
        <w:rPr>
          <w:noProof w:val="0"/>
        </w:rPr>
      </w:pPr>
      <w:r>
        <w:t>Le portefeuille d'instruments de fonds propres du volet «PME» n’est devenu opérationnel qu’en </w:t>
      </w:r>
      <w:r w:rsidRPr="00031A85">
        <w:t>2016</w:t>
      </w:r>
      <w:r>
        <w:t xml:space="preserve">, et les montants correspondants étaient très faibles. Le traitement comptable des opérations en fonds propres sera déterminé par le comptable après consultation du groupe consultatif d’experts de l’UE sur les normes comptables. </w:t>
      </w:r>
      <w:r w:rsidRPr="00031A85">
        <w:t>5</w:t>
      </w:r>
      <w:r>
        <w:t xml:space="preserve"> millions d’EUR ont été investis au titre du FEI et sont inscrits en tant que passif éventuel au </w:t>
      </w:r>
      <w:r w:rsidRPr="00031A85">
        <w:t>31</w:t>
      </w:r>
      <w:r>
        <w:t> décembre </w:t>
      </w:r>
      <w:r w:rsidRPr="00031A85">
        <w:t>2016</w:t>
      </w:r>
      <w:r>
        <w:t>.</w:t>
      </w:r>
    </w:p>
    <w:p w:rsidR="00FB0C75" w:rsidRPr="007C3F94" w:rsidRDefault="00525E53" w:rsidP="00FB0C75">
      <w:pPr>
        <w:pStyle w:val="DGTextstand-alone"/>
        <w:spacing w:before="120"/>
        <w:rPr>
          <w:noProof w:val="0"/>
        </w:rPr>
      </w:pPr>
      <w:r>
        <w:t>Le passif éventuel susmentionné comprend les opérations des programmes COSME et Horizon </w:t>
      </w:r>
      <w:r w:rsidRPr="00031A85">
        <w:t>2020</w:t>
      </w:r>
      <w:r>
        <w:t xml:space="preserve"> qui sont couvertes par la garantie de l’UE au titre de l’EFSI dans le portefeuille d'instruments de dette du volet «PME».</w:t>
      </w:r>
    </w:p>
    <w:p w:rsidR="00FB0C75" w:rsidRPr="007C3F94" w:rsidRDefault="00525E53" w:rsidP="00FB0C75">
      <w:pPr>
        <w:pStyle w:val="HEADER3Part2"/>
        <w:spacing w:after="0"/>
      </w:pPr>
      <w:r>
        <w:t>Garanties relatives à l’assistance financière (activités d’emprunt et de prêt)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5" w:name="DOC_TBL00069_1_1"/>
            <w:bookmarkEnd w:id="545"/>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t>en Mio EUR</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031A85">
              <w:t>31</w:t>
            </w:r>
            <w:r>
              <w:t>.</w:t>
            </w:r>
            <w:r w:rsidRPr="00031A85">
              <w:t>12</w:t>
            </w:r>
            <w:r>
              <w:t>.</w:t>
            </w:r>
            <w:r w:rsidRPr="00031A85">
              <w:t>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031A85">
              <w:t>31</w:t>
            </w:r>
            <w:r>
              <w:t>.</w:t>
            </w:r>
            <w:r w:rsidRPr="00031A85">
              <w:t>12</w:t>
            </w:r>
            <w:r>
              <w:t>.</w:t>
            </w:r>
            <w:r w:rsidRPr="00031A85">
              <w:t>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Appelées</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Non appelées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Total</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Appelées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Non appelées</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Total</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MESF</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47</w:t>
            </w:r>
            <w:r>
              <w:t xml:space="preserve"> </w:t>
            </w:r>
            <w:r w:rsidRPr="00031A85">
              <w:t>456</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47</w:t>
            </w:r>
            <w:r>
              <w:t xml:space="preserve"> </w:t>
            </w:r>
            <w:r w:rsidRPr="00031A85">
              <w:t>456</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47</w:t>
            </w:r>
            <w:r>
              <w:t xml:space="preserve"> </w:t>
            </w:r>
            <w:r w:rsidRPr="00031A85">
              <w:t>509</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47</w:t>
            </w:r>
            <w:r>
              <w:t xml:space="preserve"> </w:t>
            </w:r>
            <w:r w:rsidRPr="00031A85">
              <w:t>509</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BDP</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w:t>
            </w:r>
            <w:r>
              <w:t xml:space="preserve"> </w:t>
            </w:r>
            <w:r w:rsidRPr="00031A85">
              <w:t>272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w:t>
            </w:r>
            <w:r>
              <w:t xml:space="preserve"> </w:t>
            </w:r>
            <w:r w:rsidRPr="00031A85">
              <w:t>272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5</w:t>
            </w:r>
            <w:r>
              <w:t xml:space="preserve"> </w:t>
            </w:r>
            <w:r w:rsidRPr="00031A85">
              <w:t>811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5</w:t>
            </w:r>
            <w:r>
              <w:t xml:space="preserve"> </w:t>
            </w:r>
            <w:r w:rsidRPr="00031A85">
              <w:t>811</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AMF</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2</w:t>
            </w:r>
            <w:r>
              <w:t xml:space="preserve"> </w:t>
            </w:r>
            <w:r w:rsidRPr="00031A85">
              <w:t>964</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w:t>
            </w:r>
            <w:r>
              <w:t xml:space="preserve"> </w:t>
            </w:r>
            <w:r w:rsidRPr="00031A85">
              <w:t>313</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w:t>
            </w:r>
            <w:r>
              <w:t xml:space="preserve"> </w:t>
            </w:r>
            <w:r w:rsidRPr="00031A85">
              <w:t>277</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3</w:t>
            </w:r>
            <w:r>
              <w:t xml:space="preserve"> </w:t>
            </w:r>
            <w:r w:rsidRPr="00031A85">
              <w:t>024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1</w:t>
            </w:r>
            <w:r>
              <w:t xml:space="preserve"> </w:t>
            </w:r>
            <w:r w:rsidRPr="00031A85">
              <w:t>323</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031A85">
              <w:t>4</w:t>
            </w:r>
            <w:r>
              <w:t xml:space="preserve"> </w:t>
            </w:r>
            <w:r w:rsidRPr="00031A85">
              <w:t>347</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Euratom</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252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300</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552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301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300</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w:t>
            </w:r>
            <w:r w:rsidRPr="00031A85">
              <w:t>601</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54</w:t>
            </w:r>
            <w:r>
              <w:t xml:space="preserve"> </w:t>
            </w:r>
            <w:r w:rsidRPr="00031A85">
              <w:t>944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1</w:t>
            </w:r>
            <w:r>
              <w:t xml:space="preserve"> </w:t>
            </w:r>
            <w:r w:rsidRPr="00031A85">
              <w:t>613</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56</w:t>
            </w:r>
            <w:r>
              <w:t xml:space="preserve"> </w:t>
            </w:r>
            <w:r w:rsidRPr="00031A85">
              <w:t>557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56</w:t>
            </w:r>
            <w:r>
              <w:t xml:space="preserve"> </w:t>
            </w:r>
            <w:r w:rsidRPr="00031A85">
              <w:t>645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1</w:t>
            </w:r>
            <w:r>
              <w:t xml:space="preserve"> </w:t>
            </w:r>
            <w:r w:rsidRPr="00031A85">
              <w:t>623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031A85">
              <w:t>58</w:t>
            </w:r>
            <w:r>
              <w:t xml:space="preserve"> </w:t>
            </w:r>
            <w:r w:rsidRPr="00031A85">
              <w:t>268</w:t>
            </w:r>
          </w:p>
        </w:tc>
      </w:tr>
    </w:tbl>
    <w:p w:rsidR="00FB0C75" w:rsidRPr="007C3F94" w:rsidRDefault="00FB0C75" w:rsidP="00FB0C75">
      <w:pPr>
        <w:pStyle w:val="DGTextstand-alone"/>
        <w:spacing w:before="0" w:after="0"/>
        <w:rPr>
          <w:noProof w:val="0"/>
        </w:rPr>
      </w:pPr>
    </w:p>
    <w:p w:rsidR="00FB0C75" w:rsidRPr="007C3F94" w:rsidRDefault="00525E53" w:rsidP="00FB0C75">
      <w:pPr>
        <w:pStyle w:val="DGTextstand-alone"/>
        <w:rPr>
          <w:noProof w:val="0"/>
        </w:rPr>
      </w:pPr>
      <w:r>
        <w:t>Le budget de l’UE garantit les emprunts dans le cadre des opérations réciproques («back-to-back») effectuées par la Commission pour financer les prêts aux États membres et aux pays tiers - voir également la note </w:t>
      </w:r>
      <w:r w:rsidRPr="00031A85">
        <w:rPr>
          <w:b/>
          <w:noProof w:val="0"/>
        </w:rPr>
        <w:t>6</w:t>
      </w:r>
      <w:r>
        <w:t>. Ces emprunts sont déjà inscrits comme dettes au bilan de l’UE - voir la note </w:t>
      </w:r>
      <w:r w:rsidRPr="00031A85">
        <w:rPr>
          <w:b/>
          <w:noProof w:val="0"/>
        </w:rPr>
        <w:t>2</w:t>
      </w:r>
      <w:r>
        <w:rPr>
          <w:b/>
          <w:noProof w:val="0"/>
        </w:rPr>
        <w:t>.</w:t>
      </w:r>
      <w:r w:rsidRPr="00031A85">
        <w:rPr>
          <w:b/>
          <w:noProof w:val="0"/>
        </w:rPr>
        <w:t>11</w:t>
      </w:r>
      <w:r>
        <w:rPr>
          <w:b/>
          <w:noProof w:val="0"/>
        </w:rPr>
        <w:t>.</w:t>
      </w:r>
      <w:r w:rsidRPr="00031A85">
        <w:rPr>
          <w:b/>
          <w:noProof w:val="0"/>
        </w:rPr>
        <w:t>1</w:t>
      </w:r>
      <w:r>
        <w:t xml:space="preserve"> pour de plus amples précisions. Toutefois, en cas de défaillance du bénéficiaire d'un prêt «back-to-back» accordé en même temps que ces emprunts, le budget de l’UE devra, conformément à l’article </w:t>
      </w:r>
      <w:r w:rsidRPr="00031A85">
        <w:t>14</w:t>
      </w:r>
      <w:r>
        <w:t xml:space="preserve"> du règlement nº </w:t>
      </w:r>
      <w:r w:rsidRPr="00031A85">
        <w:t>609</w:t>
      </w:r>
      <w:r>
        <w:t>/</w:t>
      </w:r>
      <w:r w:rsidRPr="00031A85">
        <w:t>2014</w:t>
      </w:r>
      <w:r>
        <w:t xml:space="preserve"> du Conseil, supporter la totalité du montant non remboursé: </w:t>
      </w:r>
    </w:p>
    <w:p w:rsidR="00FB0C75" w:rsidRPr="007C3F94" w:rsidRDefault="00525E53" w:rsidP="00FB0C75">
      <w:pPr>
        <w:pStyle w:val="DGTextstand-alone"/>
        <w:numPr>
          <w:ilvl w:val="0"/>
          <w:numId w:val="12"/>
        </w:numPr>
        <w:spacing w:before="120" w:after="120"/>
        <w:rPr>
          <w:noProof w:val="0"/>
        </w:rPr>
      </w:pPr>
      <w:r>
        <w:t>les emprunts relatifs à des prêts accordés dans le cadre du MESF sont exclusivement garantis par le budget de l’UE;</w:t>
      </w:r>
    </w:p>
    <w:p w:rsidR="00FB0C75" w:rsidRPr="007C3F94" w:rsidRDefault="00525E53" w:rsidP="00FB0C75">
      <w:pPr>
        <w:pStyle w:val="DGTextstand-alone"/>
        <w:numPr>
          <w:ilvl w:val="0"/>
          <w:numId w:val="12"/>
        </w:numPr>
        <w:spacing w:before="120" w:after="120"/>
        <w:rPr>
          <w:noProof w:val="0"/>
        </w:rPr>
      </w:pPr>
      <w:r>
        <w:t>les emprunts associés aux prêts BDP sont exclusivement garantis par le budget de l’UE;</w:t>
      </w:r>
    </w:p>
    <w:p w:rsidR="00FB0C75" w:rsidRPr="007C3F94" w:rsidRDefault="00525E53" w:rsidP="00FB0C75">
      <w:pPr>
        <w:pStyle w:val="DGTextstand-alone"/>
        <w:numPr>
          <w:ilvl w:val="0"/>
          <w:numId w:val="12"/>
        </w:numPr>
        <w:spacing w:before="120" w:after="120"/>
        <w:rPr>
          <w:noProof w:val="0"/>
        </w:rPr>
      </w:pPr>
      <w:r>
        <w:t>les prêts AMF sont d’abord garantis par le Fonds de garantie relatif aux actions extérieures (voir la note </w:t>
      </w:r>
      <w:r w:rsidRPr="00031A85">
        <w:rPr>
          <w:b/>
          <w:noProof w:val="0"/>
        </w:rPr>
        <w:t>2</w:t>
      </w:r>
      <w:r>
        <w:rPr>
          <w:b/>
          <w:noProof w:val="0"/>
        </w:rPr>
        <w:t>.</w:t>
      </w:r>
      <w:r w:rsidRPr="00031A85">
        <w:rPr>
          <w:b/>
          <w:noProof w:val="0"/>
        </w:rPr>
        <w:t>4</w:t>
      </w:r>
      <w:r>
        <w:rPr>
          <w:b/>
          <w:noProof w:val="0"/>
        </w:rPr>
        <w:t>.</w:t>
      </w:r>
      <w:r w:rsidRPr="00031A85">
        <w:rPr>
          <w:b/>
          <w:noProof w:val="0"/>
        </w:rPr>
        <w:t>1</w:t>
      </w:r>
      <w:r>
        <w:t xml:space="preserve">) puis par le budget de l’UE, et </w:t>
      </w:r>
    </w:p>
    <w:p w:rsidR="00FB0C75" w:rsidRPr="007C3F94" w:rsidRDefault="00525E53" w:rsidP="00FB0C75">
      <w:pPr>
        <w:pStyle w:val="DGTextstand-alone"/>
        <w:numPr>
          <w:ilvl w:val="0"/>
          <w:numId w:val="12"/>
        </w:numPr>
        <w:spacing w:before="120" w:after="120"/>
        <w:rPr>
          <w:noProof w:val="0"/>
        </w:rPr>
      </w:pPr>
      <w:r>
        <w:t>les garanties de tiers couvrent en premier lieu la totalité des montants des prêts Euratom en cours. Le Fonds de garantie couvrirait les montants des prêts extérieurs si ceux-ci n'étaient pas couverts par les garanties de tiers.</w:t>
      </w:r>
    </w:p>
    <w:p w:rsidR="00FB0C75" w:rsidRPr="007C3F94" w:rsidRDefault="00525E53" w:rsidP="00FB0C75">
      <w:pPr>
        <w:pStyle w:val="DGTextstand-alone"/>
        <w:rPr>
          <w:noProof w:val="0"/>
        </w:rPr>
      </w:pPr>
      <w:r>
        <w:t>Les prêts de la CECA en liquidation accordés sur fonds d’emprunts ne sont pas couverts par une garantie budgétaire de l’UE, mais par les actifs financiers de la CECA en liquidation - voir la note </w:t>
      </w:r>
      <w:r w:rsidRPr="00031A85">
        <w:rPr>
          <w:b/>
          <w:noProof w:val="0"/>
        </w:rPr>
        <w:t>2</w:t>
      </w:r>
      <w:r>
        <w:rPr>
          <w:b/>
          <w:noProof w:val="0"/>
        </w:rPr>
        <w:t>.</w:t>
      </w:r>
      <w:r w:rsidRPr="00031A85">
        <w:rPr>
          <w:b/>
          <w:noProof w:val="0"/>
        </w:rPr>
        <w:t>4</w:t>
      </w:r>
      <w:r>
        <w:rPr>
          <w:b/>
          <w:noProof w:val="0"/>
        </w:rPr>
        <w:t>.</w:t>
      </w:r>
      <w:r w:rsidRPr="00031A85">
        <w:rPr>
          <w:b/>
          <w:noProof w:val="0"/>
        </w:rPr>
        <w:t>1</w:t>
      </w:r>
      <w:r>
        <w:t xml:space="preserve">. </w:t>
      </w:r>
    </w:p>
    <w:p w:rsidR="00FB0C75" w:rsidRPr="007C3F94" w:rsidRDefault="00525E53" w:rsidP="00FB0C75">
      <w:pPr>
        <w:pStyle w:val="HEADER3Part2"/>
        <w:spacing w:after="0"/>
      </w:pPr>
      <w:r>
        <w:t>Garanties accordées pour les instruments financiers de l’UE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6" w:name="DOC_TBL00070_1_1"/>
            <w:bookmarkEnd w:id="546"/>
          </w:p>
        </w:tc>
        <w:tc>
          <w:tcPr>
            <w:tcW w:w="212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Right025EUR"/>
              <w:rPr>
                <w:rFonts w:cs="Verdana"/>
                <w:noProof w:val="0"/>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Horizon </w:t>
            </w:r>
            <w:r w:rsidRPr="00031A85">
              <w:t>2020</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921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459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Mécanisme de financement avec partage des risques</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711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845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Mécanisme pour l’interconnexion en Europe*</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465</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429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Autres</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3</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w:t>
            </w:r>
            <w:r w:rsidRPr="00031A85">
              <w:t>16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9pBoldLeft"/>
              <w:rPr>
                <w:rFonts w:cs="Verdana"/>
                <w:noProof w:val="0"/>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rsidRPr="00031A85">
              <w:t>2</w:t>
            </w:r>
            <w:r>
              <w:t xml:space="preserve"> </w:t>
            </w:r>
            <w:r w:rsidRPr="00031A85">
              <w:t>101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rsidRPr="00031A85">
              <w:t>1</w:t>
            </w:r>
            <w:r>
              <w:t xml:space="preserve"> </w:t>
            </w:r>
            <w:r w:rsidRPr="00031A85">
              <w:t>749</w:t>
            </w:r>
          </w:p>
        </w:tc>
      </w:tr>
    </w:tbl>
    <w:p w:rsidR="00FB0C75" w:rsidRPr="007C3F94" w:rsidRDefault="00525E53" w:rsidP="00FB0C75">
      <w:pPr>
        <w:pStyle w:val="DGTextstand-alone"/>
        <w:tabs>
          <w:tab w:val="left" w:pos="284"/>
        </w:tabs>
        <w:spacing w:before="60" w:after="120"/>
        <w:ind w:left="284" w:hanging="284"/>
        <w:rPr>
          <w:i/>
          <w:noProof w:val="0"/>
          <w:sz w:val="16"/>
        </w:rPr>
      </w:pPr>
      <w:r>
        <w:rPr>
          <w:i/>
          <w:noProof w:val="0"/>
          <w:sz w:val="16"/>
        </w:rPr>
        <w:t>*</w:t>
      </w:r>
      <w:r>
        <w:tab/>
      </w:r>
      <w:r>
        <w:rPr>
          <w:i/>
          <w:noProof w:val="0"/>
          <w:sz w:val="16"/>
        </w:rPr>
        <w:t xml:space="preserve">Les montants des années précédentes concernent l’initiative d’emprunts obligataires pour le financement de projets et l’instrument de garantie de prêts pour les projets RTE-T. Ces deux instruments ont été fusionnés en </w:t>
      </w:r>
      <w:r w:rsidRPr="00031A85">
        <w:rPr>
          <w:i/>
          <w:noProof w:val="0"/>
          <w:sz w:val="16"/>
        </w:rPr>
        <w:t>2016</w:t>
      </w:r>
      <w:r>
        <w:rPr>
          <w:i/>
          <w:noProof w:val="0"/>
          <w:sz w:val="16"/>
        </w:rPr>
        <w:t xml:space="preserve"> pour former le mécanisme pour l’interconnexion en Europe.</w:t>
      </w:r>
    </w:p>
    <w:p w:rsidR="00FB0C75" w:rsidRPr="007C3F94" w:rsidRDefault="00525E53" w:rsidP="00FB0C75">
      <w:pPr>
        <w:pStyle w:val="DGTextstand-alone"/>
        <w:spacing w:after="480"/>
        <w:rPr>
          <w:noProof w:val="0"/>
        </w:rPr>
      </w:pPr>
      <w:r>
        <w:t>Conformément à l’article </w:t>
      </w:r>
      <w:r w:rsidRPr="00031A85">
        <w:t>140</w:t>
      </w:r>
      <w:r>
        <w:t>, paragraphe </w:t>
      </w:r>
      <w:r w:rsidRPr="00031A85">
        <w:t>3</w:t>
      </w:r>
      <w:r>
        <w:t>, du règlement financier, les dépenses budgétaires liées à un instrument financier et la responsabilité financière de l'Union ne vont en aucun cas au-delà des limites de l'engagement budgétaire correspondant à celui-ci, ce qui exclut tout passif éventuel pour le budget. Dans la pratique, cela signifie que ce passif possède une contrepartie dans l’actif du bilan ou qu'il est couvert par les engagements budgétaires restant à liquider non encore passés en charges. Le passif éventuel susmentionné est présenté net des provisions financières constituées pour ces instruments - voir la note </w:t>
      </w:r>
      <w:r w:rsidRPr="00031A85">
        <w:rPr>
          <w:b/>
          <w:noProof w:val="0"/>
        </w:rPr>
        <w:t>2</w:t>
      </w:r>
      <w:r>
        <w:rPr>
          <w:b/>
          <w:noProof w:val="0"/>
        </w:rPr>
        <w:t>.</w:t>
      </w:r>
      <w:r w:rsidRPr="00031A85">
        <w:rPr>
          <w:b/>
          <w:noProof w:val="0"/>
        </w:rPr>
        <w:t>10</w:t>
      </w:r>
      <w:r>
        <w:t>.</w:t>
      </w:r>
    </w:p>
    <w:p w:rsidR="00FB0C75" w:rsidRDefault="00FB0C75" w:rsidP="00FB0C75">
      <w:pPr>
        <w:pStyle w:val="DGTextstand-alone"/>
        <w:spacing w:after="480"/>
        <w:rPr>
          <w:noProof w:val="0"/>
        </w:rPr>
      </w:pPr>
    </w:p>
    <w:p w:rsidR="00FB0C75" w:rsidRDefault="00FB0C75" w:rsidP="00FB0C75">
      <w:pPr>
        <w:pStyle w:val="DGTextstand-alone"/>
        <w:spacing w:after="480"/>
        <w:rPr>
          <w:noProof w:val="0"/>
        </w:rPr>
      </w:pPr>
    </w:p>
    <w:p w:rsidR="00FB0C75" w:rsidRPr="007C3F94" w:rsidRDefault="00525E53" w:rsidP="00FB0C75">
      <w:pPr>
        <w:pStyle w:val="HEADER3Part2"/>
        <w:spacing w:after="0"/>
      </w:pPr>
      <w:r>
        <w:t>Contentieux</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47" w:name="DOC_TBL00071_1_1"/>
            <w:bookmarkEnd w:id="54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Amendes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834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951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Agriculture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711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Cohésion</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600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795</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148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125</w:t>
            </w:r>
          </w:p>
        </w:tc>
      </w:tr>
    </w:tbl>
    <w:p w:rsidR="00FB0C75" w:rsidRPr="007C3F94" w:rsidRDefault="00FB0C75" w:rsidP="00FB0C75">
      <w:pPr>
        <w:pStyle w:val="DGTextstand-alone"/>
        <w:spacing w:before="120"/>
        <w:rPr>
          <w:noProof w:val="0"/>
          <w:color w:val="016794"/>
          <w:szCs w:val="20"/>
        </w:rPr>
      </w:pPr>
    </w:p>
    <w:p w:rsidR="00FB0C75" w:rsidRPr="007C3F94" w:rsidRDefault="00525E53" w:rsidP="00FB0C75">
      <w:pPr>
        <w:pStyle w:val="DGTextstand-alone"/>
        <w:spacing w:before="120"/>
        <w:rPr>
          <w:noProof w:val="0"/>
          <w:color w:val="016794"/>
          <w:szCs w:val="20"/>
        </w:rPr>
      </w:pPr>
      <w:r>
        <w:rPr>
          <w:noProof w:val="0"/>
          <w:color w:val="016794"/>
        </w:rPr>
        <w:t>Amendes</w:t>
      </w:r>
    </w:p>
    <w:p w:rsidR="00FB0C75" w:rsidRPr="007C3F94" w:rsidRDefault="00525E53" w:rsidP="00FB0C75">
      <w:pPr>
        <w:pStyle w:val="DGTextstand-alone"/>
        <w:spacing w:before="0" w:after="120"/>
        <w:rPr>
          <w:noProof w:val="0"/>
          <w:color w:val="000000" w:themeColor="text1"/>
        </w:rPr>
      </w:pPr>
      <w:r>
        <w:rPr>
          <w:noProof w:val="0"/>
          <w:color w:val="000000" w:themeColor="text1"/>
        </w:rPr>
        <w:t>Ces montants se rapportent à des amendes infligées par la Commission pour atteinte aux règles de libre concurrence, dont le montant est payé à titre provisionnel par les entreprises sanctionnées conformément à l’article </w:t>
      </w:r>
      <w:r w:rsidRPr="00031A85">
        <w:rPr>
          <w:noProof w:val="0"/>
          <w:color w:val="000000" w:themeColor="text1"/>
        </w:rPr>
        <w:t>90</w:t>
      </w:r>
      <w:r>
        <w:rPr>
          <w:noProof w:val="0"/>
          <w:color w:val="000000" w:themeColor="text1"/>
        </w:rPr>
        <w:t>, paragraphe </w:t>
      </w:r>
      <w:r w:rsidRPr="00031A85">
        <w:rPr>
          <w:noProof w:val="0"/>
          <w:color w:val="000000" w:themeColor="text1"/>
        </w:rPr>
        <w:t>1</w:t>
      </w:r>
      <w:r>
        <w:rPr>
          <w:noProof w:val="0"/>
          <w:color w:val="000000" w:themeColor="text1"/>
        </w:rPr>
        <w:t>, des règles d’application du règlement financier et pour lesquelles soit un recours a été formé, soit on ignore si un recours sera formé. Ils continueront de figurer parmi les passifs éventuels jusqu’à ce que la Cour de justice rende une décision définitive ou jusqu'à l’expiration du délai de recours. Les intérêts sur les paiements provisionnels sont inclus dans le résultat économique de l’exercice et aussi en tant que dette éventuelle, de façon à tenir compte du caractère incertain des droits de la Commission sur ces montants.</w:t>
      </w:r>
    </w:p>
    <w:p w:rsidR="00FB0C75" w:rsidRPr="007C3F94" w:rsidRDefault="00525E53" w:rsidP="00FB0C75">
      <w:pPr>
        <w:pStyle w:val="DGTextstand-alone"/>
        <w:spacing w:before="0"/>
        <w:rPr>
          <w:noProof w:val="0"/>
        </w:rPr>
      </w:pPr>
      <w:r>
        <w:t>Si l’UE devait succomber dans un des litiges relatif aux amendes imposées, il n’y aurait pas de charge pour le budget de l’UE puisque les amendes ont été payées à titre provisionnel et que ce montant est déposé soit sur des comptes bancaires spécifiques (voir la note </w:t>
      </w:r>
      <w:r w:rsidRPr="00031A85">
        <w:rPr>
          <w:b/>
          <w:noProof w:val="0"/>
        </w:rPr>
        <w:t>2</w:t>
      </w:r>
      <w:r>
        <w:rPr>
          <w:b/>
          <w:noProof w:val="0"/>
        </w:rPr>
        <w:t>.</w:t>
      </w:r>
      <w:r w:rsidRPr="00031A85">
        <w:rPr>
          <w:b/>
          <w:noProof w:val="0"/>
        </w:rPr>
        <w:t>8</w:t>
      </w:r>
      <w:r>
        <w:t>), soit dans le fonds BUFI créé à cet effet (voir la note </w:t>
      </w:r>
      <w:r w:rsidRPr="00031A85">
        <w:rPr>
          <w:b/>
          <w:noProof w:val="0"/>
        </w:rPr>
        <w:t>2</w:t>
      </w:r>
      <w:r>
        <w:rPr>
          <w:b/>
          <w:noProof w:val="0"/>
        </w:rPr>
        <w:t>.</w:t>
      </w:r>
      <w:r w:rsidRPr="00031A85">
        <w:rPr>
          <w:b/>
          <w:noProof w:val="0"/>
        </w:rPr>
        <w:t>4</w:t>
      </w:r>
      <w:r>
        <w:rPr>
          <w:b/>
          <w:noProof w:val="0"/>
        </w:rPr>
        <w:t>.</w:t>
      </w:r>
      <w:r w:rsidRPr="00031A85">
        <w:rPr>
          <w:b/>
          <w:noProof w:val="0"/>
        </w:rPr>
        <w:t>1</w:t>
      </w:r>
      <w:r>
        <w:t>). Le montant des amendes n’est comptabilisé comme recette budgétaire que lorsque les amendes sont définitives (article </w:t>
      </w:r>
      <w:r w:rsidRPr="00031A85">
        <w:t>83</w:t>
      </w:r>
      <w:r>
        <w:t xml:space="preserve"> du règlement financier).</w:t>
      </w:r>
    </w:p>
    <w:p w:rsidR="00FB0C75" w:rsidRPr="007C3F94" w:rsidRDefault="00525E53" w:rsidP="00FB0C75">
      <w:pPr>
        <w:pStyle w:val="DGTextstand-alone"/>
        <w:spacing w:after="120"/>
        <w:rPr>
          <w:noProof w:val="0"/>
          <w:color w:val="016794"/>
          <w:szCs w:val="20"/>
        </w:rPr>
      </w:pPr>
      <w:r>
        <w:rPr>
          <w:noProof w:val="0"/>
          <w:color w:val="016794"/>
        </w:rPr>
        <w:t>Agriculture</w:t>
      </w:r>
    </w:p>
    <w:p w:rsidR="00FB0C75" w:rsidRPr="007C3F94" w:rsidRDefault="00525E53" w:rsidP="00FB0C75">
      <w:pPr>
        <w:pStyle w:val="DGTextstand-alone"/>
        <w:spacing w:before="0" w:after="0"/>
        <w:rPr>
          <w:noProof w:val="0"/>
        </w:rPr>
      </w:pPr>
      <w:r>
        <w:t>Il s’agit de dettes éventuelles envers les États membres relatives à des décisions de conformité du FEAGA, au développement rural et aux corrections financières de préadhésion faisant l’objet d’une procédure pendante devant la Cour de justice. La détermination du montant définitif de la dette et l'exercice de l’imputation au budget des effets des recours ayant abouti dépendront de la durée de la procédure devant la Cour.</w:t>
      </w:r>
    </w:p>
    <w:p w:rsidR="00FB0C75" w:rsidRPr="007C3F94" w:rsidRDefault="00525E53" w:rsidP="00FB0C75">
      <w:pPr>
        <w:pStyle w:val="DGTextstand-alone"/>
        <w:spacing w:after="120"/>
        <w:rPr>
          <w:noProof w:val="0"/>
          <w:color w:val="016794"/>
          <w:szCs w:val="20"/>
        </w:rPr>
      </w:pPr>
      <w:r>
        <w:rPr>
          <w:noProof w:val="0"/>
          <w:color w:val="016794"/>
        </w:rPr>
        <w:t>Cohésion</w:t>
      </w:r>
    </w:p>
    <w:p w:rsidR="00FB0C75" w:rsidRPr="007C3F94" w:rsidRDefault="00525E53" w:rsidP="00FB0C75">
      <w:pPr>
        <w:pStyle w:val="DGTextstand-alone"/>
        <w:spacing w:before="0" w:after="0"/>
        <w:rPr>
          <w:noProof w:val="0"/>
        </w:rPr>
      </w:pPr>
      <w:r>
        <w:t>Il s’agit de passifs éventuels envers les États membres en rapport avec des actions dans le cadre de la politique de cohésion en attendant la date de l’audience ou l'arrêt de la Cour de justice.</w:t>
      </w:r>
    </w:p>
    <w:p w:rsidR="00FB0C75" w:rsidRPr="007C3F94" w:rsidRDefault="00525E53" w:rsidP="00FB0C75">
      <w:pPr>
        <w:pStyle w:val="DGTextstand-alone"/>
        <w:spacing w:after="120"/>
        <w:rPr>
          <w:noProof w:val="0"/>
          <w:color w:val="016794"/>
          <w:szCs w:val="20"/>
        </w:rPr>
      </w:pPr>
      <w:r>
        <w:rPr>
          <w:noProof w:val="0"/>
          <w:color w:val="016794"/>
        </w:rPr>
        <w:t>Autres affaires juridiques</w:t>
      </w:r>
    </w:p>
    <w:p w:rsidR="00FB0C75" w:rsidRDefault="00525E53" w:rsidP="00FB0C75">
      <w:pPr>
        <w:pStyle w:val="DGTextstand-alone"/>
        <w:spacing w:before="0" w:after="0"/>
        <w:rPr>
          <w:noProof w:val="0"/>
        </w:rPr>
      </w:pPr>
      <w:r>
        <w:t xml:space="preserve">Cette rubrique porte sur des actions en dommages-intérêts actuellement intentées contre l’UE, sur d’autres litiges et sur les frais de justice estimés. Il est à noter que, dans le cadre d’une action en dommages-intérêts au titre de l’article </w:t>
      </w:r>
      <w:r w:rsidRPr="00031A85">
        <w:t>288</w:t>
      </w:r>
      <w:r>
        <w:t xml:space="preserve"> du traité CE, le requérant doit démontrer une violation suffisamment grave, de la part de l’institution, d’une règle de droit ayant pour objet de conférer des droits à des particuliers, un dommage réel subi par le requérant et un lien de causalité direct entre l’acte illégal et le préjudice invoqué.</w:t>
      </w:r>
    </w:p>
    <w:p w:rsidR="00BD1908" w:rsidRPr="007C3F94" w:rsidRDefault="00BD1908" w:rsidP="00FB0C75">
      <w:pPr>
        <w:pStyle w:val="DGTextstand-alone"/>
        <w:spacing w:before="0" w:after="0"/>
        <w:rPr>
          <w:noProof w:val="0"/>
        </w:rPr>
      </w:pPr>
    </w:p>
    <w:p w:rsidR="00FB0C75" w:rsidRPr="007C3F94" w:rsidRDefault="00525E53" w:rsidP="00FB0C75">
      <w:pPr>
        <w:pStyle w:val="DGTextstand-alone"/>
        <w:spacing w:before="0" w:after="0"/>
        <w:rPr>
          <w:noProof w:val="0"/>
        </w:rPr>
        <w:sectPr w:rsidR="00FB0C75" w:rsidRPr="007C3F94" w:rsidSect="00FB0C75">
          <w:headerReference w:type="even" r:id="rId382"/>
          <w:headerReference w:type="default" r:id="rId383"/>
          <w:footerReference w:type="even" r:id="rId384"/>
          <w:footerReference w:type="default" r:id="rId385"/>
          <w:headerReference w:type="first" r:id="rId386"/>
          <w:footerReference w:type="first" r:id="rId387"/>
          <w:type w:val="continuous"/>
          <w:pgSz w:w="11906" w:h="16838"/>
          <w:pgMar w:top="1134" w:right="1134" w:bottom="1134" w:left="1134" w:header="709" w:footer="709" w:gutter="0"/>
          <w:cols w:space="708"/>
          <w:docGrid w:linePitch="360"/>
        </w:sectPr>
      </w:pPr>
      <w:r>
        <w:t xml:space="preserve"> </w:t>
      </w:r>
      <w:bookmarkEnd w:id="543"/>
    </w:p>
    <w:p w:rsidR="00FB0C75" w:rsidRDefault="00525E53" w:rsidP="00FB0C75">
      <w:pPr>
        <w:pStyle w:val="HEADER2Part2"/>
      </w:pPr>
      <w:bookmarkStart w:id="548" w:name="_DMBM_8976"/>
      <w:r>
        <w:t>ACTIF ÉVENTUEL</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49" w:name="DOC_TBL00072_1_1"/>
            <w:bookmarkEnd w:id="54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Garanties reçues:</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Garanties de bonne fin</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369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398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Autres garanties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Autres actifs éventuels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48</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431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474</w:t>
            </w:r>
          </w:p>
        </w:tc>
      </w:tr>
    </w:tbl>
    <w:p w:rsidR="00FB0C75" w:rsidRPr="008D72F5" w:rsidRDefault="00525E53" w:rsidP="00FB0C75">
      <w:pPr>
        <w:pStyle w:val="Textstand-alone"/>
        <w:spacing w:after="0"/>
      </w:pPr>
      <w:r>
        <w:t>Les garanties de bonne fin sont requises pour s’assurer que les bénéficiaires des financements de l’UE satisfont à leurs obligations contractuelles avec l’UE.</w:t>
      </w:r>
    </w:p>
    <w:p w:rsidR="00BD1908" w:rsidRDefault="00BD1908" w:rsidP="00FB0C75">
      <w:pPr>
        <w:pStyle w:val="HEADER1Part2"/>
        <w:sectPr w:rsidR="00BD1908" w:rsidSect="00FB0C75">
          <w:headerReference w:type="even" r:id="rId388"/>
          <w:headerReference w:type="default" r:id="rId389"/>
          <w:footerReference w:type="even" r:id="rId390"/>
          <w:footerReference w:type="default" r:id="rId391"/>
          <w:headerReference w:type="first" r:id="rId392"/>
          <w:footerReference w:type="first" r:id="rId393"/>
          <w:type w:val="continuous"/>
          <w:pgSz w:w="11906" w:h="16838"/>
          <w:pgMar w:top="1134" w:right="1134" w:bottom="1134" w:left="1134" w:header="709" w:footer="709" w:gutter="0"/>
          <w:cols w:space="708"/>
          <w:docGrid w:linePitch="360"/>
        </w:sectPr>
      </w:pPr>
      <w:bookmarkStart w:id="550" w:name="_Toc485724205"/>
      <w:bookmarkStart w:id="551" w:name="_DMBM_8898"/>
      <w:bookmarkEnd w:id="548"/>
    </w:p>
    <w:p w:rsidR="00FB0C75" w:rsidRPr="00CD585E" w:rsidRDefault="00525E53" w:rsidP="00FB0C75">
      <w:pPr>
        <w:pStyle w:val="HEADER1Part2"/>
      </w:pPr>
      <w:bookmarkStart w:id="552" w:name="_Toc491678832"/>
      <w:r>
        <w:t>ENGAGEMENTS BUDGÉTAIRES ET JURIDIQUES</w:t>
      </w:r>
      <w:bookmarkEnd w:id="550"/>
      <w:bookmarkEnd w:id="552"/>
    </w:p>
    <w:p w:rsidR="00FB0C75" w:rsidRPr="00CD585E" w:rsidRDefault="00525E53" w:rsidP="00FB0C75">
      <w:pPr>
        <w:pStyle w:val="DGTextstand-alone"/>
        <w:rPr>
          <w:noProof w:val="0"/>
        </w:rPr>
      </w:pPr>
      <w:r>
        <w:t xml:space="preserve">La présente note fournit des informations sur le processus budgétaire et les besoins futurs en matière de financement, et non sur le passif existant au </w:t>
      </w:r>
      <w:r w:rsidRPr="00031A85">
        <w:t>31</w:t>
      </w:r>
      <w:r>
        <w:t> décembre </w:t>
      </w:r>
      <w:r w:rsidRPr="00031A85">
        <w:t>2016</w:t>
      </w:r>
      <w:r>
        <w:t>.</w:t>
      </w:r>
    </w:p>
    <w:p w:rsidR="00FB0C75" w:rsidRPr="00CD585E" w:rsidRDefault="00525E53" w:rsidP="00FB0C75">
      <w:pPr>
        <w:pStyle w:val="DGTextstand-alone"/>
        <w:rPr>
          <w:noProof w:val="0"/>
        </w:rPr>
      </w:pPr>
      <w:r>
        <w:t>Le cadre financier pluriannuel (CFP) adopté par les États membres définit les programmes et fixe les plafonds des rubriques pour les crédits d’engagement ainsi que le total des crédits de paiement dans les limites duquel l’UE peut contracter des engagements juridiques et budgétaires et, à terme, effectuer des paiements sur une période de sept ans - voir le tableau </w:t>
      </w:r>
      <w:r w:rsidRPr="00031A85">
        <w:rPr>
          <w:b/>
          <w:noProof w:val="0"/>
        </w:rPr>
        <w:t>1</w:t>
      </w:r>
      <w:r>
        <w:rPr>
          <w:b/>
          <w:noProof w:val="0"/>
        </w:rPr>
        <w:t>.</w:t>
      </w:r>
      <w:r w:rsidRPr="00031A85">
        <w:rPr>
          <w:b/>
          <w:noProof w:val="0"/>
        </w:rPr>
        <w:t>1</w:t>
      </w:r>
      <w:r>
        <w:t xml:space="preserve"> figurant dans les notes annexes aux états sur l’exécution budgétaire.</w:t>
      </w:r>
    </w:p>
    <w:p w:rsidR="00736582" w:rsidRPr="00CD585E" w:rsidRDefault="00736582" w:rsidP="00FB0C75">
      <w:pPr>
        <w:pStyle w:val="DGTextstand-alone"/>
        <w:rPr>
          <w:noProof w:val="0"/>
        </w:rPr>
      </w:pPr>
      <w:r>
        <w:t>Les plafonds du CFP ont été adoptés par le Conseil (les États membres) avec l’approbation du Parlement européen, et l’article </w:t>
      </w:r>
      <w:r w:rsidRPr="00031A85">
        <w:t>16</w:t>
      </w:r>
      <w:r>
        <w:t xml:space="preserve"> du règlement (UE) nº </w:t>
      </w:r>
      <w:r w:rsidRPr="00031A85">
        <w:t>1306</w:t>
      </w:r>
      <w:r>
        <w:t>/</w:t>
      </w:r>
      <w:r w:rsidRPr="00031A85">
        <w:t>2013</w:t>
      </w:r>
      <w:r>
        <w:t xml:space="preserve"> relatif au financement de la PAC établit un lien direct entre le plafond annuel des dépenses du FEAGA et le règlement CFP. Le Parlement européen et le Conseil ont également adopté les actes de base relatifs aux dépenses du FEAGA, qui déterminent les dépenses par État membre pour la totalité de la période </w:t>
      </w:r>
      <w:r w:rsidRPr="00031A85">
        <w:t>2014</w:t>
      </w:r>
      <w:r>
        <w:t>-</w:t>
      </w:r>
      <w:r w:rsidRPr="00031A85">
        <w:t>2020</w:t>
      </w:r>
      <w:r>
        <w:t>.</w:t>
      </w:r>
    </w:p>
    <w:p w:rsidR="00FB0C75" w:rsidRPr="00CD585E" w:rsidRDefault="00525E53" w:rsidP="00FB0C75">
      <w:pPr>
        <w:pStyle w:val="DGTextstand-alone"/>
        <w:rPr>
          <w:noProof w:val="0"/>
        </w:rPr>
      </w:pPr>
      <w:r>
        <w:t>Les engagements juridiques correspondent aux programmes, projets, accords ou contrats signés, qui sont donc juridiquement contraignants pour l’UE. L’engagement juridique est l'acte par lequel l'ordonnateur crée ou constate une obligation (pour l’UE) de laquelle il résulte une charge (article </w:t>
      </w:r>
      <w:r w:rsidRPr="00031A85">
        <w:t>85</w:t>
      </w:r>
      <w:r>
        <w:t xml:space="preserve"> du règlement financier). </w:t>
      </w:r>
    </w:p>
    <w:p w:rsidR="00FB0C75" w:rsidRPr="00CD585E" w:rsidRDefault="00525E53" w:rsidP="00FB0C75">
      <w:pPr>
        <w:pStyle w:val="DGTextstand-alone"/>
        <w:rPr>
          <w:noProof w:val="0"/>
        </w:rPr>
      </w:pPr>
      <w:r>
        <w:t>L’engagement budgétaire est en principe contracté avant l’engagement juridique, mais pour certains programmes/projets pluriannuels, c’est le contraire: les engagements budgétaires sont contractés par tranches annuelles, sur plusieurs années, lorsque l’acte de base le prévoit. Par exemple, dans le domaine de la cohésion, l’article </w:t>
      </w:r>
      <w:r w:rsidRPr="00031A85">
        <w:t>76</w:t>
      </w:r>
      <w:r>
        <w:t xml:space="preserve"> du règlement portant dispositions communes (RDC) [règlement (UE) nº </w:t>
      </w:r>
      <w:r w:rsidRPr="00031A85">
        <w:t>1303</w:t>
      </w:r>
      <w:r>
        <w:t>/</w:t>
      </w:r>
      <w:r w:rsidRPr="00031A85">
        <w:t>2013</w:t>
      </w:r>
      <w:r>
        <w:t xml:space="preserve">] dispose que la décision de la Commission portant adoption d'un programme constitue un engagement juridique au sens du règlement financier, mais que les engagements budgétaires de l'Union relatifs à chaque programme sont effectués par tranches annuelles pour chaque Fonds sur la période comprise entre le </w:t>
      </w:r>
      <w:r w:rsidRPr="00031A85">
        <w:t>1</w:t>
      </w:r>
      <w:r>
        <w:rPr>
          <w:vertAlign w:val="superscript"/>
        </w:rPr>
        <w:t>er</w:t>
      </w:r>
      <w:r>
        <w:t> janvier </w:t>
      </w:r>
      <w:r w:rsidRPr="00031A85">
        <w:t>2014</w:t>
      </w:r>
      <w:r>
        <w:t xml:space="preserve"> et le </w:t>
      </w:r>
      <w:r w:rsidRPr="00031A85">
        <w:t>31</w:t>
      </w:r>
      <w:r>
        <w:t> décembre </w:t>
      </w:r>
      <w:r w:rsidRPr="00031A85">
        <w:t>2020</w:t>
      </w:r>
      <w:r>
        <w:t>. D’autres bases légales peuvent contenir des dispositions similaires. Par conséquent, l’UE peut s’être juridiquement engagée à verser des montants sans qu’un engagement budgétaire n’ait encore été contracté - voir les notes </w:t>
      </w:r>
      <w:r w:rsidRPr="00031A85">
        <w:rPr>
          <w:b/>
          <w:noProof w:val="0"/>
        </w:rPr>
        <w:t>5</w:t>
      </w:r>
      <w:r>
        <w:rPr>
          <w:b/>
          <w:noProof w:val="0"/>
        </w:rPr>
        <w:t>.</w:t>
      </w:r>
      <w:r w:rsidRPr="00031A85">
        <w:rPr>
          <w:b/>
          <w:noProof w:val="0"/>
        </w:rPr>
        <w:t>2</w:t>
      </w:r>
      <w:r>
        <w:rPr>
          <w:b/>
          <w:noProof w:val="0"/>
        </w:rPr>
        <w:t xml:space="preserve"> </w:t>
      </w:r>
      <w:r>
        <w:t>et</w:t>
      </w:r>
      <w:r>
        <w:rPr>
          <w:b/>
          <w:noProof w:val="0"/>
        </w:rPr>
        <w:t xml:space="preserve"> </w:t>
      </w:r>
      <w:r w:rsidRPr="00031A85">
        <w:rPr>
          <w:b/>
          <w:noProof w:val="0"/>
        </w:rPr>
        <w:t>5</w:t>
      </w:r>
      <w:r>
        <w:rPr>
          <w:b/>
          <w:noProof w:val="0"/>
        </w:rPr>
        <w:t>.</w:t>
      </w:r>
      <w:r w:rsidRPr="00031A85">
        <w:rPr>
          <w:b/>
          <w:noProof w:val="0"/>
        </w:rPr>
        <w:t>3</w:t>
      </w:r>
      <w:r>
        <w:t xml:space="preserve"> ci-dessous.</w:t>
      </w:r>
    </w:p>
    <w:p w:rsidR="00FB0C75" w:rsidRPr="00CD585E" w:rsidRDefault="00525E53" w:rsidP="00FB0C75">
      <w:pPr>
        <w:pStyle w:val="DGTextstand-alone"/>
        <w:rPr>
          <w:noProof w:val="0"/>
        </w:rPr>
      </w:pPr>
      <w:r>
        <w:t>Si l’engagement budgétaire a été contracté alors que les paiements ultérieurs n'ont pas encore été effectués, le montant des engagements restant à liquider est appelé «reste à liquider» (RAL). Il peut s’agir de programmes ou de projets, souvent pluriannuels, qui ont été signés mais qui n’ont pas encore été (intégralement) mis en œuvre. Ils représentent des obligations de paiement pour les exercices à venir. Une partie des montants totaux non payés (RAL) ont déjà été passés en charges et sont comptabilisés comme passifs dans le bilan (voir les notes </w:t>
      </w:r>
      <w:r w:rsidRPr="00031A85">
        <w:rPr>
          <w:b/>
          <w:noProof w:val="0"/>
        </w:rPr>
        <w:t>2</w:t>
      </w:r>
      <w:r>
        <w:rPr>
          <w:b/>
          <w:noProof w:val="0"/>
        </w:rPr>
        <w:t>.</w:t>
      </w:r>
      <w:r w:rsidRPr="00031A85">
        <w:rPr>
          <w:b/>
          <w:noProof w:val="0"/>
        </w:rPr>
        <w:t>12</w:t>
      </w:r>
      <w:r>
        <w:t xml:space="preserve"> et </w:t>
      </w:r>
      <w:r w:rsidRPr="00031A85">
        <w:rPr>
          <w:b/>
          <w:noProof w:val="0"/>
        </w:rPr>
        <w:t>2</w:t>
      </w:r>
      <w:r>
        <w:rPr>
          <w:b/>
          <w:noProof w:val="0"/>
        </w:rPr>
        <w:t>.</w:t>
      </w:r>
      <w:r w:rsidRPr="00031A85">
        <w:rPr>
          <w:b/>
          <w:noProof w:val="0"/>
        </w:rPr>
        <w:t>13</w:t>
      </w:r>
      <w:r>
        <w:t>). Le calcul de ces dépenses est effectué sur la base des déclarations de dépenses/factures reçues ou en fonction d'une estimation de la mise en œuvre d'un programme ou d'un projet lorsqu’aucune demande de remboursement n’a encore été soumise à l’UE - voir la note </w:t>
      </w:r>
      <w:r w:rsidRPr="00031A85">
        <w:rPr>
          <w:b/>
          <w:noProof w:val="0"/>
        </w:rPr>
        <w:t>5</w:t>
      </w:r>
      <w:r>
        <w:rPr>
          <w:b/>
          <w:noProof w:val="0"/>
        </w:rPr>
        <w:t>.</w:t>
      </w:r>
      <w:r w:rsidRPr="00031A85">
        <w:rPr>
          <w:b/>
          <w:noProof w:val="0"/>
        </w:rPr>
        <w:t>1</w:t>
      </w:r>
      <w:r>
        <w:t xml:space="preserve"> ci-dessous. Une fois les paiements relatifs au RAL effectués après le </w:t>
      </w:r>
      <w:r w:rsidRPr="00031A85">
        <w:t>31</w:t>
      </w:r>
      <w:r>
        <w:t> décembre </w:t>
      </w:r>
      <w:r w:rsidRPr="00031A85">
        <w:t>2016</w:t>
      </w:r>
      <w:r>
        <w:t>, le passif inscrit au bilan est décomptabilisé. La partie du RAL non passée en charges n’est pas incluse dans le passif mais est présentée ci-dessous.</w:t>
      </w:r>
    </w:p>
    <w:p w:rsidR="00FB0C75" w:rsidRPr="00CD585E" w:rsidRDefault="00525E53" w:rsidP="00FB0C75">
      <w:pPr>
        <w:pStyle w:val="DGTextstand-alone"/>
        <w:rPr>
          <w:noProof w:val="0"/>
        </w:rPr>
      </w:pPr>
      <w:r>
        <w:t xml:space="preserve">Les chiffres présentés ci-dessous correspondent donc aux montants au </w:t>
      </w:r>
      <w:r w:rsidRPr="00031A85">
        <w:t>31</w:t>
      </w:r>
      <w:r>
        <w:t> décembre </w:t>
      </w:r>
      <w:r w:rsidRPr="00031A85">
        <w:t>2016</w:t>
      </w:r>
      <w:r>
        <w:t xml:space="preserve"> que l’UE s’est engagée à payer sur la base du respect des accords contractuels et qui devraient donc être financés par des budgets ultérieurs de 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3" w:name="DOC_TBL00073_1_1"/>
            <w:bookmarkEnd w:id="553"/>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sidRPr="00031A85">
              <w:t>31</w:t>
            </w:r>
            <w:r>
              <w:t>.</w:t>
            </w:r>
            <w:r w:rsidRPr="00031A85">
              <w:t>12</w:t>
            </w:r>
            <w:r>
              <w:t>.</w:t>
            </w:r>
            <w:r w:rsidRPr="00031A85">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Engagements budgétaires restant à liquider non encore passés en charges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5</w:t>
            </w:r>
            <w:r>
              <w:t>.</w:t>
            </w:r>
            <w:r w:rsidRPr="00031A85">
              <w:t>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189</w:t>
            </w:r>
            <w:r>
              <w:t xml:space="preserve"> </w:t>
            </w:r>
            <w:r w:rsidRPr="00031A85">
              <w:t>881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177</w:t>
            </w:r>
            <w:r>
              <w:t xml:space="preserve"> </w:t>
            </w:r>
            <w:r w:rsidRPr="00031A85">
              <w:t>477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Engagements juridiques en gestion partagée au titre du CFP actuel en attente d’exécution</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5</w:t>
            </w:r>
            <w:r>
              <w:t>.</w:t>
            </w:r>
            <w:r w:rsidRPr="00031A85">
              <w:t>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276</w:t>
            </w:r>
            <w:r>
              <w:t xml:space="preserve"> </w:t>
            </w:r>
            <w:r w:rsidRPr="00031A85">
              <w:t>351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338</w:t>
            </w:r>
            <w:r>
              <w:t xml:space="preserve"> </w:t>
            </w:r>
            <w:r w:rsidRPr="00031A85">
              <w:t>755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Engagements juridiques importants dans d’autres domaines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sidRPr="00031A85">
              <w:t>5</w:t>
            </w:r>
            <w:r>
              <w:t>.</w:t>
            </w:r>
            <w:r w:rsidRPr="00031A85">
              <w:t>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22</w:t>
            </w:r>
            <w:r>
              <w:t xml:space="preserve"> </w:t>
            </w:r>
            <w:r w:rsidRPr="00031A85">
              <w:t>275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19</w:t>
            </w:r>
            <w:r>
              <w:t xml:space="preserve"> </w:t>
            </w:r>
            <w:r w:rsidRPr="00031A85">
              <w:t>098</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488</w:t>
            </w:r>
            <w:r>
              <w:t xml:space="preserve"> </w:t>
            </w:r>
            <w:r w:rsidRPr="00031A85">
              <w:t>507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sidRPr="00031A85">
              <w:t>535</w:t>
            </w:r>
            <w:r>
              <w:t xml:space="preserve"> </w:t>
            </w:r>
            <w:r w:rsidRPr="00031A85">
              <w:t>329</w:t>
            </w:r>
          </w:p>
        </w:tc>
      </w:tr>
    </w:tbl>
    <w:p w:rsidR="00FB0C75" w:rsidRDefault="00FB0C75" w:rsidP="00FB0C75">
      <w:pPr>
        <w:pStyle w:val="HEADER2Part2"/>
        <w:numPr>
          <w:ilvl w:val="0"/>
          <w:numId w:val="0"/>
        </w:numPr>
        <w:ind w:left="907"/>
      </w:pPr>
    </w:p>
    <w:p w:rsidR="00BD1908" w:rsidRDefault="00BD1908" w:rsidP="00FB0C75">
      <w:pPr>
        <w:pStyle w:val="HEADER2Part2"/>
        <w:sectPr w:rsidR="00BD1908" w:rsidSect="00BD1908">
          <w:headerReference w:type="even" r:id="rId394"/>
          <w:headerReference w:type="default" r:id="rId395"/>
          <w:footerReference w:type="even" r:id="rId396"/>
          <w:footerReference w:type="default" r:id="rId397"/>
          <w:headerReference w:type="first" r:id="rId398"/>
          <w:footerReference w:type="first" r:id="rId399"/>
          <w:pgSz w:w="11906" w:h="16838"/>
          <w:pgMar w:top="1134" w:right="1134" w:bottom="1134" w:left="1134" w:header="709" w:footer="709" w:gutter="0"/>
          <w:cols w:space="708"/>
          <w:docGrid w:linePitch="360"/>
        </w:sectPr>
      </w:pPr>
    </w:p>
    <w:p w:rsidR="00FB0C75" w:rsidRPr="002272EC" w:rsidRDefault="00525E53" w:rsidP="00FB0C75">
      <w:pPr>
        <w:pStyle w:val="HEADER2Part2"/>
      </w:pPr>
      <w:r>
        <w:t>ENGAGEMENTS BUDGÉTAIRES RESTANT À LIQUIDER NON ENCORE PASSÉS EN CHARGES</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54" w:name="DOC_TBL00074_1_1"/>
            <w:bookmarkEnd w:id="554"/>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Engagements budgétaires restant à liquider non encore passés en charges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189</w:t>
            </w:r>
            <w:r>
              <w:t xml:space="preserve"> </w:t>
            </w:r>
            <w:r w:rsidRPr="00031A85">
              <w:t>881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177</w:t>
            </w:r>
            <w:r>
              <w:t xml:space="preserve"> </w:t>
            </w:r>
            <w:r w:rsidRPr="00031A85">
              <w:t>477</w:t>
            </w:r>
          </w:p>
        </w:tc>
      </w:tr>
    </w:tbl>
    <w:p w:rsidR="00FB0C75" w:rsidRPr="00CD585E" w:rsidRDefault="00FB0C75" w:rsidP="00FB0C75">
      <w:pPr>
        <w:pStyle w:val="DGTextstand-alone"/>
        <w:spacing w:before="0" w:after="0"/>
        <w:rPr>
          <w:noProof w:val="0"/>
        </w:rPr>
      </w:pPr>
    </w:p>
    <w:p w:rsidR="00FB0C75" w:rsidRPr="00CD585E" w:rsidRDefault="00525E53" w:rsidP="00FB0C75">
      <w:pPr>
        <w:pStyle w:val="DGTextstand-alone"/>
        <w:spacing w:before="0"/>
        <w:rPr>
          <w:noProof w:val="0"/>
        </w:rPr>
      </w:pPr>
      <w:r>
        <w:t xml:space="preserve">Le montant ci-dessus correspond au RAL («reste à liquider») budgétaire de </w:t>
      </w:r>
      <w:r w:rsidRPr="00031A85">
        <w:t>238</w:t>
      </w:r>
      <w:r>
        <w:t>,</w:t>
      </w:r>
      <w:r w:rsidRPr="00031A85">
        <w:t>759</w:t>
      </w:r>
      <w:r>
        <w:t xml:space="preserve"> milliards d’EUR diminué des montants afférents inclus en tant que passifs dans le bilan et en tant que charges dans le compte de résultat économique. Le RAL budgétaire correspond au montant des engagements ouverts pour lesquels les paiements et/ou dégagements n’ont pas encore été effectués. Comme expliqué ci-dessus, le RAL budgétaire est la conséquence normale de l’existence de programmes pluriannuels. </w:t>
      </w:r>
    </w:p>
    <w:p w:rsidR="00FB0C75" w:rsidRDefault="00525E53" w:rsidP="00FB0C75">
      <w:pPr>
        <w:pStyle w:val="DGTextstand-alone"/>
        <w:spacing w:before="0" w:after="0"/>
        <w:rPr>
          <w:noProof w:val="0"/>
        </w:rPr>
      </w:pPr>
      <w:r>
        <w:t xml:space="preserve">Il convient de noter que les avances au titre de préfinancements restant à liquider au </w:t>
      </w:r>
      <w:r w:rsidRPr="00031A85">
        <w:t>31</w:t>
      </w:r>
      <w:r>
        <w:t> décembre </w:t>
      </w:r>
      <w:r w:rsidRPr="00031A85">
        <w:t>2016</w:t>
      </w:r>
      <w:r>
        <w:t xml:space="preserve"> s’élevaient à </w:t>
      </w:r>
      <w:r w:rsidRPr="00031A85">
        <w:t>45</w:t>
      </w:r>
      <w:r>
        <w:t>,</w:t>
      </w:r>
      <w:r w:rsidRPr="00031A85">
        <w:t>5</w:t>
      </w:r>
      <w:r>
        <w:t> milliards d’EUR (voir la note </w:t>
      </w:r>
      <w:r w:rsidRPr="00031A85">
        <w:rPr>
          <w:b/>
          <w:noProof w:val="0"/>
        </w:rPr>
        <w:t>2</w:t>
      </w:r>
      <w:r>
        <w:rPr>
          <w:b/>
          <w:noProof w:val="0"/>
        </w:rPr>
        <w:t>.</w:t>
      </w:r>
      <w:r w:rsidRPr="00031A85">
        <w:rPr>
          <w:b/>
          <w:noProof w:val="0"/>
        </w:rPr>
        <w:t>5</w:t>
      </w:r>
      <w:r>
        <w:t xml:space="preserve">). Ce montant représente les engagements budgétaires ayant été payés, ce qui diminue donc le RAL, mais les montants versés sont toujours considérés comme appartenant à l’UE et non au bénéficiaire, et ce jusqu’à ce que les engagements contractuels aient été honorés. Comme le RAL indiqué ci-dessus, ils ne sont pas encore passés en charges. </w:t>
      </w:r>
    </w:p>
    <w:p w:rsidR="00BD1908" w:rsidRPr="00CD585E" w:rsidRDefault="00BD1908" w:rsidP="00FB0C75">
      <w:pPr>
        <w:pStyle w:val="DGTextstand-alone"/>
        <w:spacing w:before="0" w:after="0"/>
        <w:rPr>
          <w:noProof w:val="0"/>
        </w:rPr>
      </w:pPr>
    </w:p>
    <w:p w:rsidR="00FB0C75" w:rsidRPr="00CD585E" w:rsidRDefault="00525E53" w:rsidP="00FB0C75">
      <w:pPr>
        <w:pStyle w:val="DGTextstand-alone"/>
        <w:spacing w:before="0" w:after="0"/>
        <w:rPr>
          <w:noProof w:val="0"/>
        </w:rPr>
      </w:pPr>
      <w:r>
        <w:t xml:space="preserve"> </w:t>
      </w:r>
    </w:p>
    <w:p w:rsidR="00FB0C75" w:rsidRPr="00CE15E6" w:rsidRDefault="00525E53" w:rsidP="00FB0C75">
      <w:pPr>
        <w:pStyle w:val="HEADER2Part2"/>
      </w:pPr>
      <w:r>
        <w:t xml:space="preserve">ENGAGEMENTS JURIDIQUES EN GESTION PARTAGÉE AU TITRE DU CFP ACTUEL EN ATTENTE D’EXÉCUTION </w:t>
      </w:r>
    </w:p>
    <w:p w:rsidR="00FB0C75" w:rsidRPr="00CD585E" w:rsidRDefault="00FB0C75" w:rsidP="00FB0C75">
      <w:pPr>
        <w:pStyle w:val="DGTextstand-alone"/>
        <w:spacing w:before="0" w:after="0"/>
        <w:rPr>
          <w:noProof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02"/>
        <w:gridCol w:w="1208"/>
        <w:gridCol w:w="1276"/>
        <w:gridCol w:w="1275"/>
      </w:tblGrid>
      <w:tr w:rsidR="005B4EEC" w:rsidTr="00F418CB">
        <w:tc>
          <w:tcPr>
            <w:tcW w:w="237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5" w:name="DOC_TBL00075_1_1"/>
            <w:bookmarkEnd w:id="555"/>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0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0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rsidTr="00F418CB">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Left"/>
              <w:rPr>
                <w:rFonts w:cs="Verdana"/>
              </w:rPr>
            </w:pPr>
            <w:r>
              <w:t>Fonds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 xml:space="preserve">Cadre financier </w:t>
            </w:r>
            <w:r w:rsidRPr="00031A85">
              <w:t>2014</w:t>
            </w:r>
            <w:r>
              <w:t>-</w:t>
            </w:r>
            <w:r w:rsidRPr="00031A85">
              <w:t>2020</w:t>
            </w:r>
            <w:r>
              <w:t xml:space="preserve">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Engagements juridiques conclus (B)</w:t>
            </w:r>
          </w:p>
        </w:tc>
        <w:tc>
          <w:tcPr>
            <w:tcW w:w="1202"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Engagements budgétaires    (C )</w:t>
            </w:r>
          </w:p>
        </w:tc>
        <w:tc>
          <w:tcPr>
            <w:tcW w:w="120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Dégagements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Budget disponible au titre du CFP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Engagements juridiques moins engagements budgétaires (=B-C+D)</w:t>
            </w:r>
          </w:p>
        </w:tc>
      </w:tr>
      <w:tr w:rsidR="005B4EEC" w:rsidTr="00F418CB">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européen de développement régional et Fonds de cohésion</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262</w:t>
            </w:r>
            <w:r>
              <w:rPr>
                <w:i w:val="0"/>
              </w:rPr>
              <w:t xml:space="preserve"> </w:t>
            </w:r>
            <w:r w:rsidRPr="00031A85">
              <w:rPr>
                <w:i w:val="0"/>
              </w:rPr>
              <w:t>058</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262</w:t>
            </w:r>
            <w:r>
              <w:rPr>
                <w:i w:val="0"/>
              </w:rPr>
              <w:t xml:space="preserve"> </w:t>
            </w:r>
            <w:r w:rsidRPr="00031A85">
              <w:rPr>
                <w:i w:val="0"/>
              </w:rPr>
              <w:t>058</w:t>
            </w:r>
          </w:p>
        </w:tc>
        <w:tc>
          <w:tcPr>
            <w:tcW w:w="1202"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102</w:t>
            </w:r>
            <w:r>
              <w:rPr>
                <w:i w:val="0"/>
              </w:rPr>
              <w:t xml:space="preserve"> </w:t>
            </w:r>
            <w:r w:rsidRPr="00031A85">
              <w:rPr>
                <w:i w:val="0"/>
              </w:rPr>
              <w:t>172</w:t>
            </w:r>
          </w:p>
        </w:tc>
        <w:tc>
          <w:tcPr>
            <w:tcW w:w="1208"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159</w:t>
            </w:r>
            <w:r>
              <w:rPr>
                <w:i w:val="0"/>
              </w:rPr>
              <w:t xml:space="preserve"> </w:t>
            </w:r>
            <w:r w:rsidRPr="00031A85">
              <w:rPr>
                <w:i w:val="0"/>
              </w:rPr>
              <w:t>886</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159</w:t>
            </w:r>
            <w:r>
              <w:rPr>
                <w:i w:val="0"/>
              </w:rPr>
              <w:t xml:space="preserve"> </w:t>
            </w:r>
            <w:r w:rsidRPr="00031A85">
              <w:rPr>
                <w:i w:val="0"/>
              </w:rPr>
              <w:t>886</w:t>
            </w:r>
          </w:p>
        </w:tc>
      </w:tr>
      <w:tr w:rsidR="005B4EEC" w:rsidTr="00F418CB">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social européen</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91</w:t>
            </w:r>
            <w:r>
              <w:rPr>
                <w:i w:val="0"/>
              </w:rPr>
              <w:t xml:space="preserve"> </w:t>
            </w:r>
            <w:r w:rsidRPr="00031A85">
              <w:rPr>
                <w:i w:val="0"/>
              </w:rPr>
              <w:t>991</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91</w:t>
            </w:r>
            <w:r>
              <w:rPr>
                <w:i w:val="0"/>
              </w:rPr>
              <w:t xml:space="preserve"> </w:t>
            </w:r>
            <w:r w:rsidRPr="00031A85">
              <w:rPr>
                <w:i w:val="0"/>
              </w:rPr>
              <w:t>991</w:t>
            </w:r>
          </w:p>
        </w:tc>
        <w:tc>
          <w:tcPr>
            <w:tcW w:w="1202"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38</w:t>
            </w:r>
            <w:r>
              <w:rPr>
                <w:i w:val="0"/>
              </w:rPr>
              <w:t xml:space="preserve"> </w:t>
            </w:r>
            <w:r w:rsidRPr="00031A85">
              <w:rPr>
                <w:i w:val="0"/>
              </w:rPr>
              <w:t>418</w:t>
            </w:r>
          </w:p>
        </w:tc>
        <w:tc>
          <w:tcPr>
            <w:tcW w:w="1208"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53</w:t>
            </w:r>
            <w:r>
              <w:rPr>
                <w:i w:val="0"/>
              </w:rPr>
              <w:t xml:space="preserve"> </w:t>
            </w:r>
            <w:r w:rsidRPr="00031A85">
              <w:rPr>
                <w:i w:val="0"/>
              </w:rPr>
              <w:t>573</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53</w:t>
            </w:r>
            <w:r>
              <w:rPr>
                <w:i w:val="0"/>
              </w:rPr>
              <w:t xml:space="preserve"> </w:t>
            </w:r>
            <w:r w:rsidRPr="00031A85">
              <w:rPr>
                <w:i w:val="0"/>
              </w:rPr>
              <w:t>573</w:t>
            </w:r>
          </w:p>
        </w:tc>
      </w:tr>
      <w:tr w:rsidR="005B4EEC" w:rsidTr="00F418CB">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européen d’aide aux plus démunis</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w:t>
            </w:r>
            <w:r>
              <w:rPr>
                <w:i w:val="0"/>
              </w:rPr>
              <w:t xml:space="preserve"> </w:t>
            </w:r>
            <w:r w:rsidRPr="00031A85">
              <w:rPr>
                <w:i w:val="0"/>
              </w:rPr>
              <w:t>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w:t>
            </w:r>
            <w:r>
              <w:rPr>
                <w:i w:val="0"/>
              </w:rPr>
              <w:t xml:space="preserve"> </w:t>
            </w:r>
            <w:r w:rsidRPr="00031A85">
              <w:rPr>
                <w:i w:val="0"/>
              </w:rPr>
              <w:t>814</w:t>
            </w:r>
          </w:p>
        </w:tc>
        <w:tc>
          <w:tcPr>
            <w:tcW w:w="1202"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w:t>
            </w:r>
            <w:r>
              <w:rPr>
                <w:i w:val="0"/>
              </w:rPr>
              <w:t xml:space="preserve"> </w:t>
            </w:r>
            <w:r w:rsidRPr="00031A85">
              <w:rPr>
                <w:i w:val="0"/>
              </w:rPr>
              <w:t>570</w:t>
            </w:r>
          </w:p>
        </w:tc>
        <w:tc>
          <w:tcPr>
            <w:tcW w:w="1208"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w:t>
            </w:r>
            <w:r>
              <w:rPr>
                <w:i w:val="0"/>
              </w:rPr>
              <w:t xml:space="preserve"> </w:t>
            </w:r>
            <w:r w:rsidRPr="00031A85">
              <w:rPr>
                <w:i w:val="0"/>
              </w:rPr>
              <w:t>244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w:t>
            </w:r>
            <w:r>
              <w:rPr>
                <w:i w:val="0"/>
              </w:rPr>
              <w:t xml:space="preserve"> </w:t>
            </w:r>
            <w:r w:rsidRPr="00031A85">
              <w:rPr>
                <w:i w:val="0"/>
              </w:rPr>
              <w:t>244</w:t>
            </w:r>
          </w:p>
        </w:tc>
      </w:tr>
      <w:tr w:rsidR="005B4EEC" w:rsidTr="00F418CB">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 xml:space="preserve">RUBRIQUE </w:t>
            </w:r>
            <w:r w:rsidRPr="00031A85">
              <w:t>1</w:t>
            </w:r>
            <w:r>
              <w:t>B: FONDS DE LA POLITIQUE DE COHÉSION</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357</w:t>
            </w:r>
            <w:r>
              <w:t xml:space="preserve"> </w:t>
            </w:r>
            <w:r w:rsidRPr="00031A85">
              <w:t>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357</w:t>
            </w:r>
            <w:r>
              <w:t xml:space="preserve"> </w:t>
            </w:r>
            <w:r w:rsidRPr="00031A85">
              <w:t>862</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142</w:t>
            </w:r>
            <w:r>
              <w:t xml:space="preserve"> </w:t>
            </w:r>
            <w:r w:rsidRPr="00031A85">
              <w:t>160</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215</w:t>
            </w:r>
            <w:r>
              <w:t xml:space="preserve"> </w:t>
            </w:r>
            <w:r w:rsidRPr="00031A85">
              <w:t>702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215</w:t>
            </w:r>
            <w:r>
              <w:t xml:space="preserve"> </w:t>
            </w:r>
            <w:r w:rsidRPr="00031A85">
              <w:t>702</w:t>
            </w:r>
          </w:p>
        </w:tc>
      </w:tr>
      <w:tr w:rsidR="005B4EEC" w:rsidTr="00F418CB">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 xml:space="preserve">Fonds européen agricole pour le développement rural </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99</w:t>
            </w:r>
            <w:r>
              <w:rPr>
                <w:i w:val="0"/>
              </w:rPr>
              <w:t xml:space="preserve"> </w:t>
            </w:r>
            <w:r w:rsidRPr="00031A85">
              <w:rPr>
                <w:i w:val="0"/>
              </w:rPr>
              <w:t>348</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99</w:t>
            </w:r>
            <w:r>
              <w:rPr>
                <w:i w:val="0"/>
              </w:rPr>
              <w:t xml:space="preserve"> </w:t>
            </w:r>
            <w:r w:rsidRPr="00031A85">
              <w:rPr>
                <w:i w:val="0"/>
              </w:rPr>
              <w:t>348</w:t>
            </w:r>
          </w:p>
        </w:tc>
        <w:tc>
          <w:tcPr>
            <w:tcW w:w="1202"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42</w:t>
            </w:r>
            <w:r>
              <w:rPr>
                <w:i w:val="0"/>
              </w:rPr>
              <w:t xml:space="preserve"> </w:t>
            </w:r>
            <w:r w:rsidRPr="00031A85">
              <w:rPr>
                <w:i w:val="0"/>
              </w:rPr>
              <w:t>064</w:t>
            </w:r>
          </w:p>
        </w:tc>
        <w:tc>
          <w:tcPr>
            <w:tcW w:w="1208"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57</w:t>
            </w:r>
            <w:r>
              <w:rPr>
                <w:i w:val="0"/>
              </w:rPr>
              <w:t xml:space="preserve"> </w:t>
            </w:r>
            <w:r w:rsidRPr="00031A85">
              <w:rPr>
                <w:i w:val="0"/>
              </w:rPr>
              <w:t>284</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57</w:t>
            </w:r>
            <w:r>
              <w:rPr>
                <w:i w:val="0"/>
              </w:rPr>
              <w:t xml:space="preserve"> </w:t>
            </w:r>
            <w:r w:rsidRPr="00031A85">
              <w:rPr>
                <w:i w:val="0"/>
              </w:rPr>
              <w:t>284</w:t>
            </w:r>
          </w:p>
        </w:tc>
      </w:tr>
      <w:tr w:rsidR="005B4EEC" w:rsidTr="00F418CB">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européen pour les affaires maritimes et la pêche</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w:t>
            </w:r>
            <w:r>
              <w:rPr>
                <w:i w:val="0"/>
              </w:rPr>
              <w:t xml:space="preserve"> </w:t>
            </w:r>
            <w:r w:rsidRPr="00031A85">
              <w:rPr>
                <w:i w:val="0"/>
              </w:rPr>
              <w:t>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5</w:t>
            </w:r>
            <w:r>
              <w:rPr>
                <w:i w:val="0"/>
              </w:rPr>
              <w:t xml:space="preserve"> </w:t>
            </w:r>
            <w:r w:rsidRPr="00031A85">
              <w:rPr>
                <w:i w:val="0"/>
              </w:rPr>
              <w:t>749</w:t>
            </w:r>
          </w:p>
        </w:tc>
        <w:tc>
          <w:tcPr>
            <w:tcW w:w="1202"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w:t>
            </w:r>
            <w:r>
              <w:rPr>
                <w:i w:val="0"/>
              </w:rPr>
              <w:t xml:space="preserve"> </w:t>
            </w:r>
            <w:r w:rsidRPr="00031A85">
              <w:rPr>
                <w:i w:val="0"/>
              </w:rPr>
              <w:t>392</w:t>
            </w:r>
          </w:p>
        </w:tc>
        <w:tc>
          <w:tcPr>
            <w:tcW w:w="1208"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w:t>
            </w:r>
            <w:r>
              <w:rPr>
                <w:i w:val="0"/>
              </w:rPr>
              <w:t xml:space="preserve"> </w:t>
            </w:r>
            <w:r w:rsidRPr="00031A85">
              <w:rPr>
                <w:i w:val="0"/>
              </w:rPr>
              <w:t>358</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w:t>
            </w:r>
            <w:r>
              <w:rPr>
                <w:i w:val="0"/>
              </w:rPr>
              <w:t xml:space="preserve"> </w:t>
            </w:r>
            <w:r w:rsidRPr="00031A85">
              <w:rPr>
                <w:i w:val="0"/>
              </w:rPr>
              <w:t>358</w:t>
            </w:r>
          </w:p>
        </w:tc>
      </w:tr>
      <w:tr w:rsidR="005B4EEC" w:rsidTr="00F418CB">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 xml:space="preserve">RUBRIQUE </w:t>
            </w:r>
            <w:r w:rsidRPr="00031A85">
              <w:t>2</w:t>
            </w:r>
            <w:r>
              <w:t>: RESSOURCES NATURELLES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105</w:t>
            </w:r>
            <w:r>
              <w:t xml:space="preserve"> </w:t>
            </w:r>
            <w:r w:rsidRPr="00031A85">
              <w:t>097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105</w:t>
            </w:r>
            <w:r>
              <w:t xml:space="preserve"> </w:t>
            </w:r>
            <w:r w:rsidRPr="00031A85">
              <w:t>097</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44</w:t>
            </w:r>
            <w:r>
              <w:t xml:space="preserve"> </w:t>
            </w:r>
            <w:r w:rsidRPr="00031A85">
              <w:t>455</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60</w:t>
            </w:r>
            <w:r>
              <w:t xml:space="preserve"> </w:t>
            </w:r>
            <w:r w:rsidRPr="00031A85">
              <w:t>641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60</w:t>
            </w:r>
            <w:r>
              <w:t xml:space="preserve"> </w:t>
            </w:r>
            <w:r w:rsidRPr="00031A85">
              <w:t>641</w:t>
            </w:r>
          </w:p>
        </w:tc>
      </w:tr>
      <w:tr w:rsidR="005B4EEC" w:rsidTr="00F418CB">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«Asile et migration»</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3</w:t>
            </w:r>
            <w:r>
              <w:rPr>
                <w:i w:val="0"/>
              </w:rPr>
              <w:t xml:space="preserve"> </w:t>
            </w:r>
            <w:r w:rsidRPr="00031A85">
              <w:rPr>
                <w:i w:val="0"/>
              </w:rPr>
              <w:t>607</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w:t>
            </w:r>
            <w:r>
              <w:rPr>
                <w:i w:val="0"/>
              </w:rPr>
              <w:t xml:space="preserve"> </w:t>
            </w:r>
            <w:r w:rsidRPr="00031A85">
              <w:rPr>
                <w:i w:val="0"/>
              </w:rPr>
              <w:t>977</w:t>
            </w:r>
          </w:p>
        </w:tc>
        <w:tc>
          <w:tcPr>
            <w:tcW w:w="1202"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w:t>
            </w:r>
            <w:r>
              <w:rPr>
                <w:i w:val="0"/>
              </w:rPr>
              <w:t xml:space="preserve"> </w:t>
            </w:r>
            <w:r w:rsidRPr="00031A85">
              <w:rPr>
                <w:i w:val="0"/>
              </w:rPr>
              <w:t>970</w:t>
            </w:r>
          </w:p>
        </w:tc>
        <w:tc>
          <w:tcPr>
            <w:tcW w:w="1208"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w:t>
            </w:r>
            <w:r>
              <w:rPr>
                <w:i w:val="0"/>
              </w:rPr>
              <w:t xml:space="preserve"> </w:t>
            </w:r>
            <w:r w:rsidRPr="00031A85">
              <w:rPr>
                <w:i w:val="0"/>
              </w:rPr>
              <w:t>637</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w:t>
            </w:r>
            <w:r w:rsidRPr="00031A85">
              <w:rPr>
                <w:i w:val="0"/>
              </w:rPr>
              <w:t>7</w:t>
            </w:r>
          </w:p>
        </w:tc>
      </w:tr>
      <w:tr w:rsidR="005B4EEC" w:rsidTr="00F418CB">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Fonds pour la sécurité intérieure</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2</w:t>
            </w:r>
            <w:r>
              <w:rPr>
                <w:i w:val="0"/>
              </w:rPr>
              <w:t xml:space="preserve"> </w:t>
            </w:r>
            <w:r w:rsidRPr="00031A85">
              <w:rPr>
                <w:i w:val="0"/>
              </w:rPr>
              <w:t>195</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w:t>
            </w:r>
            <w:r w:rsidRPr="00031A85">
              <w:rPr>
                <w:i w:val="0"/>
              </w:rPr>
              <w:t>981</w:t>
            </w:r>
          </w:p>
        </w:tc>
        <w:tc>
          <w:tcPr>
            <w:tcW w:w="1202"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w:t>
            </w:r>
            <w:r w:rsidRPr="00031A85">
              <w:rPr>
                <w:i w:val="0"/>
              </w:rPr>
              <w:t>981</w:t>
            </w:r>
          </w:p>
        </w:tc>
        <w:tc>
          <w:tcPr>
            <w:tcW w:w="1208"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sidRPr="00031A85">
              <w:rPr>
                <w:i w:val="0"/>
              </w:rPr>
              <w:t>1</w:t>
            </w:r>
            <w:r>
              <w:rPr>
                <w:i w:val="0"/>
              </w:rPr>
              <w:t xml:space="preserve"> </w:t>
            </w:r>
            <w:r w:rsidRPr="00031A85">
              <w:rPr>
                <w:i w:val="0"/>
              </w:rPr>
              <w:t>214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w:t>
            </w:r>
            <w:r w:rsidRPr="00031A85">
              <w:rPr>
                <w:i w:val="0"/>
              </w:rPr>
              <w:t>0</w:t>
            </w:r>
          </w:p>
        </w:tc>
      </w:tr>
      <w:tr w:rsidR="005B4EEC" w:rsidTr="00F418CB">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 xml:space="preserve">RUBRIQUE </w:t>
            </w:r>
            <w:r w:rsidRPr="00031A85">
              <w:t>3</w:t>
            </w:r>
            <w:r>
              <w:t>: SÉCURITÉ ET CITOYENNETÉ</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5</w:t>
            </w:r>
            <w:r>
              <w:t xml:space="preserve"> </w:t>
            </w:r>
            <w:r w:rsidRPr="00031A85">
              <w:t>802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2</w:t>
            </w:r>
            <w:r>
              <w:t xml:space="preserve"> </w:t>
            </w:r>
            <w:r w:rsidRPr="00031A85">
              <w:t>958</w:t>
            </w:r>
          </w:p>
        </w:tc>
        <w:tc>
          <w:tcPr>
            <w:tcW w:w="1202"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2</w:t>
            </w:r>
            <w:r>
              <w:t xml:space="preserve"> </w:t>
            </w:r>
            <w:r w:rsidRPr="00031A85">
              <w:t>951</w:t>
            </w:r>
          </w:p>
        </w:tc>
        <w:tc>
          <w:tcPr>
            <w:tcW w:w="1208"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sidRPr="00031A85">
              <w:t>2</w:t>
            </w:r>
            <w:r>
              <w:t xml:space="preserve"> </w:t>
            </w:r>
            <w:r w:rsidRPr="00031A85">
              <w:t>851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 xml:space="preserve"> </w:t>
            </w:r>
            <w:r w:rsidRPr="00031A85">
              <w:t>7</w:t>
            </w:r>
          </w:p>
        </w:tc>
      </w:tr>
      <w:tr w:rsidR="005B4EEC" w:rsidTr="00F418CB">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02"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08"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r>
      <w:tr w:rsidR="005B4EEC" w:rsidTr="00F418CB">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7pBoldLeft"/>
              <w:rPr>
                <w:rFonts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sidRPr="00031A85">
              <w:t>468</w:t>
            </w:r>
            <w:r>
              <w:t xml:space="preserve"> </w:t>
            </w:r>
            <w:r w:rsidRPr="00031A85">
              <w:t>761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sidRPr="00031A85">
              <w:t>465</w:t>
            </w:r>
            <w:r>
              <w:t xml:space="preserve"> </w:t>
            </w:r>
            <w:r w:rsidRPr="00031A85">
              <w:t>917</w:t>
            </w:r>
          </w:p>
        </w:tc>
        <w:tc>
          <w:tcPr>
            <w:tcW w:w="1202"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sidRPr="00031A85">
              <w:t>189</w:t>
            </w:r>
            <w:r>
              <w:t xml:space="preserve"> </w:t>
            </w:r>
            <w:r w:rsidRPr="00031A85">
              <w:t>566</w:t>
            </w:r>
          </w:p>
        </w:tc>
        <w:tc>
          <w:tcPr>
            <w:tcW w:w="1208"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sidRPr="00031A85">
              <w:t>279</w:t>
            </w:r>
            <w:r>
              <w:t xml:space="preserve"> </w:t>
            </w:r>
            <w:r w:rsidRPr="00031A85">
              <w:t>195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sidRPr="00031A85">
              <w:t>276</w:t>
            </w:r>
            <w:r>
              <w:t xml:space="preserve"> </w:t>
            </w:r>
            <w:r w:rsidRPr="00031A85">
              <w:t>351</w:t>
            </w:r>
          </w:p>
        </w:tc>
      </w:tr>
    </w:tbl>
    <w:p w:rsidR="00FB0C75" w:rsidRPr="00CD585E" w:rsidRDefault="00FB0C75" w:rsidP="00FB0C75">
      <w:pPr>
        <w:pStyle w:val="DGTextstand-alone"/>
        <w:spacing w:before="0"/>
        <w:rPr>
          <w:noProof w:val="0"/>
        </w:rPr>
      </w:pPr>
    </w:p>
    <w:p w:rsidR="00FB0C75" w:rsidRPr="00CD585E" w:rsidRDefault="00525E53" w:rsidP="00FB0C75">
      <w:pPr>
        <w:pStyle w:val="DGTextstand-alone"/>
        <w:rPr>
          <w:noProof w:val="0"/>
        </w:rPr>
      </w:pPr>
      <w:r>
        <w:t>Il s’agit des obligations légales pour lesquelles l’UE s’est engagée à effectuer des paiements lorsqu’elle adopte les programmes opérationnels se rapportant à la gestion partagée. La décision de la Commission portant adoption d’un programme opérationnel constitue une décision de financement au sens de l’article </w:t>
      </w:r>
      <w:r w:rsidRPr="00031A85">
        <w:t>84</w:t>
      </w:r>
      <w:r>
        <w:t xml:space="preserve"> du règlement financier et, une fois notifiée à l'État membre concerné, un engagement juridique au sens dudit règlement.</w:t>
      </w:r>
    </w:p>
    <w:p w:rsidR="00FB0C75" w:rsidRPr="00CD585E" w:rsidRDefault="00525E53" w:rsidP="00FB0C75">
      <w:pPr>
        <w:pStyle w:val="DGTextstand-alone"/>
        <w:rPr>
          <w:noProof w:val="0"/>
        </w:rPr>
      </w:pPr>
      <w:r>
        <w:t>L’article </w:t>
      </w:r>
      <w:r w:rsidRPr="00031A85">
        <w:t>76</w:t>
      </w:r>
      <w:r>
        <w:t xml:space="preserve"> du règlement portant dispositions communes relatives aux Fonds structurels et d’investissement européens (Fonds ESI) dispose ce qui suit: </w:t>
      </w:r>
    </w:p>
    <w:p w:rsidR="00FB0C75" w:rsidRPr="00CD585E" w:rsidRDefault="00525E53" w:rsidP="00FB0C75">
      <w:pPr>
        <w:pStyle w:val="DGTextstand-alone"/>
        <w:rPr>
          <w:i/>
          <w:noProof w:val="0"/>
        </w:rPr>
      </w:pPr>
      <w:r>
        <w:rPr>
          <w:i/>
          <w:noProof w:val="0"/>
        </w:rPr>
        <w:t xml:space="preserve">«Les engagements budgétaires de l'Union relatifs à chaque programme sont effectués par tranches annuelles pour chaque Fonds sur la période comprise entre le </w:t>
      </w:r>
      <w:r w:rsidRPr="00031A85">
        <w:rPr>
          <w:i/>
          <w:noProof w:val="0"/>
        </w:rPr>
        <w:t>1</w:t>
      </w:r>
      <w:r>
        <w:rPr>
          <w:i/>
          <w:noProof w:val="0"/>
          <w:vertAlign w:val="superscript"/>
        </w:rPr>
        <w:t>er</w:t>
      </w:r>
      <w:r>
        <w:rPr>
          <w:i/>
          <w:noProof w:val="0"/>
        </w:rPr>
        <w:t> janvier </w:t>
      </w:r>
      <w:r w:rsidRPr="00031A85">
        <w:rPr>
          <w:i/>
          <w:noProof w:val="0"/>
        </w:rPr>
        <w:t>2014</w:t>
      </w:r>
      <w:r>
        <w:rPr>
          <w:i/>
          <w:noProof w:val="0"/>
        </w:rPr>
        <w:t xml:space="preserve"> et le </w:t>
      </w:r>
      <w:r w:rsidRPr="00031A85">
        <w:rPr>
          <w:i/>
          <w:noProof w:val="0"/>
        </w:rPr>
        <w:t>31</w:t>
      </w:r>
      <w:r>
        <w:rPr>
          <w:i/>
          <w:noProof w:val="0"/>
        </w:rPr>
        <w:t> décembre </w:t>
      </w:r>
      <w:r w:rsidRPr="00031A85">
        <w:rPr>
          <w:i/>
          <w:noProof w:val="0"/>
        </w:rPr>
        <w:t>2020</w:t>
      </w:r>
      <w:r>
        <w:rPr>
          <w:i/>
          <w:noProof w:val="0"/>
        </w:rPr>
        <w:t>. Les engagements budgétaires relatifs à la réserve de performance dans chaque programme sont séparés du reste de la dotation du programme.»</w:t>
      </w:r>
    </w:p>
    <w:p w:rsidR="00FB0C75" w:rsidRPr="00CD585E" w:rsidRDefault="00525E53" w:rsidP="00FB0C75">
      <w:pPr>
        <w:pStyle w:val="DGTextstand-alone"/>
        <w:spacing w:after="0"/>
        <w:rPr>
          <w:i/>
          <w:noProof w:val="0"/>
        </w:rPr>
      </w:pPr>
      <w:r>
        <w:t xml:space="preserve">Le tableau ci-dessus commence par le total du CFP (colonne A) et indique les engagements juridiques qui n’ont pas encore donné lieu à des engagements budgétaires et, à titre d’information, les engagements maximaux par rapport aux plafonds prévus dans le CFP </w:t>
      </w:r>
      <w:r w:rsidRPr="00031A85">
        <w:t>2014</w:t>
      </w:r>
      <w:r>
        <w:t>-</w:t>
      </w:r>
      <w:r w:rsidRPr="00031A85">
        <w:t>2020</w:t>
      </w:r>
      <w:r>
        <w:t>, rubriques </w:t>
      </w:r>
      <w:r w:rsidRPr="00031A85">
        <w:t>1</w:t>
      </w:r>
      <w:r>
        <w:t xml:space="preserve">b, </w:t>
      </w:r>
      <w:r w:rsidRPr="00031A85">
        <w:t>2</w:t>
      </w:r>
      <w:r>
        <w:t xml:space="preserve"> et </w:t>
      </w:r>
      <w:r w:rsidRPr="00031A85">
        <w:t>3</w:t>
      </w:r>
      <w:r>
        <w:t xml:space="preserve">. Ces engagements juridiques représentent donc les montants en suspens que l’UE est tenue de verser après le </w:t>
      </w:r>
      <w:r w:rsidRPr="00031A85">
        <w:t>31</w:t>
      </w:r>
      <w:r>
        <w:t> décembre </w:t>
      </w:r>
      <w:r w:rsidRPr="00031A85">
        <w:t>2016</w:t>
      </w:r>
      <w:r>
        <w:t xml:space="preserve">. La colonne B montre les engagements juridiques conclus par la Commission à la fin de l’exercice et la colonne C présente les engagements budgétaires rendus disponibles se rapportant à ces engagements juridiques à la fin de l’exercice. Au </w:t>
      </w:r>
      <w:r w:rsidRPr="00031A85">
        <w:t>31</w:t>
      </w:r>
      <w:r>
        <w:t> décembre </w:t>
      </w:r>
      <w:r w:rsidRPr="00031A85">
        <w:t>2016</w:t>
      </w:r>
      <w:r>
        <w:t>, il n'y avait aucun dégagement (colonne D).</w:t>
      </w:r>
    </w:p>
    <w:p w:rsidR="00FB0C75" w:rsidRPr="00CD585E" w:rsidRDefault="00FB0C75" w:rsidP="00FB0C75">
      <w:pPr>
        <w:pStyle w:val="DGTextstand-alone"/>
        <w:spacing w:before="0" w:after="0"/>
        <w:rPr>
          <w:noProof w:val="0"/>
        </w:rPr>
      </w:pPr>
    </w:p>
    <w:p w:rsidR="00FB0C75" w:rsidRPr="00CD585E" w:rsidRDefault="00FB0C75">
      <w:pPr>
        <w:rPr>
          <w:rFonts w:ascii="Verdana" w:hAnsi="Verdana"/>
          <w:b/>
          <w:color w:val="016794"/>
          <w:sz w:val="28"/>
          <w:szCs w:val="28"/>
        </w:rPr>
      </w:pPr>
    </w:p>
    <w:p w:rsidR="00FB0C75" w:rsidRPr="00A74997" w:rsidRDefault="00525E53" w:rsidP="00FB0C75">
      <w:pPr>
        <w:pStyle w:val="HEADER2Part2"/>
      </w:pPr>
      <w:r>
        <w:t>ENGAGEMENTS JURIDIQUES IMPORTANTS DANS D’AUTRES DOMAINES</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56" w:name="DOC_TBL00076_1_1"/>
            <w:bookmarkEnd w:id="556"/>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t>en Mio EUR</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031A85">
              <w:t>31</w:t>
            </w:r>
            <w:r>
              <w:t>.</w:t>
            </w:r>
            <w:r w:rsidRPr="00031A85">
              <w:t>12</w:t>
            </w:r>
            <w:r>
              <w:t>.</w:t>
            </w: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031A85">
              <w:t>31</w:t>
            </w:r>
            <w:r>
              <w:t>.</w:t>
            </w:r>
            <w:r w:rsidRPr="00031A85">
              <w:t>12</w:t>
            </w:r>
            <w:r>
              <w:t>.</w:t>
            </w:r>
            <w:r w:rsidRPr="00031A85">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Mécanisme pour l’interconnexion en Europe</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13</w:t>
            </w:r>
            <w:r>
              <w:t xml:space="preserve"> </w:t>
            </w:r>
            <w:r w:rsidRPr="00031A85">
              <w:t>799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10</w:t>
            </w:r>
            <w:r>
              <w:t xml:space="preserve"> </w:t>
            </w:r>
            <w:r w:rsidRPr="00031A85">
              <w:t>051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Copernicus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2</w:t>
            </w:r>
            <w:r>
              <w:t xml:space="preserve"> </w:t>
            </w:r>
            <w:r w:rsidRPr="00031A85">
              <w:t>393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2</w:t>
            </w:r>
            <w:r>
              <w:t xml:space="preserve"> </w:t>
            </w:r>
            <w:r w:rsidRPr="00031A85">
              <w:t>939</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ITER</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w:t>
            </w:r>
            <w:r>
              <w:t xml:space="preserve"> </w:t>
            </w:r>
            <w:r w:rsidRPr="00031A85">
              <w:t>891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2</w:t>
            </w:r>
            <w:r>
              <w:t xml:space="preserve"> </w:t>
            </w:r>
            <w:r w:rsidRPr="00031A85">
              <w:t>022</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 xml:space="preserve">Galileo </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w:t>
            </w:r>
            <w:r w:rsidRPr="00031A85">
              <w:t>523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w:t>
            </w:r>
            <w:r w:rsidRPr="00031A85">
              <w:t>124</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Accords de pêche</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w:t>
            </w:r>
            <w:r w:rsidRPr="00031A85">
              <w:t>247</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w:t>
            </w:r>
            <w:r w:rsidRPr="00031A85">
              <w:t>373</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Engagements au titre de contrats de location simple</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2</w:t>
            </w:r>
            <w:r>
              <w:t xml:space="preserve"> </w:t>
            </w:r>
            <w:r w:rsidRPr="00031A85">
              <w:t>419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2</w:t>
            </w:r>
            <w:r>
              <w:t xml:space="preserve"> </w:t>
            </w:r>
            <w:r w:rsidRPr="00031A85">
              <w:t>511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Autres engagements contractuels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w:t>
            </w:r>
            <w:r>
              <w:t xml:space="preserve"> </w:t>
            </w:r>
            <w:r w:rsidRPr="00031A85">
              <w:t>003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031A85">
              <w:t>1</w:t>
            </w:r>
            <w:r>
              <w:t xml:space="preserve"> </w:t>
            </w:r>
            <w:r w:rsidRPr="00031A85">
              <w:t>079</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Text9pBoldLeft"/>
              <w:rPr>
                <w:rFonts w:cs="Verdana"/>
                <w:noProof w:val="0"/>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rsidRPr="00031A85">
              <w:t>22</w:t>
            </w:r>
            <w:r>
              <w:t xml:space="preserve"> </w:t>
            </w:r>
            <w:r w:rsidRPr="00031A85">
              <w:t>275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rsidRPr="00031A85">
              <w:t>19</w:t>
            </w:r>
            <w:r>
              <w:t xml:space="preserve"> </w:t>
            </w:r>
            <w:r w:rsidRPr="00031A85">
              <w:t>098</w:t>
            </w:r>
          </w:p>
        </w:tc>
      </w:tr>
    </w:tbl>
    <w:p w:rsidR="00FB0C75" w:rsidRPr="00CD585E" w:rsidRDefault="00FB0C75" w:rsidP="00FB0C75">
      <w:pPr>
        <w:pStyle w:val="DGTextstand-alone"/>
        <w:spacing w:before="0" w:after="0"/>
        <w:rPr>
          <w:noProof w:val="0"/>
        </w:rPr>
      </w:pPr>
    </w:p>
    <w:p w:rsidR="00FB0C75" w:rsidRPr="00CD585E" w:rsidRDefault="00525E53" w:rsidP="00FB0C75">
      <w:pPr>
        <w:pStyle w:val="DGTextstand-alone"/>
        <w:rPr>
          <w:noProof w:val="0"/>
        </w:rPr>
      </w:pPr>
      <w:r>
        <w:t xml:space="preserve">Ces montants reflètent les engagements juridiques à long terme qui n’étaient pas encore couverts par des crédits d’engagement dans le budget à la fin de l’exercice. Ces obligations contraignantes seront budgétisées par tranches annuelles lors des futurs exercices et donneront lieu à paiements. </w:t>
      </w:r>
    </w:p>
    <w:p w:rsidR="00FB0C75" w:rsidRPr="00CD585E" w:rsidRDefault="00525E53" w:rsidP="00FB0C75">
      <w:pPr>
        <w:pStyle w:val="DGTextstand-alone"/>
        <w:spacing w:after="120"/>
        <w:rPr>
          <w:noProof w:val="0"/>
        </w:rPr>
      </w:pPr>
      <w:r>
        <w:t>Certains programmes importants (voir ci-dessous) peuvent être mis en œuvre par tranches annuelles conformément à l’article </w:t>
      </w:r>
      <w:r w:rsidRPr="00031A85">
        <w:t>85</w:t>
      </w:r>
      <w:r>
        <w:t>, paragraphe </w:t>
      </w:r>
      <w:r w:rsidRPr="00031A85">
        <w:t>4</w:t>
      </w:r>
      <w:r>
        <w:t>, du règlement financier, ce qui permet à l’UE de contracter des engagements juridiques (signature de conventions de subvention, de conventions de délégation et de contrats de marchés publics) dépassant les crédits d’engagement disponibles d’un exercice donné. Par conséquent, il se peut qu'une part substantielle de la dotation totale au titre du CFP actuel ait déjà été engagée. Cela s’applique en particulier aux programmes suivants:</w:t>
      </w:r>
    </w:p>
    <w:p w:rsidR="00FB0C75" w:rsidRPr="00CD585E" w:rsidRDefault="00525E53" w:rsidP="00FB0C75">
      <w:pPr>
        <w:pStyle w:val="DGTextstand-alone"/>
        <w:numPr>
          <w:ilvl w:val="0"/>
          <w:numId w:val="13"/>
        </w:numPr>
        <w:spacing w:before="120" w:after="120"/>
        <w:rPr>
          <w:noProof w:val="0"/>
        </w:rPr>
      </w:pPr>
      <w:r>
        <w:t>mécanisme pour l’interconnexion en Europe,</w:t>
      </w:r>
    </w:p>
    <w:p w:rsidR="00FB0C75" w:rsidRPr="00CD585E" w:rsidRDefault="00525E53" w:rsidP="00FB0C75">
      <w:pPr>
        <w:pStyle w:val="DGTextstand-alone"/>
        <w:numPr>
          <w:ilvl w:val="0"/>
          <w:numId w:val="13"/>
        </w:numPr>
        <w:spacing w:before="120" w:after="120"/>
        <w:rPr>
          <w:noProof w:val="0"/>
        </w:rPr>
      </w:pPr>
      <w:r>
        <w:t>Copernicus,</w:t>
      </w:r>
    </w:p>
    <w:p w:rsidR="00FB0C75" w:rsidRPr="00CD585E" w:rsidRDefault="00525E53" w:rsidP="00FB0C75">
      <w:pPr>
        <w:pStyle w:val="DGTextstand-alone"/>
        <w:numPr>
          <w:ilvl w:val="0"/>
          <w:numId w:val="13"/>
        </w:numPr>
        <w:spacing w:before="120" w:after="120"/>
        <w:rPr>
          <w:noProof w:val="0"/>
        </w:rPr>
      </w:pPr>
      <w:r>
        <w:t>ITER et</w:t>
      </w:r>
    </w:p>
    <w:p w:rsidR="00FB0C75" w:rsidRPr="00CD585E" w:rsidRDefault="00525E53" w:rsidP="00FB0C75">
      <w:pPr>
        <w:pStyle w:val="DGTextstand-alone"/>
        <w:numPr>
          <w:ilvl w:val="0"/>
          <w:numId w:val="13"/>
        </w:numPr>
        <w:spacing w:before="120" w:after="120"/>
        <w:rPr>
          <w:noProof w:val="0"/>
        </w:rPr>
      </w:pPr>
      <w:r>
        <w:t>Galileo.</w:t>
      </w:r>
    </w:p>
    <w:p w:rsidR="00FB0C75" w:rsidRPr="00CD585E" w:rsidRDefault="00FB0C75" w:rsidP="00FB0C75">
      <w:pPr>
        <w:pStyle w:val="DGTextstand-alone"/>
        <w:spacing w:before="0" w:after="0"/>
        <w:rPr>
          <w:noProof w:val="0"/>
        </w:rPr>
      </w:pPr>
    </w:p>
    <w:p w:rsidR="00FB0C75" w:rsidRPr="00CD585E" w:rsidRDefault="00525E53" w:rsidP="00FB0C75">
      <w:pPr>
        <w:pStyle w:val="Textstand-alone"/>
        <w:spacing w:before="0" w:after="120"/>
        <w:rPr>
          <w:noProof w:val="0"/>
          <w:color w:val="016794"/>
        </w:rPr>
      </w:pPr>
      <w:r>
        <w:rPr>
          <w:noProof w:val="0"/>
          <w:color w:val="016794"/>
        </w:rPr>
        <w:t>Mécanisme pour l’interconnexion en Europe (MIE)</w:t>
      </w:r>
    </w:p>
    <w:p w:rsidR="00FB0C75" w:rsidRPr="00CD585E" w:rsidRDefault="00525E53" w:rsidP="00FB0C75">
      <w:pPr>
        <w:pStyle w:val="Textstand-alone"/>
        <w:spacing w:before="0"/>
        <w:rPr>
          <w:noProof w:val="0"/>
        </w:rPr>
      </w:pPr>
      <w:r>
        <w:t xml:space="preserve">Le MIE apporte une aide financière aux réseaux transeuropéens afin de soutenir des projets d’intérêt commun dans les secteurs des infrastructures de transport, de télécommunications et d’énergie. Les engagements juridiques pour le MIE couvrent une période allant de </w:t>
      </w:r>
      <w:r w:rsidRPr="00031A85">
        <w:t>2014</w:t>
      </w:r>
      <w:r>
        <w:t xml:space="preserve"> à </w:t>
      </w:r>
      <w:r w:rsidRPr="00031A85">
        <w:t>2020</w:t>
      </w:r>
      <w:r>
        <w:t xml:space="preserve"> pour le secteur des transports et de </w:t>
      </w:r>
      <w:r w:rsidRPr="00031A85">
        <w:t>2014</w:t>
      </w:r>
      <w:r>
        <w:t xml:space="preserve"> à </w:t>
      </w:r>
      <w:r w:rsidRPr="00031A85">
        <w:t>2021</w:t>
      </w:r>
      <w:r>
        <w:t xml:space="preserve"> pour le secteur de l’énergie. La base légale de ces engagements est le règlement (UE) nº </w:t>
      </w:r>
      <w:r w:rsidRPr="00031A85">
        <w:t>1316</w:t>
      </w:r>
      <w:r>
        <w:t>/</w:t>
      </w:r>
      <w:r w:rsidRPr="00031A85">
        <w:t>2013</w:t>
      </w:r>
      <w:r>
        <w:t xml:space="preserve"> du Parlement européen et du Conseil du </w:t>
      </w:r>
      <w:r w:rsidRPr="00031A85">
        <w:t>11</w:t>
      </w:r>
      <w:r>
        <w:t> décembre </w:t>
      </w:r>
      <w:r w:rsidRPr="00031A85">
        <w:t>2013</w:t>
      </w:r>
      <w:r>
        <w:t xml:space="preserve"> établissant le mécanisme pour l'interconnexion en Europe, modifiant le règlement (UE) nº </w:t>
      </w:r>
      <w:r w:rsidRPr="00031A85">
        <w:t>913</w:t>
      </w:r>
      <w:r>
        <w:t>/</w:t>
      </w:r>
      <w:r w:rsidRPr="00031A85">
        <w:t>2010</w:t>
      </w:r>
      <w:r>
        <w:t xml:space="preserve"> et abrogeant les règlements (CE) nº </w:t>
      </w:r>
      <w:r w:rsidRPr="00031A85">
        <w:t>680</w:t>
      </w:r>
      <w:r>
        <w:t>/</w:t>
      </w:r>
      <w:r w:rsidRPr="00031A85">
        <w:t>2007</w:t>
      </w:r>
      <w:r>
        <w:t xml:space="preserve"> et (CE) nº </w:t>
      </w:r>
      <w:r w:rsidRPr="00031A85">
        <w:t>67</w:t>
      </w:r>
      <w:r>
        <w:t>/</w:t>
      </w:r>
      <w:r w:rsidRPr="00031A85">
        <w:t>2010</w:t>
      </w:r>
      <w:r>
        <w:t xml:space="preserve"> [Texte présentant de l'intérêt pour l'EEE (JO L </w:t>
      </w:r>
      <w:r w:rsidRPr="00031A85">
        <w:t>348</w:t>
      </w:r>
      <w:r>
        <w:t xml:space="preserve"> du </w:t>
      </w:r>
      <w:r w:rsidRPr="00031A85">
        <w:t>20</w:t>
      </w:r>
      <w:r>
        <w:t>.</w:t>
      </w:r>
      <w:r w:rsidRPr="00031A85">
        <w:t>12</w:t>
      </w:r>
      <w:r>
        <w:t>.</w:t>
      </w:r>
      <w:r w:rsidRPr="00031A85">
        <w:t>2013</w:t>
      </w:r>
      <w:r>
        <w:t>)], dont l’article </w:t>
      </w:r>
      <w:r w:rsidRPr="00031A85">
        <w:t>19</w:t>
      </w:r>
      <w:r>
        <w:t xml:space="preserve"> prévoit le recours à des versements annuels.</w:t>
      </w:r>
    </w:p>
    <w:p w:rsidR="00FB0C75" w:rsidRPr="00CD585E" w:rsidRDefault="00525E53" w:rsidP="00FB0C75">
      <w:pPr>
        <w:pStyle w:val="Textstand-alone"/>
        <w:spacing w:after="120"/>
        <w:rPr>
          <w:noProof w:val="0"/>
          <w:color w:val="016794"/>
        </w:rPr>
      </w:pPr>
      <w:r>
        <w:rPr>
          <w:noProof w:val="0"/>
          <w:color w:val="016794"/>
        </w:rPr>
        <w:t>Copernicus</w:t>
      </w:r>
    </w:p>
    <w:p w:rsidR="00FB0C75" w:rsidRPr="00CD585E" w:rsidRDefault="00525E53" w:rsidP="00FB0C75">
      <w:pPr>
        <w:pStyle w:val="Textstand-alone"/>
        <w:spacing w:before="0"/>
        <w:rPr>
          <w:noProof w:val="0"/>
        </w:rPr>
      </w:pPr>
      <w:r>
        <w:t xml:space="preserve">Copernicus est le programme européen d’observation de la Terre – voir aussi la note </w:t>
      </w:r>
      <w:r w:rsidRPr="00031A85">
        <w:rPr>
          <w:b/>
          <w:noProof w:val="0"/>
        </w:rPr>
        <w:t>2</w:t>
      </w:r>
      <w:r>
        <w:rPr>
          <w:b/>
          <w:noProof w:val="0"/>
        </w:rPr>
        <w:t>.</w:t>
      </w:r>
      <w:r w:rsidRPr="00031A85">
        <w:rPr>
          <w:b/>
          <w:noProof w:val="0"/>
        </w:rPr>
        <w:t>2</w:t>
      </w:r>
      <w:r>
        <w:t>. Les engagements en la matière sont contractés pour la période prenant fin en </w:t>
      </w:r>
      <w:r w:rsidRPr="00031A85">
        <w:t>2020</w:t>
      </w:r>
      <w:r>
        <w:t>. La Commission a signé des conventions de délégation avec l’Agence spatiale européenne (ESA), Eumetsat et le Centre européen pour les prévisions météorologiques à moyen terme en vertu du règlement (UE) nº </w:t>
      </w:r>
      <w:r w:rsidRPr="00031A85">
        <w:t>377</w:t>
      </w:r>
      <w:r>
        <w:t>/</w:t>
      </w:r>
      <w:r w:rsidRPr="00031A85">
        <w:t>2014</w:t>
      </w:r>
      <w:r>
        <w:t xml:space="preserve"> du Parlement européen et du Conseil du </w:t>
      </w:r>
      <w:r w:rsidRPr="00031A85">
        <w:t>3</w:t>
      </w:r>
      <w:r>
        <w:t> avril </w:t>
      </w:r>
      <w:r w:rsidRPr="00031A85">
        <w:t>2014</w:t>
      </w:r>
      <w:r>
        <w:t xml:space="preserve"> (JO L </w:t>
      </w:r>
      <w:r w:rsidRPr="00031A85">
        <w:t>122</w:t>
      </w:r>
      <w:r>
        <w:t xml:space="preserve"> du </w:t>
      </w:r>
      <w:r w:rsidRPr="00031A85">
        <w:t>24</w:t>
      </w:r>
      <w:r>
        <w:t>.</w:t>
      </w:r>
      <w:r w:rsidRPr="00031A85">
        <w:t>4</w:t>
      </w:r>
      <w:r>
        <w:t>.</w:t>
      </w:r>
      <w:r w:rsidRPr="00031A85">
        <w:t>2014</w:t>
      </w:r>
      <w:r>
        <w:t>, p. </w:t>
      </w:r>
      <w:r w:rsidRPr="00031A85">
        <w:t>44</w:t>
      </w:r>
      <w:r>
        <w:t>). L’article </w:t>
      </w:r>
      <w:r w:rsidRPr="00031A85">
        <w:t>8</w:t>
      </w:r>
      <w:r>
        <w:t xml:space="preserve"> dudit règlement autorise l’utilisation de tranches annuelles.</w:t>
      </w:r>
    </w:p>
    <w:p w:rsidR="00FB0C75" w:rsidRPr="00CD585E" w:rsidRDefault="00525E53" w:rsidP="00FB0C75">
      <w:pPr>
        <w:pStyle w:val="Textstand-alone"/>
        <w:spacing w:after="120"/>
        <w:rPr>
          <w:noProof w:val="0"/>
          <w:color w:val="016794"/>
        </w:rPr>
      </w:pPr>
      <w:r>
        <w:rPr>
          <w:noProof w:val="0"/>
          <w:color w:val="016794"/>
        </w:rPr>
        <w:t>ITER – Réacteur thermonucléaire expérimental international</w:t>
      </w:r>
    </w:p>
    <w:p w:rsidR="00FB0C75" w:rsidRPr="00CD585E" w:rsidRDefault="00525E53" w:rsidP="00FB0C75">
      <w:pPr>
        <w:pStyle w:val="DGTextstand-alone"/>
        <w:rPr>
          <w:noProof w:val="0"/>
        </w:rPr>
      </w:pPr>
      <w:r>
        <w:t>Les engagements correspondants sont destinés à couvrir les futurs besoins de financement des installations ITER jusqu’en </w:t>
      </w:r>
      <w:r w:rsidRPr="00031A85">
        <w:t>2021</w:t>
      </w:r>
      <w:r>
        <w:t>. La contribution de l’UE (Euratom) à l’organisation internationale ITER est versée par l’intermédiaire de l’agence «Fusion for Energy», tout comme les contributions des États membres et de la Suisse. Ces engagements sont contractés sur la base de la décision </w:t>
      </w:r>
      <w:r w:rsidRPr="00031A85">
        <w:t>2013</w:t>
      </w:r>
      <w:r>
        <w:t>/</w:t>
      </w:r>
      <w:r w:rsidRPr="00031A85">
        <w:t>791</w:t>
      </w:r>
      <w:r>
        <w:t xml:space="preserve">/Euratom du Conseil du </w:t>
      </w:r>
      <w:r w:rsidRPr="00031A85">
        <w:t>13</w:t>
      </w:r>
      <w:r>
        <w:t> décembre </w:t>
      </w:r>
      <w:r w:rsidRPr="00031A85">
        <w:t>2013</w:t>
      </w:r>
      <w:r>
        <w:t xml:space="preserve"> modifiant la décision </w:t>
      </w:r>
      <w:r w:rsidRPr="00031A85">
        <w:t>2007</w:t>
      </w:r>
      <w:r>
        <w:t>/</w:t>
      </w:r>
      <w:r w:rsidRPr="00031A85">
        <w:t>198</w:t>
      </w:r>
      <w:r>
        <w:t xml:space="preserve">/Euratom instituant une entreprise commune pour ITER et le développement de l'énergie de fusion, qui autorise l’utilisation de tranches annuelles. L'organisation ITER a été créée pour gérer et encourager l’exploitation des installations ITER, promouvoir la compréhension et l'acceptation de l'énergie de fusion par le public et entreprendre toute autre activité nécessaire pour réaliser son objet. L'organisation ITER réunit l’Union européenne, la Chine, l’Inde, la Russie, la Corée du Sud, le Japon et les États-Unis. </w:t>
      </w:r>
    </w:p>
    <w:p w:rsidR="00FB0C75" w:rsidRPr="00CD585E" w:rsidRDefault="00525E53" w:rsidP="00FB0C75">
      <w:pPr>
        <w:pStyle w:val="Textstand-alone"/>
        <w:spacing w:after="120"/>
        <w:rPr>
          <w:noProof w:val="0"/>
          <w:color w:val="016794"/>
        </w:rPr>
      </w:pPr>
      <w:r>
        <w:rPr>
          <w:noProof w:val="0"/>
          <w:color w:val="016794"/>
        </w:rPr>
        <w:t>Galileo</w:t>
      </w:r>
    </w:p>
    <w:p w:rsidR="00FB0C75" w:rsidRPr="00CD585E" w:rsidRDefault="00525E53" w:rsidP="00FB0C75">
      <w:pPr>
        <w:pStyle w:val="DGTextstand-alone"/>
        <w:spacing w:before="0"/>
        <w:rPr>
          <w:noProof w:val="0"/>
        </w:rPr>
      </w:pPr>
      <w:r>
        <w:t xml:space="preserve">Il s’agit des montants affectés au programme Galileo visant à développer un système global de radionavigation par satellite au niveau européen - voir aussi note </w:t>
      </w:r>
      <w:r w:rsidRPr="00031A85">
        <w:rPr>
          <w:b/>
          <w:noProof w:val="0"/>
        </w:rPr>
        <w:t>2</w:t>
      </w:r>
      <w:r>
        <w:rPr>
          <w:b/>
          <w:noProof w:val="0"/>
        </w:rPr>
        <w:t>.</w:t>
      </w:r>
      <w:r w:rsidRPr="00031A85">
        <w:rPr>
          <w:b/>
          <w:noProof w:val="0"/>
        </w:rPr>
        <w:t>2</w:t>
      </w:r>
      <w:r>
        <w:t>. Les engagements en la matière sont contractés pour la période prenant fin en </w:t>
      </w:r>
      <w:r w:rsidRPr="00031A85">
        <w:t>2020</w:t>
      </w:r>
      <w:r>
        <w:t>. La Commission a signé une convention de délégation avec l’ESA en vertu du règlement (UE) nº </w:t>
      </w:r>
      <w:r w:rsidRPr="00031A85">
        <w:t>1285</w:t>
      </w:r>
      <w:r>
        <w:t>/</w:t>
      </w:r>
      <w:r w:rsidRPr="00031A85">
        <w:t>2013</w:t>
      </w:r>
      <w:r>
        <w:t xml:space="preserve"> du Parlement européen et du Conseil du </w:t>
      </w:r>
      <w:r w:rsidRPr="00031A85">
        <w:t>11</w:t>
      </w:r>
      <w:r>
        <w:t> décembre </w:t>
      </w:r>
      <w:r w:rsidRPr="00031A85">
        <w:t>2013</w:t>
      </w:r>
      <w:r>
        <w:t xml:space="preserve"> (JO L </w:t>
      </w:r>
      <w:r w:rsidRPr="00031A85">
        <w:t>347</w:t>
      </w:r>
      <w:r>
        <w:t xml:space="preserve"> du </w:t>
      </w:r>
      <w:r w:rsidRPr="00031A85">
        <w:t>20</w:t>
      </w:r>
      <w:r>
        <w:t>.</w:t>
      </w:r>
      <w:r w:rsidRPr="00031A85">
        <w:t>12</w:t>
      </w:r>
      <w:r>
        <w:t>.</w:t>
      </w:r>
      <w:r w:rsidRPr="00031A85">
        <w:t>2013</w:t>
      </w:r>
      <w:r>
        <w:t>, p. </w:t>
      </w:r>
      <w:r w:rsidRPr="00031A85">
        <w:t>1</w:t>
      </w:r>
      <w:r>
        <w:t>). L’article </w:t>
      </w:r>
      <w:r w:rsidRPr="00031A85">
        <w:t>9</w:t>
      </w:r>
      <w:r>
        <w:t xml:space="preserve"> dudit règlement autorise l’utilisation de tranches annuelles.</w:t>
      </w:r>
    </w:p>
    <w:p w:rsidR="00FB0C75" w:rsidRPr="00CD585E" w:rsidRDefault="00525E53" w:rsidP="00FB0C75">
      <w:pPr>
        <w:pStyle w:val="Textstand-alone"/>
        <w:spacing w:after="120"/>
        <w:rPr>
          <w:noProof w:val="0"/>
          <w:color w:val="016794"/>
        </w:rPr>
      </w:pPr>
      <w:r>
        <w:rPr>
          <w:noProof w:val="0"/>
          <w:color w:val="016794"/>
        </w:rPr>
        <w:t>Accords de pêche</w:t>
      </w:r>
    </w:p>
    <w:p w:rsidR="00FB0C75" w:rsidRPr="00CD585E" w:rsidRDefault="00525E53" w:rsidP="00FB0C75">
      <w:pPr>
        <w:pStyle w:val="Textstand-alone"/>
        <w:spacing w:before="0"/>
        <w:rPr>
          <w:noProof w:val="0"/>
        </w:rPr>
      </w:pPr>
      <w:r>
        <w:t>Les engagements correspondants ont été contractés jusqu’en </w:t>
      </w:r>
      <w:r w:rsidRPr="00031A85">
        <w:t>2020</w:t>
      </w:r>
      <w:r>
        <w:t xml:space="preserve"> avec des pays tiers en vue d’opérations menées dans le cadre d’accords internationaux de pêche. Ils relèvent de décisions du Conseil pour chaque pays tiers [par exemple la décision (UE) </w:t>
      </w:r>
      <w:r w:rsidRPr="00031A85">
        <w:t>2015</w:t>
      </w:r>
      <w:r>
        <w:t>/</w:t>
      </w:r>
      <w:r w:rsidRPr="00031A85">
        <w:t>1894</w:t>
      </w:r>
      <w:r>
        <w:t xml:space="preserve"> du Conseil </w:t>
      </w:r>
      <w:hyperlink r:id="rId400">
        <w:r>
          <w:rPr>
            <w:noProof w:val="0"/>
          </w:rPr>
          <w:t xml:space="preserve">du </w:t>
        </w:r>
        <w:r w:rsidRPr="00031A85">
          <w:rPr>
            <w:noProof w:val="0"/>
          </w:rPr>
          <w:t>5</w:t>
        </w:r>
        <w:r>
          <w:rPr>
            <w:noProof w:val="0"/>
          </w:rPr>
          <w:t> octobre </w:t>
        </w:r>
        <w:r w:rsidRPr="00031A85">
          <w:rPr>
            <w:noProof w:val="0"/>
          </w:rPr>
          <w:t>2015</w:t>
        </w:r>
        <w:r>
          <w:rPr>
            <w:noProof w:val="0"/>
          </w:rPr>
          <w:t xml:space="preserve"> relative à la conclusion du protocole entre l'Union européenne et la République du Cap-Vert fixant les possibilités de pêche et la contrepartie financière prévues par l'accord de partenariat dans le secteur de la pêche entre la Communauté européenne et la République du Cap-Vert</w:t>
        </w:r>
      </w:hyperlink>
      <w:r>
        <w:t>, JO L </w:t>
      </w:r>
      <w:r w:rsidRPr="00031A85">
        <w:t>277</w:t>
      </w:r>
      <w:r>
        <w:t xml:space="preserve"> du </w:t>
      </w:r>
      <w:r w:rsidRPr="00031A85">
        <w:t>22</w:t>
      </w:r>
      <w:r>
        <w:t>.</w:t>
      </w:r>
      <w:r w:rsidRPr="00031A85">
        <w:t>10</w:t>
      </w:r>
      <w:r>
        <w:t>.</w:t>
      </w:r>
      <w:r w:rsidRPr="00031A85">
        <w:t>2015</w:t>
      </w:r>
      <w:r>
        <w:t>]. Il s’agit de traités internationaux spécifiques qui donnent lieu à des droits et obligations pluriannuels.</w:t>
      </w:r>
    </w:p>
    <w:p w:rsidR="00FB0C75" w:rsidRPr="00CD585E" w:rsidRDefault="00525E53" w:rsidP="00FB0C75">
      <w:pPr>
        <w:pStyle w:val="Textstand-alone"/>
        <w:rPr>
          <w:noProof w:val="0"/>
          <w:color w:val="016794"/>
        </w:rPr>
      </w:pPr>
      <w:r>
        <w:rPr>
          <w:noProof w:val="0"/>
          <w:color w:val="016794"/>
        </w:rPr>
        <w:t>Engagements au titre de contrats de location simple</w:t>
      </w:r>
    </w:p>
    <w:p w:rsidR="00FB0C75" w:rsidRPr="00CD585E" w:rsidRDefault="00525E53" w:rsidP="00FB0C75">
      <w:pPr>
        <w:pStyle w:val="Textstand-alone"/>
        <w:rPr>
          <w:b/>
          <w:noProof w:val="0"/>
          <w:color w:val="016794"/>
        </w:rPr>
      </w:pPr>
      <w:r>
        <w:t>Les montants minimaux à payer en vertu des contrats sous-jacents pendant la durée résiduelle de ces contrats de location sont les suivants: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7" w:name="DOC_TBL00077_1_1"/>
            <w:bookmarkEnd w:id="557"/>
          </w:p>
        </w:tc>
        <w:tc>
          <w:tcPr>
            <w:tcW w:w="4678"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Montants futurs à payer</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 xml:space="preserve">&lt; </w:t>
            </w:r>
            <w:r w:rsidRPr="00031A85">
              <w:t>1</w:t>
            </w:r>
            <w:r>
              <w:t xml:space="preserve"> an</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rsidRPr="00031A85">
              <w:t>1</w:t>
            </w:r>
            <w:r>
              <w:t>-</w:t>
            </w:r>
            <w:r w:rsidRPr="00031A85">
              <w:t>5</w:t>
            </w:r>
            <w:r>
              <w:t xml:space="preserve"> ans</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 xml:space="preserve">&gt; </w:t>
            </w:r>
            <w:r w:rsidRPr="00031A85">
              <w:t>5</w:t>
            </w:r>
            <w:r>
              <w:t xml:space="preserve"> ans</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Total</w:t>
            </w:r>
          </w:p>
        </w:tc>
      </w:tr>
      <w:tr w:rsidR="005B4EEC">
        <w:tc>
          <w:tcPr>
            <w:tcW w:w="35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Bâtiments</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373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085</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944</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w:t>
            </w:r>
            <w:r>
              <w:t xml:space="preserve"> </w:t>
            </w:r>
            <w:r w:rsidRPr="00031A85">
              <w:t>402</w:t>
            </w:r>
          </w:p>
        </w:tc>
      </w:tr>
      <w:tr w:rsidR="005B4EEC">
        <w:tc>
          <w:tcPr>
            <w:tcW w:w="35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Matériel informatique et autres équipements</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10</w:t>
            </w:r>
          </w:p>
        </w:tc>
        <w:tc>
          <w:tcPr>
            <w:tcW w:w="156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17</w:t>
            </w:r>
          </w:p>
        </w:tc>
      </w:tr>
      <w:tr w:rsidR="005B4EEC">
        <w:tc>
          <w:tcPr>
            <w:tcW w:w="35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095</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944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w:t>
            </w:r>
            <w:r>
              <w:t xml:space="preserve"> </w:t>
            </w:r>
            <w:r w:rsidRPr="00031A85">
              <w:t>419</w:t>
            </w:r>
          </w:p>
        </w:tc>
      </w:tr>
    </w:tbl>
    <w:p w:rsidR="00FB0C75" w:rsidRPr="00CD585E" w:rsidRDefault="00FB0C75" w:rsidP="00FB0C75">
      <w:pPr>
        <w:pStyle w:val="DGTextstand-alone"/>
        <w:spacing w:before="0"/>
        <w:rPr>
          <w:noProof w:val="0"/>
        </w:rPr>
      </w:pPr>
    </w:p>
    <w:p w:rsidR="00FB0C75" w:rsidRPr="00CD585E" w:rsidRDefault="00525E53" w:rsidP="00FB0C75">
      <w:pPr>
        <w:pStyle w:val="Textstand-alone"/>
        <w:spacing w:before="0" w:after="120"/>
        <w:rPr>
          <w:noProof w:val="0"/>
          <w:color w:val="016794"/>
        </w:rPr>
      </w:pPr>
      <w:r>
        <w:rPr>
          <w:noProof w:val="0"/>
          <w:color w:val="016794"/>
        </w:rPr>
        <w:t>Autres engagements contractuels</w:t>
      </w:r>
    </w:p>
    <w:p w:rsidR="00FB0C75" w:rsidRPr="00CD585E" w:rsidRDefault="00525E53" w:rsidP="00FB0C75">
      <w:pPr>
        <w:pStyle w:val="DGTextstand-alone"/>
        <w:spacing w:before="0"/>
        <w:rPr>
          <w:noProof w:val="0"/>
        </w:rPr>
      </w:pPr>
      <w:r>
        <w:t>Les montants indiqués sous cette rubrique correspondent aux engagements restant à payer pendant la durée des contrats. Parmi les montants les plus élevés ici figurent les contrats immobiliers du Parlement européen (</w:t>
      </w:r>
      <w:r w:rsidRPr="00031A85">
        <w:t>276</w:t>
      </w:r>
      <w:r>
        <w:t> millions d’EUR).</w:t>
      </w:r>
    </w:p>
    <w:p w:rsidR="00FB0C75" w:rsidRPr="00CD585E" w:rsidRDefault="00525E53" w:rsidP="00FB0C75">
      <w:pPr>
        <w:pStyle w:val="DGTextstand-alone"/>
        <w:spacing w:before="0"/>
        <w:rPr>
          <w:noProof w:val="0"/>
        </w:rPr>
        <w:sectPr w:rsidR="00FB0C75" w:rsidRPr="00CD585E" w:rsidSect="00BD1908">
          <w:headerReference w:type="even" r:id="rId401"/>
          <w:headerReference w:type="default" r:id="rId402"/>
          <w:footerReference w:type="even" r:id="rId403"/>
          <w:footerReference w:type="default" r:id="rId404"/>
          <w:headerReference w:type="first" r:id="rId405"/>
          <w:footerReference w:type="first" r:id="rId406"/>
          <w:pgSz w:w="11906" w:h="16838"/>
          <w:pgMar w:top="1134" w:right="1134" w:bottom="1134" w:left="1134" w:header="709" w:footer="709" w:gutter="0"/>
          <w:cols w:space="708"/>
          <w:docGrid w:linePitch="360"/>
        </w:sectPr>
      </w:pPr>
      <w:r>
        <w:t xml:space="preserve"> </w:t>
      </w:r>
      <w:bookmarkEnd w:id="551"/>
    </w:p>
    <w:p w:rsidR="00FB0C75" w:rsidRPr="006B4AAE" w:rsidRDefault="00525E53" w:rsidP="00FB0C75">
      <w:pPr>
        <w:pStyle w:val="HEADER1Part2"/>
      </w:pPr>
      <w:bookmarkStart w:id="558" w:name="_Toc485724206"/>
      <w:bookmarkStart w:id="559" w:name="_Toc491678833"/>
      <w:bookmarkStart w:id="560" w:name="_DMBM_8981"/>
      <w:r>
        <w:t>GESTION DES RISQUES FINANCIERS</w:t>
      </w:r>
      <w:bookmarkEnd w:id="558"/>
      <w:bookmarkEnd w:id="559"/>
    </w:p>
    <w:p w:rsidR="00FB0C75" w:rsidRPr="006B4AAE" w:rsidRDefault="00525E53" w:rsidP="00FB0C75">
      <w:pPr>
        <w:pStyle w:val="Textstand-alone"/>
        <w:rPr>
          <w:noProof w:val="0"/>
        </w:rPr>
      </w:pPr>
      <w:r>
        <w:t>Les informations ci-après relatives à la gestion des risques financiers menée par l’UE concernent:</w:t>
      </w:r>
    </w:p>
    <w:p w:rsidR="00FB0C75" w:rsidRPr="006B4AAE" w:rsidRDefault="00525E53" w:rsidP="003B65D7">
      <w:pPr>
        <w:pStyle w:val="Textstand-alonebulletpointJustified"/>
        <w:jc w:val="both"/>
      </w:pPr>
      <w:r>
        <w:t xml:space="preserve">les activités d’emprunt et de prêt relatives à l’assistance financière réalisées par la Commission au moyen du MESF, de la BDP, de l’AMF, des actions Euratom et de la CECA en liquidation,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t xml:space="preserve">les opérations de trésorerie effectuées par la Commission aux fins de l’exécution du budget de l’UE, y compris le produit des amendes,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t>les actifs détenus dans des fonds de garanties budgétaires, à savoir le Fonds de garantie relatif aux actions extérieures et le Fonds de garantie de l’EFSI et</w:t>
      </w:r>
    </w:p>
    <w:p w:rsidR="00FB0C75" w:rsidRPr="006B4AAE" w:rsidRDefault="00FB0C75" w:rsidP="003B65D7">
      <w:pPr>
        <w:pStyle w:val="Textstand-alonebulletpointJustified"/>
        <w:numPr>
          <w:ilvl w:val="0"/>
          <w:numId w:val="0"/>
        </w:numPr>
        <w:ind w:left="357"/>
        <w:jc w:val="both"/>
      </w:pPr>
    </w:p>
    <w:p w:rsidR="00FB0C75" w:rsidRDefault="00525E53" w:rsidP="003B65D7">
      <w:pPr>
        <w:pStyle w:val="Textstand-alonebulletpointJustified"/>
        <w:jc w:val="both"/>
      </w:pPr>
      <w:r>
        <w:t>les instruments financiers relevant du budget de l’UE.</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HEADER2Part2"/>
      </w:pPr>
      <w:r>
        <w:t>TYPES DE RISQUE</w:t>
      </w:r>
    </w:p>
    <w:p w:rsidR="00FB0C75" w:rsidRPr="006B4AAE" w:rsidRDefault="00525E53" w:rsidP="00FB0C75">
      <w:pPr>
        <w:pStyle w:val="Textstand-alone"/>
        <w:rPr>
          <w:noProof w:val="0"/>
        </w:rPr>
      </w:pPr>
      <w:r>
        <w:t xml:space="preserve">Le </w:t>
      </w:r>
      <w:r>
        <w:rPr>
          <w:b/>
          <w:noProof w:val="0"/>
        </w:rPr>
        <w:t>risque de marché</w:t>
      </w:r>
      <w:r>
        <w:t xml:space="preserve"> correspond au risque de fluctuation de la juste valeur ou des trésoreries futures d’un instrument financier en raison de variations des prix du marché. Le risque de marché englobe non seulement les possibilités de perte, mais également les possibilités de gain. Il comprend </w:t>
      </w:r>
      <w:r>
        <w:rPr>
          <w:i/>
          <w:noProof w:val="0"/>
        </w:rPr>
        <w:t>le risque de change, le risque de taux d’intérêt et d’autres risques liés aux prix</w:t>
      </w:r>
      <w:r>
        <w:t xml:space="preserve"> (l’UE n’est pas concernée par ces derniers).</w:t>
      </w:r>
    </w:p>
    <w:p w:rsidR="00FB0C75" w:rsidRPr="006B4AAE" w:rsidRDefault="00525E53" w:rsidP="00FB0C75">
      <w:pPr>
        <w:pStyle w:val="Textstand-alonenumberingJustified"/>
      </w:pPr>
      <w:r>
        <w:t xml:space="preserve">Le </w:t>
      </w:r>
      <w:r>
        <w:rPr>
          <w:i/>
        </w:rPr>
        <w:t>risque de change</w:t>
      </w:r>
      <w:r>
        <w:t xml:space="preserve"> correspond au risque que les opérations de l’UE ou la valeur de ses investissements soient affectées par des variations des taux de change. Ce risque découle de la variation du prix d’une monnaie par rapport à une autre. </w:t>
      </w:r>
    </w:p>
    <w:p w:rsidR="00FB0C75" w:rsidRPr="006B4AAE" w:rsidRDefault="00525E53" w:rsidP="00FB0C75">
      <w:pPr>
        <w:pStyle w:val="Textstand-alonenumberingJustified"/>
      </w:pPr>
      <w:r>
        <w:t xml:space="preserve">Le </w:t>
      </w:r>
      <w:r>
        <w:rPr>
          <w:i/>
        </w:rPr>
        <w:t>risque de taux d’intérêt</w:t>
      </w:r>
      <w:r>
        <w:t xml:space="preserve"> correspond au risque de baisse de la valeur d’un titre, plus particulièrement d’une obligation, découlant d’une hausse des taux d’intérêt. En général, des taux d’intérêt plus élevés entraînent la baisse du prix des obligations à taux fixe et inversement.</w:t>
      </w:r>
    </w:p>
    <w:p w:rsidR="00FB0C75" w:rsidRPr="006B4AAE" w:rsidRDefault="00525E53" w:rsidP="00FB0C75">
      <w:pPr>
        <w:pStyle w:val="Textstand-alone"/>
        <w:rPr>
          <w:noProof w:val="0"/>
        </w:rPr>
      </w:pPr>
      <w:r>
        <w:t xml:space="preserve">Le </w:t>
      </w:r>
      <w:r>
        <w:rPr>
          <w:b/>
          <w:noProof w:val="0"/>
        </w:rPr>
        <w:t>risque de crédit</w:t>
      </w:r>
      <w:r>
        <w:t xml:space="preserve"> correspond au risque de perte découlant du non-paiement par un débiteur/emprunteur d’un prêt ou d’une autre forme de crédit (qu’il s’agisse du principal, des intérêts ou des deux) ou d’une autre incapacité à honorer une obligation contractuelle. Les cas de défaillance comprennent le retard de remboursement, le rééchelonnement des remboursements de l’emprunteur ainsi que la faillite.</w:t>
      </w:r>
    </w:p>
    <w:p w:rsidR="00FB0C75" w:rsidRPr="006B4AAE" w:rsidRDefault="00525E53" w:rsidP="00FB0C75">
      <w:pPr>
        <w:pStyle w:val="Textstand-alone"/>
        <w:rPr>
          <w:noProof w:val="0"/>
        </w:rPr>
      </w:pPr>
      <w:r>
        <w:t xml:space="preserve">Le </w:t>
      </w:r>
      <w:r>
        <w:rPr>
          <w:b/>
          <w:noProof w:val="0"/>
        </w:rPr>
        <w:t>risque de liquidité</w:t>
      </w:r>
      <w:r>
        <w:t xml:space="preserve"> résulte de la difficulté de vendre un actif, par exemple lorsqu’un titre ou un actif ne peut être négocié sur le marché assez rapidement pour éviter une perte ou honorer une obligation.</w:t>
      </w:r>
    </w:p>
    <w:p w:rsidR="00FB0C75" w:rsidRPr="006B4AAE" w:rsidRDefault="00525E53" w:rsidP="00FB0C75">
      <w:pPr>
        <w:pStyle w:val="HEADER2Part2"/>
      </w:pPr>
      <w:r>
        <w:t xml:space="preserve">POLITIQUES DE GESTION DES RISQUES </w:t>
      </w:r>
    </w:p>
    <w:p w:rsidR="00FB0C75" w:rsidRPr="006B4AAE" w:rsidRDefault="00525E53" w:rsidP="00FB0C75">
      <w:pPr>
        <w:pStyle w:val="Textstand-alone"/>
        <w:rPr>
          <w:noProof w:val="0"/>
        </w:rPr>
      </w:pPr>
      <w:r>
        <w:t>L’exécution du budget de l’UE s’appuie de plus en plus sur l’utilisation des instruments financiers des programmes opérationnels. Cette nouvelle stratégie repose - à la différence de la méthode traditionnelle d’exécution budgétaire qui consiste à accorder des aides et des subventions - sur le principe fondamental selon lequel, pour chaque euro du budget versé au titre d'instruments financiers, le bénéficiaire final reçoit plus d'un euro de soutien financier, grâce à l’effet de levier. Cet usage du budget de l’UE accroît autant que possible l’incidence des fonds disponibles. Pour plus d’informations sur cet instrument, voir la note </w:t>
      </w:r>
      <w:r w:rsidRPr="00031A85">
        <w:rPr>
          <w:b/>
          <w:noProof w:val="0"/>
        </w:rPr>
        <w:t>2</w:t>
      </w:r>
      <w:r>
        <w:rPr>
          <w:b/>
          <w:noProof w:val="0"/>
        </w:rPr>
        <w:t>.</w:t>
      </w:r>
      <w:r w:rsidRPr="00031A85">
        <w:rPr>
          <w:b/>
          <w:noProof w:val="0"/>
        </w:rPr>
        <w:t>4</w:t>
      </w:r>
      <w:r>
        <w:rPr>
          <w:b/>
          <w:noProof w:val="0"/>
        </w:rPr>
        <w:t>.</w:t>
      </w:r>
      <w:r w:rsidRPr="00031A85">
        <w:rPr>
          <w:b/>
          <w:noProof w:val="0"/>
        </w:rPr>
        <w:t>1</w:t>
      </w:r>
      <w:r>
        <w:t>.</w:t>
      </w:r>
    </w:p>
    <w:p w:rsidR="00FB0C75" w:rsidRPr="006B4AAE" w:rsidRDefault="00525E53" w:rsidP="00FB0C75">
      <w:pPr>
        <w:pStyle w:val="Textstand-alone"/>
        <w:rPr>
          <w:noProof w:val="0"/>
        </w:rPr>
      </w:pPr>
      <w:r>
        <w:t>La plupart des instruments financiers ont en commun le fait que leur mise en œuvre est déléguée soit au groupe BEI (dont le FEI), soit à d’autres institutions financières en vertu d’accords conclus entre celles-ci et la Commission. Les accords signés avec ces institutions financières prévoient des conditions et obligations strictes pour les intermédiaires, afin de garantir que la gestion des crédits de l'UE et le compte rendu en la matière se déroulent correctement. Dès qu’une contribution financière à l’un des instruments a été engagée, les fonds sont transférés sur un compte bancaire de l’institution financière spécialement ouvert à cet effet (compte fiduciaire). L’institution financière peut, suivant l’instrument considéré, utiliser les fonds de ce compte fiduciaire pour octroyer des prêts, émettre des titres de créances, investir dans des instruments de fonds propres ou répondre aux appels de garantie. Le produit des instruments financiers doit, en règle générale, être reversé au budget de l’UE.</w:t>
      </w:r>
    </w:p>
    <w:p w:rsidR="00FB0C75" w:rsidRPr="006B4AAE" w:rsidRDefault="00525E53" w:rsidP="00FB0C75">
      <w:pPr>
        <w:pStyle w:val="Textstand-alone"/>
        <w:rPr>
          <w:noProof w:val="0"/>
        </w:rPr>
      </w:pPr>
      <w:r>
        <w:t>Le risque associé à ces instruments financiers se limite à un plafond défini dans les accords sous-jacents, qui correspond au montant prévu au budget pour l’instrument. Étant donné que la Commission supporte souvent la «tranche de première perte» et que ces instruments sont destinés à financer des bénéficiaires présentant un risque plus élevé (qui obtiennent difficilement un financement auprès de prêteurs commerciaux), il est donc probable que le budget de l’UE subisse quelques pertes.</w:t>
      </w:r>
    </w:p>
    <w:p w:rsidR="00FB0C75" w:rsidRPr="006B4AAE" w:rsidRDefault="00525E53" w:rsidP="00FB0C75">
      <w:pPr>
        <w:pStyle w:val="HEADER5"/>
        <w:rPr>
          <w:b w:val="0"/>
        </w:rPr>
      </w:pPr>
      <w:r>
        <w:rPr>
          <w:b w:val="0"/>
        </w:rPr>
        <w:t>Évaluation des instruments financiers</w:t>
      </w:r>
    </w:p>
    <w:p w:rsidR="00FB0C75" w:rsidRPr="006B4AAE" w:rsidRDefault="00525E53" w:rsidP="00FB0C75">
      <w:pPr>
        <w:pStyle w:val="Textstand-alone"/>
        <w:spacing w:after="0"/>
        <w:rPr>
          <w:noProof w:val="0"/>
        </w:rPr>
      </w:pPr>
      <w:r>
        <w:t>Les catégories suivantes d’actifs et de passifs financiers ne sont pas évaluées à la juste valeur: trésorerie et équivalents de trésorerie, prêts, créances à recevoir avec contrepartie directe et créances à recouvrer sans contrepartie directe, emprunts et autres passifs financiers évalués au coût amorti. La valeur comptable de ces actifs et passifs financiers est considérée comme une approximation raisonnable de leur juste valeur.</w:t>
      </w:r>
    </w:p>
    <w:p w:rsidR="00FB0C75" w:rsidRPr="006B4AAE" w:rsidRDefault="00FB0C75" w:rsidP="00FB0C75">
      <w:pPr>
        <w:pStyle w:val="Textstand-alone"/>
        <w:spacing w:after="0"/>
        <w:rPr>
          <w:noProof w:val="0"/>
        </w:rPr>
      </w:pPr>
    </w:p>
    <w:p w:rsidR="00FB0C75" w:rsidRPr="006B4AAE" w:rsidRDefault="00525E53" w:rsidP="00FB0C75">
      <w:pPr>
        <w:pStyle w:val="HEADER5"/>
        <w:rPr>
          <w:b w:val="0"/>
        </w:rPr>
      </w:pPr>
      <w:r>
        <w:rPr>
          <w:b w:val="0"/>
        </w:rPr>
        <w:t>Activités d’emprunt et de prêt relatives à l’assistance financière</w:t>
      </w:r>
    </w:p>
    <w:p w:rsidR="00FB0C75" w:rsidRPr="006B4AAE" w:rsidRDefault="00525E53" w:rsidP="00FB0C75">
      <w:pPr>
        <w:pStyle w:val="Textstand-alone"/>
        <w:rPr>
          <w:noProof w:val="0"/>
        </w:rPr>
      </w:pPr>
      <w:r>
        <w:t>Les opérations d’emprunt et de prêt, ainsi que la gestion de trésorerie qui s'y rapporte, sont réalisées par l’UE en vertu des décisions correspondantes du Conseil et du Parlement européen, le cas échéant, et de lignes directrices internes. Des manuels ont été élaborés qui décrivent les procédures à appliquer dans des domaines précis tels que les emprunts, les prêts et la gestion de trésorerie et qui sont utilisés par les unités opérationnelles compétentes. En règle générale, aucune opération visant à compenser les fluctuations de taux d’intérêt ou de devises (opérations de «couverture») n’est effectuée, étant donné que les activités de prêt sont généralement financées au moyen d’emprunts réciproques («back-to-back»), ne générant ainsi aucun taux d’intérêt variable ni de positions ouvertes en devises. L’application du caractère réciproque est régulièrement contrôlée.</w:t>
      </w:r>
    </w:p>
    <w:p w:rsidR="00FB0C75" w:rsidRPr="006B4AAE" w:rsidRDefault="00525E53" w:rsidP="00FB0C75">
      <w:pPr>
        <w:pStyle w:val="HEADER5"/>
        <w:rPr>
          <w:b w:val="0"/>
        </w:rPr>
      </w:pPr>
      <w:r>
        <w:rPr>
          <w:b w:val="0"/>
        </w:rPr>
        <w:t>Trésorerie</w:t>
      </w:r>
    </w:p>
    <w:p w:rsidR="00FB0C75" w:rsidRPr="006B4AAE" w:rsidRDefault="00525E53" w:rsidP="00FB0C75">
      <w:pPr>
        <w:pStyle w:val="Textstand-alone"/>
        <w:rPr>
          <w:noProof w:val="0"/>
        </w:rPr>
      </w:pPr>
      <w:r>
        <w:t>Les règles et principes applicables à la gestion des opérations de trésorerie effectuées par la Commission sont fixés dans le règlement (UE, Euratom) n° </w:t>
      </w:r>
      <w:r w:rsidRPr="00031A85">
        <w:t>609</w:t>
      </w:r>
      <w:r>
        <w:t>/</w:t>
      </w:r>
      <w:r w:rsidRPr="00031A85">
        <w:t>2014</w:t>
      </w:r>
      <w:r>
        <w:t xml:space="preserve"> du Conseil [modifié par le règlement (UE, Euratom) </w:t>
      </w:r>
      <w:r w:rsidRPr="00031A85">
        <w:t>2016</w:t>
      </w:r>
      <w:r>
        <w:t>/</w:t>
      </w:r>
      <w:r w:rsidRPr="00031A85">
        <w:t>804</w:t>
      </w:r>
      <w:r>
        <w:t xml:space="preserve"> du Conseil] ainsi que dans le règlement financier et ses règles d’application.</w:t>
      </w:r>
    </w:p>
    <w:p w:rsidR="00FB0C75" w:rsidRPr="006B4AAE" w:rsidRDefault="00525E53" w:rsidP="00FB0C75">
      <w:pPr>
        <w:pStyle w:val="Textstand-alone"/>
        <w:rPr>
          <w:noProof w:val="0"/>
        </w:rPr>
      </w:pPr>
      <w:r>
        <w:t>En vertu des règlements précités, les grands principes suivants s’appliquent:</w:t>
      </w:r>
    </w:p>
    <w:p w:rsidR="00FB0C75" w:rsidRPr="006B4AAE" w:rsidRDefault="00525E53" w:rsidP="00FB0C75">
      <w:pPr>
        <w:pStyle w:val="Textstand-alonebulletpointJustified"/>
      </w:pPr>
      <w:r>
        <w:t>les ressources propres sont versées par les États membres sur des comptes ouverts à cet effet au nom de la Commission auprès du Trésor ou de la banque centrale nationale. La Commission peut effectuer des prélèvements sur les comptes précités uniquement pour couvrir ses besoins de trésorerie,</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les États membres versent les ressources propres dans leurs propres monnaies nationales, tandis que les paiements de la Commission sont principalement libellés en euros,</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les comptes bancaires ouverts au nom de la Commission ne peuvent pas être à découvert. Cette restriction ne s’applique pas aux comptes des ressources propres de la Commission en cas de défaillance sur des prêts contractés ou garantis conformément aux règlements et décisions du Conseil de l’UE et sous certaines conditions, quand les besoins de ressources en trésorerie dépassent les actifs sur les comptes,</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les fonds des comptes bancaires libellés dans des monnaies autres que l’euro sont utilisés pour des paiements dans ces mêmes monnaies ou périodiquement convertis en euros.</w:t>
      </w:r>
    </w:p>
    <w:p w:rsidR="00FB0C75" w:rsidRPr="006B4AAE" w:rsidRDefault="00525E53" w:rsidP="00FB0C75">
      <w:pPr>
        <w:pStyle w:val="Textstand-alone"/>
        <w:rPr>
          <w:noProof w:val="0"/>
        </w:rPr>
      </w:pPr>
      <w:r>
        <w:t xml:space="preserve">Outre les comptes de ressources propres, d’autres comptes bancaires sont ouverts par la Commission auprès des banques centrales et de banques commerciales pour permettre d’effectuer des paiements et de recevoir des versements autres que les contributions des États membres au budget. </w:t>
      </w:r>
    </w:p>
    <w:p w:rsidR="00FB0C75" w:rsidRPr="006B4AAE" w:rsidRDefault="00525E53" w:rsidP="00FB0C75">
      <w:pPr>
        <w:pStyle w:val="Textstand-alone"/>
        <w:rPr>
          <w:noProof w:val="0"/>
        </w:rPr>
      </w:pPr>
      <w:r>
        <w:t>Les opérations de trésorerie et de paiement sont fortement automatisées et reposent sur des systèmes informatiques modernes. Des procédures spéciales sont appliquées pour garantir la sécurité des systèmes et assurer la séparation des tâches conformément au règlement financier, aux standards de contrôle interne de la Commission et aux principes d’audit.</w:t>
      </w:r>
    </w:p>
    <w:p w:rsidR="00FB0C75" w:rsidRPr="006B4AAE" w:rsidRDefault="00525E53" w:rsidP="00FB0C75">
      <w:pPr>
        <w:pStyle w:val="Textstand-alone"/>
        <w:rPr>
          <w:noProof w:val="0"/>
        </w:rPr>
      </w:pPr>
      <w:r>
        <w:t xml:space="preserve">Un ensemble de lignes directrices et de procédures consignées par écrit régit la gestion des opérations de trésorerie et de paiement effectuées par la Commission afin de limiter le risque opérationnel et financier et de garantir un niveau de contrôle suffisant. Ces lignes directrices et procédures couvrent les différents domaines d’opération (par exemple, l’exécution des paiements et la gestion de la trésorerie, les prévisions de trésorerie, la continuité de l’exploitation, etc.); le respect de ces lignes directrices et procédures est régulièrement vérifié. En outre, des informations concernant la gestion des risques et les meilleures pratiques sont échangées entre la direction générale du budget et la direction générale des affaires économiques et financières. </w:t>
      </w:r>
    </w:p>
    <w:p w:rsidR="00FB0C75" w:rsidRPr="006B4AAE" w:rsidRDefault="00525E53" w:rsidP="00FB0C75">
      <w:pPr>
        <w:pStyle w:val="HEADER5"/>
        <w:rPr>
          <w:b w:val="0"/>
        </w:rPr>
      </w:pPr>
      <w:r>
        <w:rPr>
          <w:b w:val="0"/>
        </w:rPr>
        <w:t>Amendes</w:t>
      </w:r>
    </w:p>
    <w:p w:rsidR="00FB0C75" w:rsidRPr="006B4AAE" w:rsidRDefault="00525E53" w:rsidP="00FB0C75">
      <w:pPr>
        <w:pStyle w:val="Textstand-alone"/>
        <w:rPr>
          <w:i/>
          <w:noProof w:val="0"/>
        </w:rPr>
      </w:pPr>
      <w:r>
        <w:rPr>
          <w:i/>
          <w:noProof w:val="0"/>
        </w:rPr>
        <w:t>Amendes encaissées à titre provisionnel: dépôts</w:t>
      </w:r>
    </w:p>
    <w:p w:rsidR="00FB0C75" w:rsidRPr="006B4AAE" w:rsidRDefault="00525E53" w:rsidP="00FB0C75">
      <w:pPr>
        <w:pStyle w:val="Textstand-alone"/>
        <w:rPr>
          <w:noProof w:val="0"/>
        </w:rPr>
      </w:pPr>
      <w:r>
        <w:t xml:space="preserve">Les montants perçus avant </w:t>
      </w:r>
      <w:r w:rsidRPr="00031A85">
        <w:t>2010</w:t>
      </w:r>
      <w:r>
        <w:t xml:space="preserve"> restent sur des comptes bancaires de banques spécialement sélectionnées pour le dépôt des amendes encaissées à titre provisionnel. La sélection de ces établissements a lieu conformément aux procédures d’appels d'offres définies dans le règlement financier. Le placement des fonds auprès de banques spécifiques est régi par la politique interne de gestion des risques, qui définit les exigences en matière de notation de crédit et le montant pouvant être placé au regard des fonds propres de la contrepartie. Les risques financiers et opérationnels sont identifiés et évalués, et le respect des politiques et procédures internes est régulièrement vérifié.</w:t>
      </w:r>
    </w:p>
    <w:p w:rsidR="00FB0C75" w:rsidRPr="006B4AAE" w:rsidRDefault="00525E53" w:rsidP="00FB0C75">
      <w:pPr>
        <w:pStyle w:val="Textstand-alone"/>
        <w:rPr>
          <w:i/>
          <w:noProof w:val="0"/>
        </w:rPr>
      </w:pPr>
      <w:r>
        <w:rPr>
          <w:i/>
          <w:noProof w:val="0"/>
        </w:rPr>
        <w:t>Amendes encaissées à titre provisionnel: portefeuille BUFI</w:t>
      </w:r>
    </w:p>
    <w:p w:rsidR="00FB0C75" w:rsidRPr="006B4AAE" w:rsidRDefault="00525E53" w:rsidP="00FB0C75">
      <w:pPr>
        <w:pStyle w:val="Textstand-alone"/>
        <w:rPr>
          <w:noProof w:val="0"/>
        </w:rPr>
      </w:pPr>
      <w:r>
        <w:t xml:space="preserve">Depuis </w:t>
      </w:r>
      <w:r w:rsidRPr="00031A85">
        <w:t>2010</w:t>
      </w:r>
      <w:r>
        <w:t>, les amendes imposées et encaissées à titre provisionnel sont investies dans un fonds expressément créé à cet effet, le fonds BUFI. Ce dernier a pour principaux objectifs de réduire les risques liés aux marchés financiers et d'assurer l’égalité de traitement entre toutes les entités visées par une amende, en offrant un rendement garanti calculé sur la même base. Les actifs correspondant aux amendes encaissées à titre provisionnel sont gérés par la Commission conformément aux lignes directrices internes relatives à la gestion des actifs. Des manuels ont été élaborés qui décrivent les procédures à appliquer dans des domaines spécifiques, tels que la gestion de trésorerie, et qui sont utilisés par les unités opérationnelles compétentes. Les risques financiers et opérationnels sont identifiés et évalués, et le respect des lignes directrices et procédures internes est régulièrement vérifié.</w:t>
      </w:r>
    </w:p>
    <w:p w:rsidR="00FB0C75" w:rsidRPr="006B4AAE" w:rsidRDefault="00525E53" w:rsidP="00FB0C75">
      <w:pPr>
        <w:pStyle w:val="Textstand-alone"/>
        <w:rPr>
          <w:noProof w:val="0"/>
        </w:rPr>
      </w:pPr>
      <w:r>
        <w:t>Les activités de gestion d’actifs ont pour but de placer les montants d'amendes versées à la Commission à titre provisionnel de façon à:</w:t>
      </w:r>
    </w:p>
    <w:p w:rsidR="00FB0C75" w:rsidRPr="006B4AAE" w:rsidRDefault="00525E53" w:rsidP="00FB0C75">
      <w:pPr>
        <w:pStyle w:val="Textstand-alonenumberingLetters"/>
      </w:pPr>
      <w:r>
        <w:t>garantir que les fonds soient aisément disponibles lorsqu’ils sont requis; tout en veillant à</w:t>
      </w:r>
    </w:p>
    <w:p w:rsidR="00FB0C75" w:rsidRPr="006B4AAE" w:rsidRDefault="00525E53" w:rsidP="00FB0C75">
      <w:pPr>
        <w:pStyle w:val="Textstand-alonenumberingLetters"/>
      </w:pPr>
      <w:r>
        <w:t>obtenir, dans des circonstances normales, un rendement qui corresponde en moyenne au rendement de référence du BUFI, déduction faite des frais, la valeur nominale des amendes devant être préservée.</w:t>
      </w:r>
    </w:p>
    <w:p w:rsidR="00FB0C75" w:rsidRPr="006B4AAE" w:rsidRDefault="00525E53" w:rsidP="00FB0C75">
      <w:pPr>
        <w:pStyle w:val="Textstand-alone"/>
        <w:rPr>
          <w:noProof w:val="0"/>
        </w:rPr>
      </w:pPr>
      <w:r>
        <w:t>D’une manière générale, les placements sont limités essentiellement aux catégories suivantes: dépôts à terme auprès de banques centrales des pays de la zone euro, auprès d’agences de la dette souveraine des pays de la zone euro, auprès de banques entièrement détenues par l’État ou garanties par l’État ou auprès d’institutions supranationales, et obligations, lettres de change et certificats de dépôt émis par des entités souveraines ou supranationales.</w:t>
      </w:r>
    </w:p>
    <w:p w:rsidR="00FB0C75" w:rsidRPr="006B4AAE" w:rsidRDefault="00525E53" w:rsidP="00FB0C75">
      <w:pPr>
        <w:pStyle w:val="Textstand-alone"/>
        <w:rPr>
          <w:i/>
          <w:noProof w:val="0"/>
        </w:rPr>
      </w:pPr>
      <w:r>
        <w:rPr>
          <w:i/>
          <w:noProof w:val="0"/>
        </w:rPr>
        <w:t>Garanties bancaires</w:t>
      </w:r>
    </w:p>
    <w:p w:rsidR="00FB0C75" w:rsidRPr="006B4AAE" w:rsidRDefault="00525E53" w:rsidP="00FB0C75">
      <w:pPr>
        <w:pStyle w:val="Textstand-alone"/>
        <w:rPr>
          <w:noProof w:val="0"/>
        </w:rPr>
      </w:pPr>
      <w:r>
        <w:t xml:space="preserve">Des sommes importantes au titre de garanties émises par des institutions financières sont détenues par la Commission dans le cadre des amendes qu’elle impose aux entreprises qui enfreignent les règles de l’UE en matière de concurrence (voir la note </w:t>
      </w:r>
      <w:r w:rsidRPr="00031A85">
        <w:rPr>
          <w:b/>
          <w:noProof w:val="0"/>
        </w:rPr>
        <w:t>2</w:t>
      </w:r>
      <w:r>
        <w:rPr>
          <w:b/>
          <w:noProof w:val="0"/>
        </w:rPr>
        <w:t>.</w:t>
      </w:r>
      <w:r w:rsidRPr="00031A85">
        <w:rPr>
          <w:b/>
          <w:noProof w:val="0"/>
        </w:rPr>
        <w:t>6</w:t>
      </w:r>
      <w:r>
        <w:rPr>
          <w:b/>
          <w:noProof w:val="0"/>
        </w:rPr>
        <w:t>.</w:t>
      </w:r>
      <w:r w:rsidRPr="00031A85">
        <w:rPr>
          <w:b/>
          <w:noProof w:val="0"/>
        </w:rPr>
        <w:t>1</w:t>
      </w:r>
      <w:r>
        <w:rPr>
          <w:b/>
          <w:noProof w:val="0"/>
        </w:rPr>
        <w:t>.</w:t>
      </w:r>
      <w:r w:rsidRPr="00031A85">
        <w:rPr>
          <w:b/>
          <w:noProof w:val="0"/>
        </w:rPr>
        <w:t>2</w:t>
      </w:r>
      <w:r>
        <w:t>). Ces garanties sont fournies par les entreprises sanctionnées et se substituent à l’exécution de paiements provisionnels. Elles sont gérées conformément à la politique interne de gestion des risques. Les risques financiers et opérationnels sont identifiés et évalués, et le respect des politiques et procédures internes est régulièrement vérifié.</w:t>
      </w:r>
    </w:p>
    <w:p w:rsidR="00FB0C75" w:rsidRPr="006B4AAE" w:rsidRDefault="00525E53" w:rsidP="00FB0C75">
      <w:pPr>
        <w:pStyle w:val="HEADER5"/>
        <w:rPr>
          <w:b w:val="0"/>
        </w:rPr>
      </w:pPr>
      <w:r>
        <w:rPr>
          <w:b w:val="0"/>
        </w:rPr>
        <w:t>Fonds de garantie relatif aux actions extérieures</w:t>
      </w:r>
    </w:p>
    <w:p w:rsidR="00FB0C75" w:rsidRPr="006B4AAE" w:rsidRDefault="00525E53" w:rsidP="00FB0C75">
      <w:pPr>
        <w:pStyle w:val="Textstand-alone"/>
        <w:spacing w:after="0"/>
        <w:rPr>
          <w:noProof w:val="0"/>
        </w:rPr>
      </w:pPr>
      <w:r>
        <w:t xml:space="preserve">Les règles et principes applicables à la gestion des actifs du Fonds de garantie sont exposés dans la convention conclue le </w:t>
      </w:r>
      <w:r w:rsidRPr="00031A85">
        <w:t>25</w:t>
      </w:r>
      <w:r>
        <w:t xml:space="preserve"> novembre </w:t>
      </w:r>
      <w:r w:rsidRPr="00031A85">
        <w:t>1994</w:t>
      </w:r>
      <w:r>
        <w:t xml:space="preserve"> entre la Commission et la BEI, ainsi que dans ses modifications ultérieures des </w:t>
      </w:r>
      <w:r w:rsidRPr="00031A85">
        <w:t>17</w:t>
      </w:r>
      <w:r>
        <w:t xml:space="preserve"> et </w:t>
      </w:r>
      <w:r w:rsidRPr="00031A85">
        <w:t>23</w:t>
      </w:r>
      <w:r>
        <w:t xml:space="preserve"> septembre </w:t>
      </w:r>
      <w:r w:rsidRPr="00031A85">
        <w:t>1996</w:t>
      </w:r>
      <w:r>
        <w:t xml:space="preserve">, </w:t>
      </w:r>
      <w:r w:rsidRPr="00031A85">
        <w:t>8</w:t>
      </w:r>
      <w:r>
        <w:t xml:space="preserve"> mai </w:t>
      </w:r>
      <w:r w:rsidRPr="00031A85">
        <w:t>2002</w:t>
      </w:r>
      <w:r>
        <w:t xml:space="preserve">, </w:t>
      </w:r>
      <w:r w:rsidRPr="00031A85">
        <w:t>25</w:t>
      </w:r>
      <w:r>
        <w:t xml:space="preserve"> février </w:t>
      </w:r>
      <w:r w:rsidRPr="00031A85">
        <w:t>2008</w:t>
      </w:r>
      <w:r>
        <w:t xml:space="preserve"> et </w:t>
      </w:r>
      <w:r w:rsidRPr="00031A85">
        <w:t>9</w:t>
      </w:r>
      <w:r>
        <w:t xml:space="preserve"> novembre </w:t>
      </w:r>
      <w:r w:rsidRPr="00031A85">
        <w:t>2010</w:t>
      </w:r>
      <w:r>
        <w:t>. Ce Fonds de garantie ne fonctionne qu’en euro. Les investissements sont exclusivement réalisés dans cette monnaie afin d’éviter tout risque lié au taux de change. La gestion des actifs repose sur les règles de prudence traditionnelles adoptées pour les activités financières. Elle doit accorder une attention particulière à la réduction des risques, en s’assurant par ailleurs que les actifs gérés peuvent être liquidés ou transférés sans retard notable, compte tenu des engagements couverts.</w:t>
      </w:r>
    </w:p>
    <w:p w:rsidR="00FB0C75" w:rsidRPr="006B4AAE" w:rsidRDefault="00525E53" w:rsidP="00FB0C75">
      <w:pPr>
        <w:pStyle w:val="Textstand-alone"/>
        <w:spacing w:after="0"/>
        <w:rPr>
          <w:noProof w:val="0"/>
        </w:rPr>
      </w:pPr>
      <w:r>
        <w:rPr>
          <w:noProof w:val="0"/>
          <w:color w:val="016794"/>
        </w:rPr>
        <w:t>Fonds de garantie de l’EFSI</w:t>
      </w:r>
    </w:p>
    <w:p w:rsidR="00FB0C75" w:rsidRDefault="00525E53" w:rsidP="00FB0C75">
      <w:pPr>
        <w:pStyle w:val="Textstand-alone"/>
        <w:spacing w:after="0"/>
      </w:pPr>
      <w:r>
        <w:t xml:space="preserve">Le Fonds de garantie de l'EFSI a été institué par le règlement (UE) </w:t>
      </w:r>
      <w:r w:rsidRPr="00031A85">
        <w:t>2015</w:t>
      </w:r>
      <w:r>
        <w:t>/</w:t>
      </w:r>
      <w:r w:rsidRPr="00031A85">
        <w:t>1017</w:t>
      </w:r>
      <w:r>
        <w:t xml:space="preserve"> du Parlement européen et du Conseil du </w:t>
      </w:r>
      <w:r w:rsidRPr="00031A85">
        <w:t>25</w:t>
      </w:r>
      <w:r>
        <w:t> juin </w:t>
      </w:r>
      <w:r w:rsidRPr="00031A85">
        <w:t>2015</w:t>
      </w:r>
      <w:r>
        <w:t>. Les règles et principes applicables à la gestion des actifs du Fonds sont énoncés dans la décision C(</w:t>
      </w:r>
      <w:r w:rsidRPr="00031A85">
        <w:t>2016</w:t>
      </w:r>
      <w:r>
        <w:t>) </w:t>
      </w:r>
      <w:r w:rsidRPr="00031A85">
        <w:t>165</w:t>
      </w:r>
      <w:r>
        <w:t xml:space="preserve"> de la Commission du </w:t>
      </w:r>
      <w:r w:rsidRPr="00031A85">
        <w:t>21</w:t>
      </w:r>
      <w:r>
        <w:t xml:space="preserve"> janvier </w:t>
      </w:r>
      <w:r w:rsidRPr="00031A85">
        <w:t>2016</w:t>
      </w:r>
      <w:r>
        <w:t>. Les actifs gérés doivent procurer une liquidité suffisante pour couvrir les éventuels appels à garantie, tout en visant à optimiser le niveau de rendement et de risque qui est compatible avec un degré élevé de sécurité et de stabilité.</w:t>
      </w:r>
    </w:p>
    <w:p w:rsidR="00E30E23" w:rsidRPr="006B4AAE" w:rsidRDefault="00E30E23" w:rsidP="00FB0C75">
      <w:pPr>
        <w:pStyle w:val="Textstand-alone"/>
        <w:spacing w:after="0"/>
        <w:rPr>
          <w:noProof w:val="0"/>
        </w:rPr>
      </w:pPr>
    </w:p>
    <w:p w:rsidR="00FB0C75" w:rsidRDefault="00525E53" w:rsidP="00FB0C75">
      <w:pPr>
        <w:pStyle w:val="HEADER2Part2"/>
      </w:pPr>
      <w:bookmarkStart w:id="561" w:name="_DMBM_8965"/>
      <w:bookmarkEnd w:id="560"/>
      <w:r>
        <w:t>RISQUE DE CHANGE</w:t>
      </w:r>
    </w:p>
    <w:p w:rsidR="00FB0C75" w:rsidRDefault="00FB0C75" w:rsidP="00FB0C75">
      <w:pPr>
        <w:pStyle w:val="HEADER2Part2"/>
        <w:numPr>
          <w:ilvl w:val="0"/>
          <w:numId w:val="0"/>
        </w:numPr>
        <w:ind w:left="907"/>
      </w:pPr>
    </w:p>
    <w:p w:rsidR="00FB0C75" w:rsidRDefault="00525E53" w:rsidP="00FB0C75">
      <w:pPr>
        <w:pStyle w:val="HEADER5"/>
        <w:rPr>
          <w:b w:val="0"/>
        </w:rPr>
      </w:pPr>
      <w:r>
        <w:rPr>
          <w:b w:val="0"/>
        </w:rPr>
        <w:t>Exposition des instruments financiers de l’UE au risque de change en fin d’exercice – position nette</w:t>
      </w:r>
    </w:p>
    <w:p w:rsidR="00FB0C75" w:rsidRPr="00CB4B5A"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62" w:name="DOC_TBL00078_1_1"/>
            <w:bookmarkEnd w:id="562"/>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Right025"/>
              <w:rPr>
                <w:rFonts w:cs="Verdana"/>
              </w:rPr>
            </w:pPr>
            <w:r>
              <w:t>en Mio EUR</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2016</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Autres</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Total</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Actifs financiers</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Actifs financiers disponibles à la vente</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228</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58</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14</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42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10</w:t>
            </w:r>
            <w:r>
              <w:t xml:space="preserve"> </w:t>
            </w:r>
            <w:r w:rsidRPr="00031A85">
              <w:t>080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21</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10</w:t>
            </w:r>
            <w:r>
              <w:t xml:space="preserve"> </w:t>
            </w:r>
            <w:r w:rsidRPr="00031A85">
              <w:t>442</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Actifs financiers à la juste valeur par le biais de l’excédent ou du déficit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49</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50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Prêts*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329</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10</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343</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Créances à recevoir et à recouvrer</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593</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51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10</w:t>
            </w:r>
            <w:r>
              <w:t xml:space="preserve"> </w:t>
            </w:r>
            <w:r w:rsidRPr="00031A85">
              <w:t>888</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11</w:t>
            </w:r>
            <w:r>
              <w:t xml:space="preserve"> </w:t>
            </w:r>
            <w:r w:rsidRPr="00031A85">
              <w:t>622</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Trésorerie et équivalents de trésorerie</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39</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2</w:t>
            </w:r>
            <w:r>
              <w:t xml:space="preserve"> </w:t>
            </w:r>
            <w:r w:rsidRPr="00031A85">
              <w:t>394</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428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w:t>
            </w:r>
            <w:r>
              <w:t xml:space="preserve"> </w:t>
            </w:r>
            <w:r w:rsidRPr="00031A85">
              <w:t>220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22</w:t>
            </w:r>
            <w:r>
              <w:t xml:space="preserve"> </w:t>
            </w:r>
            <w:r w:rsidRPr="00031A85">
              <w:t>387</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2</w:t>
            </w:r>
            <w:r>
              <w:t xml:space="preserve"> </w:t>
            </w:r>
            <w:r w:rsidRPr="00031A85">
              <w:t>117</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28</w:t>
            </w:r>
            <w:r>
              <w:t xml:space="preserve"> </w:t>
            </w:r>
            <w:r w:rsidRPr="00031A85">
              <w:t>585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222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3</w:t>
            </w:r>
            <w:r>
              <w:t xml:space="preserve"> </w:t>
            </w:r>
            <w:r w:rsidRPr="00031A85">
              <w:t>045</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1</w:t>
            </w:r>
            <w:r>
              <w:t xml:space="preserve"> </w:t>
            </w:r>
            <w:r w:rsidRPr="00031A85">
              <w:t>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43</w:t>
            </w:r>
            <w:r>
              <w:t xml:space="preserve"> </w:t>
            </w:r>
            <w:r w:rsidRPr="00031A85">
              <w:t>734</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2</w:t>
            </w:r>
            <w:r>
              <w:t xml:space="preserve"> </w:t>
            </w:r>
            <w:r w:rsidRPr="00031A85">
              <w:t>156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50</w:t>
            </w:r>
            <w:r>
              <w:t xml:space="preserve"> </w:t>
            </w:r>
            <w:r w:rsidRPr="00031A85">
              <w:t>993</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Pr="003B65D7" w:rsidRDefault="00525E53" w:rsidP="00FB0C75">
            <w:pPr>
              <w:pStyle w:val="Text8pItalicLeft"/>
              <w:rPr>
                <w:rFonts w:cs="Verdana"/>
                <w:b/>
                <w:i w:val="0"/>
              </w:rPr>
            </w:pPr>
            <w:r>
              <w:rPr>
                <w:b/>
                <w:i w:val="0"/>
              </w:rPr>
              <w:t>Passifs financiers</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i w:val="0"/>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Passifs financiers à la juste valeur par le biais de l’excédent ou du déficit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100</w:t>
            </w: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100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w:t>
            </w:r>
            <w:r>
              <w:t>)</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Sommes à payer</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w:t>
            </w:r>
            <w:r>
              <w:t>)</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5</w:t>
            </w:r>
            <w:r>
              <w:t>)</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0</w:t>
            </w:r>
            <w:r>
              <w:t>)</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0</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r w:rsidRPr="00031A85">
              <w:t>39</w:t>
            </w:r>
            <w:r>
              <w:t xml:space="preserve"> </w:t>
            </w:r>
            <w:r w:rsidRPr="00031A85">
              <w:t>983</w:t>
            </w:r>
            <w:r>
              <w:t>)</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16</w:t>
            </w:r>
            <w:r>
              <w:t>)</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r w:rsidRPr="00031A85">
              <w:t>40</w:t>
            </w:r>
            <w:r>
              <w:t xml:space="preserve"> </w:t>
            </w:r>
            <w:r w:rsidRPr="00031A85">
              <w:t>005</w:t>
            </w:r>
            <w:r>
              <w:t>)</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101</w:t>
            </w:r>
            <w:r>
              <w:t>)</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5</w:t>
            </w:r>
            <w:r>
              <w:t>)</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0</w:t>
            </w:r>
            <w:r>
              <w:t>)</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0</w:t>
            </w:r>
            <w: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w:t>
            </w:r>
            <w:r w:rsidRPr="00031A85">
              <w:t>39</w:t>
            </w:r>
            <w:r>
              <w:t xml:space="preserve"> </w:t>
            </w:r>
            <w:r w:rsidRPr="00031A85">
              <w:t>883</w:t>
            </w:r>
            <w:r>
              <w:t>)</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16</w:t>
            </w:r>
            <w:r>
              <w:t>)</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w:t>
            </w:r>
            <w:r w:rsidRPr="00031A85">
              <w:t>40</w:t>
            </w:r>
            <w:r>
              <w:t xml:space="preserve"> </w:t>
            </w:r>
            <w:r w:rsidRPr="00031A85">
              <w:t>005</w:t>
            </w:r>
            <w:r>
              <w:t>)</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121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3</w:t>
            </w:r>
            <w:r>
              <w:t xml:space="preserve"> </w:t>
            </w:r>
            <w:r w:rsidRPr="00031A85">
              <w:t>040</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1</w:t>
            </w:r>
            <w:r>
              <w:t xml:space="preserve"> </w:t>
            </w:r>
            <w:r w:rsidRPr="00031A85">
              <w:t>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3</w:t>
            </w:r>
            <w:r>
              <w:t xml:space="preserve"> </w:t>
            </w:r>
            <w:r w:rsidRPr="00031A85">
              <w:t>851</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2</w:t>
            </w:r>
            <w:r>
              <w:t xml:space="preserve"> </w:t>
            </w:r>
            <w:r w:rsidRPr="00031A85">
              <w:t>140</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10</w:t>
            </w:r>
            <w:r>
              <w:t xml:space="preserve"> </w:t>
            </w:r>
            <w:r w:rsidRPr="00031A85">
              <w:t>987</w:t>
            </w:r>
          </w:p>
        </w:tc>
      </w:tr>
    </w:tbl>
    <w:p w:rsidR="00FB0C75" w:rsidRDefault="00FB0C75" w:rsidP="00FB0C75">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63" w:name="DOC_TBL00079_1_1"/>
            <w:bookmarkEnd w:id="563"/>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Right025"/>
              <w:rPr>
                <w:rFonts w:cs="Verdana"/>
              </w:rPr>
            </w:pPr>
            <w:r>
              <w:t>en Mio EUR</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sidRPr="00031A85">
              <w:t>31</w:t>
            </w:r>
            <w:r>
              <w:t>.</w:t>
            </w:r>
            <w:r w:rsidRPr="00031A85">
              <w:t>12</w:t>
            </w:r>
            <w:r>
              <w:t>.</w:t>
            </w:r>
            <w:r w:rsidRPr="00031A85">
              <w:t>2015</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Autres</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Total</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Actifs financiers</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Actifs financiers disponibles à la vente</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76</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9</w:t>
            </w:r>
            <w:r>
              <w:t xml:space="preserve"> </w:t>
            </w:r>
            <w:r w:rsidRPr="00031A85">
              <w:t>416</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28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9</w:t>
            </w:r>
            <w:r>
              <w:t xml:space="preserve"> </w:t>
            </w:r>
            <w:r w:rsidRPr="00031A85">
              <w:t>620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Actifs financiers à la juste valeur par le biais de l’excédent ou du déficit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Prêts*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354</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377</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Créances à recevoir et à recouvrer</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w:t>
            </w:r>
            <w:r w:rsidRPr="00031A85">
              <w:rPr>
                <w:i w:val="0"/>
              </w:rPr>
              <w:t>542</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53</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9</w:t>
            </w:r>
            <w:r>
              <w:t xml:space="preserve"> </w:t>
            </w:r>
            <w:r w:rsidRPr="00031A85">
              <w:t>555</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78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10</w:t>
            </w:r>
            <w:r>
              <w:t xml:space="preserve"> </w:t>
            </w:r>
            <w:r w:rsidRPr="00031A85">
              <w:t>324</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Trésorerie et équivalents de trésorerie</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36</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w:t>
            </w:r>
            <w:r>
              <w:t xml:space="preserve"> </w:t>
            </w:r>
            <w:r w:rsidRPr="00031A85">
              <w:t>785</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368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w:t>
            </w:r>
            <w:r>
              <w:t xml:space="preserve"> </w:t>
            </w:r>
            <w:r w:rsidRPr="00031A85">
              <w:t>287</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17</w:t>
            </w:r>
            <w:r>
              <w:t xml:space="preserve"> </w:t>
            </w:r>
            <w:r w:rsidRPr="00031A85">
              <w:t>342</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853</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sidRPr="00031A85">
              <w:t>21</w:t>
            </w:r>
            <w:r>
              <w:t xml:space="preserve"> </w:t>
            </w:r>
            <w:r w:rsidRPr="00031A85">
              <w:t>671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132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2</w:t>
            </w:r>
            <w:r>
              <w:t xml:space="preserve"> </w:t>
            </w:r>
            <w:r w:rsidRPr="00031A85">
              <w:t>403</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1</w:t>
            </w:r>
            <w:r>
              <w:t xml:space="preserve"> </w:t>
            </w:r>
            <w:r w:rsidRPr="00031A85">
              <w:t>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36</w:t>
            </w:r>
            <w:r>
              <w:t xml:space="preserve"> </w:t>
            </w:r>
            <w:r w:rsidRPr="00031A85">
              <w:t>667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977</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41</w:t>
            </w:r>
            <w:r>
              <w:t xml:space="preserve"> </w:t>
            </w:r>
            <w:r w:rsidRPr="00031A85">
              <w:t>992</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Passifs financiers</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Passifs financiers à la juste valeur par le biais de l’excédent ou du déficit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Sommes à payer</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w:t>
            </w:r>
            <w:r>
              <w:t>)</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2</w:t>
            </w:r>
            <w:r>
              <w:t>)</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0</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0</w:t>
            </w: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r w:rsidRPr="00031A85">
              <w:t>32</w:t>
            </w:r>
            <w:r>
              <w:t xml:space="preserve"> </w:t>
            </w:r>
            <w:r w:rsidRPr="00031A85">
              <w:t>187</w:t>
            </w:r>
            <w:r>
              <w:t>)</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w:t>
            </w:r>
            <w:r w:rsidRPr="00031A85">
              <w:t>1</w:t>
            </w:r>
            <w:r>
              <w:t>)</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r w:rsidRPr="00031A85">
              <w:t>32</w:t>
            </w:r>
            <w:r>
              <w:t xml:space="preserve"> </w:t>
            </w:r>
            <w:r w:rsidRPr="00031A85">
              <w:t>191</w:t>
            </w:r>
            <w:r>
              <w:t>)</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w:t>
            </w:r>
            <w:r>
              <w:t>)</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2</w:t>
            </w:r>
            <w:r>
              <w:t>)</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0</w:t>
            </w:r>
            <w: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w:t>
            </w:r>
            <w:r w:rsidRPr="00031A85">
              <w:t>32</w:t>
            </w:r>
            <w:r>
              <w:t xml:space="preserve"> </w:t>
            </w:r>
            <w:r w:rsidRPr="00031A85">
              <w:t>187</w:t>
            </w:r>
            <w:r>
              <w:t>)</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w:t>
            </w:r>
            <w:r>
              <w:t>)</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w:t>
            </w:r>
            <w:r w:rsidRPr="00031A85">
              <w:t>32</w:t>
            </w:r>
            <w:r>
              <w:t xml:space="preserve"> </w:t>
            </w:r>
            <w:r w:rsidRPr="00031A85">
              <w:t>191</w:t>
            </w:r>
            <w:r>
              <w:t>)</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Total</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131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2</w:t>
            </w:r>
            <w:r>
              <w:t xml:space="preserve"> </w:t>
            </w:r>
            <w:r w:rsidRPr="00031A85">
              <w:t>401</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1</w:t>
            </w:r>
            <w:r>
              <w:t xml:space="preserve"> </w:t>
            </w:r>
            <w:r w:rsidRPr="00031A85">
              <w:t>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4</w:t>
            </w:r>
            <w:r>
              <w:t xml:space="preserve"> </w:t>
            </w:r>
            <w:r w:rsidRPr="00031A85">
              <w:t>480</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w:t>
            </w:r>
            <w:r w:rsidRPr="00031A85">
              <w:t>976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sidRPr="00031A85">
              <w:t>9</w:t>
            </w:r>
            <w:r>
              <w:t xml:space="preserve"> </w:t>
            </w:r>
            <w:r w:rsidRPr="00031A85">
              <w:t>801</w:t>
            </w:r>
          </w:p>
        </w:tc>
      </w:tr>
    </w:tbl>
    <w:p w:rsidR="00FB0C75" w:rsidRPr="002B72C4" w:rsidRDefault="00525E53" w:rsidP="00FB0C75">
      <w:pPr>
        <w:pStyle w:val="Textstand-alone"/>
        <w:spacing w:before="60" w:after="0"/>
        <w:rPr>
          <w:i/>
          <w:sz w:val="14"/>
        </w:rPr>
      </w:pPr>
      <w:r>
        <w:rPr>
          <w:i/>
          <w:sz w:val="14"/>
        </w:rPr>
        <w:t>* Hors prêts «back-to-back» relatifs à l’assistance financière.</w:t>
      </w:r>
    </w:p>
    <w:p w:rsidR="00FB0C75" w:rsidRPr="00D5084A" w:rsidRDefault="00525E53" w:rsidP="00FB0C75">
      <w:pPr>
        <w:pStyle w:val="Textstand-alone"/>
        <w:spacing w:before="0"/>
        <w:sectPr w:rsidR="00FB0C75" w:rsidRPr="00D5084A" w:rsidSect="00FB0C75">
          <w:headerReference w:type="even" r:id="rId407"/>
          <w:headerReference w:type="default" r:id="rId408"/>
          <w:footerReference w:type="even" r:id="rId409"/>
          <w:footerReference w:type="default" r:id="rId410"/>
          <w:headerReference w:type="first" r:id="rId411"/>
          <w:footerReference w:type="first" r:id="rId412"/>
          <w:pgSz w:w="11906" w:h="16838"/>
          <w:pgMar w:top="1134" w:right="1134" w:bottom="1134" w:left="1134" w:header="709" w:footer="709" w:gutter="0"/>
          <w:cols w:space="708"/>
          <w:docGrid w:linePitch="360"/>
        </w:sectPr>
      </w:pPr>
      <w:r>
        <w:t xml:space="preserve"> </w:t>
      </w:r>
      <w:bookmarkEnd w:id="561"/>
    </w:p>
    <w:p w:rsidR="00FB0C75" w:rsidRDefault="00525E53" w:rsidP="00FB0C75">
      <w:pPr>
        <w:pStyle w:val="Textstand-alone"/>
      </w:pPr>
      <w:bookmarkStart w:id="564" w:name="_DMBM_9083"/>
      <w:r>
        <w:t xml:space="preserve">Si l’euro s’était apprécié de </w:t>
      </w:r>
      <w:r w:rsidRPr="00031A85">
        <w:t>10</w:t>
      </w:r>
      <w:r>
        <w:t> % par rapport aux autres monnaies, l'effet aurait été le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5" w:name="DOC_TBL00080_1_1"/>
            <w:bookmarkEnd w:id="565"/>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Résultat économique</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4</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272</w:t>
            </w:r>
            <w:r>
              <w:t>)</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43</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118</w:t>
            </w:r>
            <w:r>
              <w:t>)</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5</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212</w:t>
            </w:r>
            <w:r>
              <w:t>)</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38</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125</w:t>
            </w:r>
            <w:r>
              <w:t>)</w:t>
            </w:r>
          </w:p>
        </w:tc>
      </w:tr>
    </w:tbl>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6" w:name="DOC_TBL00081_1_1"/>
            <w:bookmarkEnd w:id="566"/>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Actifs nets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31</w:t>
            </w:r>
            <w:r>
              <w:t>.</w:t>
            </w:r>
            <w:r w:rsidRPr="00031A85">
              <w:t>12</w:t>
            </w:r>
            <w:r>
              <w:t>.</w:t>
            </w:r>
            <w:r w:rsidRPr="00031A85">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7</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5</w:t>
            </w:r>
            <w:r>
              <w:t>)</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4</w:t>
            </w:r>
            <w:r>
              <w:t>)</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31</w:t>
            </w:r>
            <w:r>
              <w:t>.</w:t>
            </w:r>
            <w:r w:rsidRPr="00031A85">
              <w:t>12</w:t>
            </w:r>
            <w:r>
              <w:t>.</w:t>
            </w:r>
            <w:r w:rsidRPr="00031A85">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7</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7</w:t>
            </w:r>
            <w:r>
              <w:t>)</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w:t>
            </w:r>
            <w:r>
              <w:t>)</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w:t>
            </w:r>
            <w:r>
              <w:t>)</w:t>
            </w:r>
          </w:p>
        </w:tc>
      </w:tr>
    </w:tbl>
    <w:p w:rsidR="00FB0C75" w:rsidRDefault="00FB0C75" w:rsidP="00FB0C75">
      <w:pPr>
        <w:pStyle w:val="Textstand-alone"/>
      </w:pPr>
    </w:p>
    <w:p w:rsidR="00FB0C75" w:rsidRDefault="00525E53" w:rsidP="00FB0C75">
      <w:pPr>
        <w:pStyle w:val="Textstand-alone"/>
      </w:pPr>
      <w:r>
        <w:t xml:space="preserve">Si l’euro s’était déprécié de </w:t>
      </w:r>
      <w:r w:rsidRPr="00031A85">
        <w:t>10</w:t>
      </w:r>
      <w:r>
        <w:t> % par rapport à ces monnaies, l'effet aurait été le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7" w:name="DOC_TBL00082_1_1"/>
            <w:bookmarkEnd w:id="567"/>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Résultat économique</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332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145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259</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152</w:t>
            </w:r>
          </w:p>
        </w:tc>
      </w:tr>
    </w:tbl>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8" w:name="DOC_TBL00083_1_1"/>
            <w:bookmarkEnd w:id="568"/>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Actifs nets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31</w:t>
            </w:r>
            <w:r>
              <w:t>.</w:t>
            </w:r>
            <w:r w:rsidRPr="00031A85">
              <w:t>12</w:t>
            </w:r>
            <w:r>
              <w:t>.</w:t>
            </w:r>
            <w:r w:rsidRPr="00031A85">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6</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31</w:t>
            </w:r>
            <w:r>
              <w:t>.</w:t>
            </w:r>
            <w:r w:rsidRPr="00031A85">
              <w:t>12</w:t>
            </w:r>
            <w:r>
              <w:t>.</w:t>
            </w:r>
            <w:r w:rsidRPr="00031A85">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8</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w:t>
            </w:r>
            <w:r w:rsidRPr="00031A85">
              <w:t>1</w:t>
            </w:r>
          </w:p>
        </w:tc>
      </w:tr>
    </w:tbl>
    <w:p w:rsidR="00FB0C75" w:rsidRDefault="00FB0C75" w:rsidP="00FB0C75">
      <w:pPr>
        <w:pStyle w:val="HEADER5"/>
      </w:pPr>
    </w:p>
    <w:p w:rsidR="00FB0C75" w:rsidRPr="006A3920" w:rsidRDefault="00525E53" w:rsidP="00FB0C75">
      <w:pPr>
        <w:pStyle w:val="HEADER5"/>
        <w:rPr>
          <w:b w:val="0"/>
        </w:rPr>
      </w:pPr>
      <w:r>
        <w:rPr>
          <w:b w:val="0"/>
        </w:rPr>
        <w:t>Activités d’emprunt et de prêt relatives à l’assistance financière</w:t>
      </w:r>
    </w:p>
    <w:p w:rsidR="00FB0C75" w:rsidRDefault="00525E53" w:rsidP="00FB0C75">
      <w:pPr>
        <w:pStyle w:val="Textstand-alone"/>
      </w:pPr>
      <w:r>
        <w:t xml:space="preserve">La plupart des actifs et passifs financiers sont libellés en euros, ce qui permet à l’UE d’être à l'abri de tout risque de change. Toutefois, l’UE accorde des prêts en USD par l’intermédiaire de l’instrument financier Euratom, qui sont financés par des emprunts d’un montant équivalent en USD (opération «back-to-back»). À la date du bilan, l’UE n’a pas de risque de change en rapport avec Euratom. </w:t>
      </w:r>
    </w:p>
    <w:p w:rsidR="00FB0C75" w:rsidRPr="006A3920" w:rsidRDefault="00525E53" w:rsidP="00FB0C75">
      <w:pPr>
        <w:pStyle w:val="HEADER5"/>
        <w:rPr>
          <w:b w:val="0"/>
        </w:rPr>
      </w:pPr>
      <w:r>
        <w:rPr>
          <w:b w:val="0"/>
        </w:rPr>
        <w:t>Trésorerie</w:t>
      </w:r>
    </w:p>
    <w:p w:rsidR="00FB0C75" w:rsidRDefault="00525E53" w:rsidP="00FB0C75">
      <w:pPr>
        <w:pStyle w:val="Textstand-alone"/>
      </w:pPr>
      <w:r>
        <w:t>Les ressources propres versées par les États membres dans des monnaies autres que l’euro sont conservées sur les comptes «ressources propres», conformément au règlement en la matière. Elles sont converties en euros lorsqu’elles sont nécessaires pour couvrir l’exécution des paiements. Les procédures appliquées pour la gestion de ces fonds sont régies par le règlement précité. Dans un nombre limité de cas, ces fonds sont utilisés directement pour des paiements à exécuter dans les mêmes monnaies.</w:t>
      </w:r>
    </w:p>
    <w:p w:rsidR="00FB0C75" w:rsidRDefault="00525E53" w:rsidP="00FB0C75">
      <w:pPr>
        <w:pStyle w:val="Textstand-alone"/>
      </w:pPr>
      <w:r>
        <w:t>Plusieurs comptes en monnaies de l’UE autres que l’euro, ainsi qu'en USD et en CHF, sont détenus par la Commission auprès de banques commerciales aux fins d’exécuter des paiements libellés dans ces mêmes monnaies. Ces comptes sont réapprovisionnés en fonction du montant des paiements à exécuter, de sorte que leurs soldes ne subissent pas d’exposition au risque de change.</w:t>
      </w:r>
    </w:p>
    <w:p w:rsidR="00FB0C75" w:rsidRDefault="00525E53" w:rsidP="00FB0C75">
      <w:pPr>
        <w:pStyle w:val="Textstand-alone"/>
      </w:pPr>
      <w:r>
        <w:t>Si des recettes diverses (hors ressources propres) sont reçues dans des monnaies autres que l’euro, elles sont soit transférées sur des comptes de la Commission libellés dans ces mêmes monnaies si elles sont nécessaires pour couvrir l’exécution de paiements, soit converties en euros et transférées sur des comptes libellés en euros. Les régies d’avances détenues dans des monnaies autres que l’euro sont réapprovisionnées en fonction des besoins estimés de paiements locaux à court terme dans ces mêmes monnaies. Les soldes de ces comptes sont maintenus dans les limites de leurs plafonds respectifs.</w:t>
      </w:r>
    </w:p>
    <w:p w:rsidR="00FB0C75" w:rsidRPr="006A3920" w:rsidRDefault="00525E53" w:rsidP="00FB0C75">
      <w:pPr>
        <w:pStyle w:val="HEADER5"/>
        <w:rPr>
          <w:b w:val="0"/>
        </w:rPr>
      </w:pPr>
      <w:r>
        <w:rPr>
          <w:b w:val="0"/>
        </w:rPr>
        <w:t>Amendes</w:t>
      </w:r>
    </w:p>
    <w:p w:rsidR="00FB0C75" w:rsidRPr="008D114F" w:rsidRDefault="00525E53" w:rsidP="00FB0C75">
      <w:pPr>
        <w:pStyle w:val="Textstand-alone"/>
        <w:rPr>
          <w:i/>
        </w:rPr>
      </w:pPr>
      <w:r>
        <w:rPr>
          <w:i/>
        </w:rPr>
        <w:t>Amendes encaissées à titre provisionnel (dépôts et portefeuille BUFI) et garanties bancaires</w:t>
      </w:r>
    </w:p>
    <w:p w:rsidR="00FB0C75" w:rsidRDefault="00525E53" w:rsidP="00FB0C75">
      <w:pPr>
        <w:pStyle w:val="Textstand-alone"/>
      </w:pPr>
      <w:r>
        <w:t>Étant donné que toutes les amendes sont imposées et payées en euros, il n’y a pas de risque de change.</w:t>
      </w:r>
    </w:p>
    <w:p w:rsidR="00FB0C75" w:rsidRPr="006A3920" w:rsidRDefault="00525E53" w:rsidP="00FB0C75">
      <w:pPr>
        <w:pStyle w:val="HEADER5"/>
        <w:rPr>
          <w:b w:val="0"/>
        </w:rPr>
      </w:pPr>
      <w:r>
        <w:rPr>
          <w:b w:val="0"/>
        </w:rPr>
        <w:t>Fonds de garantie relatif aux actions extérieures</w:t>
      </w:r>
    </w:p>
    <w:p w:rsidR="00FB0C75" w:rsidRDefault="00525E53" w:rsidP="00FB0C75">
      <w:pPr>
        <w:pStyle w:val="Textstand-alone"/>
      </w:pPr>
      <w:r>
        <w:t>Les actifs financiers de ce Fonds étant libellés en euros, il n’y a pas de risque de change. Les prêts subrogés à l’UE à la suite d'appels au Fonds résultant de la défaillance du bénéficiaire d’un prêt le sont dans leur monnaie d’origine, ce qui expose l’UE à un risque de change. Aucune opération visant à compenser les fluctuations de devises (opérations de «couverture») n’est effectuée, eu égard à l’incertitude quant aux délais de remboursement des prêts.</w:t>
      </w:r>
    </w:p>
    <w:p w:rsidR="00FB0C75" w:rsidRPr="006A3920" w:rsidRDefault="00525E53" w:rsidP="00FB0C75">
      <w:pPr>
        <w:pStyle w:val="HEADER5"/>
        <w:rPr>
          <w:b w:val="0"/>
          <w:noProof/>
        </w:rPr>
      </w:pPr>
      <w:r>
        <w:rPr>
          <w:b w:val="0"/>
          <w:noProof/>
        </w:rPr>
        <w:t>Fonds de garantie de l’EFSI</w:t>
      </w:r>
    </w:p>
    <w:p w:rsidR="00FB0C75" w:rsidRDefault="00525E53" w:rsidP="00FB0C75">
      <w:pPr>
        <w:pStyle w:val="Textstand-alone"/>
      </w:pPr>
      <w:r>
        <w:t>Les opérations au titre du Fonds de garantie de l'EFSI sont actuellement menées tant en EUR qu’en USD. Les premiers investissements dans des titres de créance à taux fixes libellés en USD (Trésor américain) ont été réalisés en décembre </w:t>
      </w:r>
      <w:r w:rsidRPr="00031A85">
        <w:t>2016</w:t>
      </w:r>
      <w:r>
        <w:t xml:space="preserve"> dans le but d’améliorer le rendement et de diversifier le risque de marché en s’exposant au marché américain. Le risque de change est limité par la passation de contrats dérivés (contrats de change à terme) couvrant la valeur boursière du portefeuille d'investissements en USD. La limite de l’exposition maximale au risque de change non couverte est fixée à </w:t>
      </w:r>
      <w:r w:rsidRPr="00031A85">
        <w:t>1</w:t>
      </w:r>
      <w:r>
        <w:t xml:space="preserve"> % de la valeur totale du portefeuille dans le cadre des critères de référence et des dotations stratégiques annuelles. Ainsi, des variations à la hausse ou à la baisse de la valeur boursière des investissements en USD inférieures ou supérieures à la limite de </w:t>
      </w:r>
      <w:r w:rsidRPr="00031A85">
        <w:t>1</w:t>
      </w:r>
      <w:r>
        <w:t> % entraîneraient une opération de rééquilibrage (un nouveau contrat à terme dans le même sens ou dans le sens inverse) permettant d’ajuster ou d’inverser la position couverte en conséquence. Les variations du taux de change EUR/USD peuvent également entraîner le réajustement de la couverture.</w:t>
      </w:r>
    </w:p>
    <w:p w:rsidR="00FB0C75" w:rsidRDefault="00525E53" w:rsidP="00FB0C75">
      <w:pPr>
        <w:pStyle w:val="Textstand-alone"/>
        <w:sectPr w:rsidR="00FB0C75" w:rsidSect="00FB0C75">
          <w:headerReference w:type="even" r:id="rId413"/>
          <w:headerReference w:type="default" r:id="rId414"/>
          <w:footerReference w:type="even" r:id="rId415"/>
          <w:footerReference w:type="default" r:id="rId416"/>
          <w:headerReference w:type="first" r:id="rId417"/>
          <w:footerReference w:type="first" r:id="rId418"/>
          <w:type w:val="continuous"/>
          <w:pgSz w:w="11906" w:h="16838"/>
          <w:pgMar w:top="1134" w:right="1134" w:bottom="1134" w:left="1134" w:header="709" w:footer="709" w:gutter="0"/>
          <w:cols w:space="708"/>
          <w:docGrid w:linePitch="360"/>
        </w:sectPr>
      </w:pPr>
      <w:r>
        <w:t xml:space="preserve"> </w:t>
      </w:r>
      <w:bookmarkEnd w:id="564"/>
    </w:p>
    <w:p w:rsidR="00FB0C75" w:rsidRDefault="00525E53" w:rsidP="00FB0C75">
      <w:pPr>
        <w:pStyle w:val="HEADER2Part2"/>
      </w:pPr>
      <w:bookmarkStart w:id="569" w:name="_DMBM_8937"/>
      <w:r>
        <w:t>RISQUE DE TAUX D’INTÉRÊT</w:t>
      </w:r>
    </w:p>
    <w:p w:rsidR="00FB0C75" w:rsidRDefault="00525E53" w:rsidP="00FB0C75">
      <w:pPr>
        <w:pStyle w:val="Textstand-alone"/>
      </w:pPr>
      <w:r>
        <w:t>Le tableau ci-dessous illustre la sensibilité des actifs financiers disponibles à la vente aux taux d’intérêt, en se fondant sur l’hypothèse d’une fluctuation des taux d'intérêt de +/- </w:t>
      </w:r>
      <w:r w:rsidRPr="00031A85">
        <w:t>100</w:t>
      </w:r>
      <w:r>
        <w:t> points de base (</w:t>
      </w:r>
      <w:r w:rsidRPr="00031A85">
        <w:t>1</w:t>
      </w:r>
      <w:r>
        <w:t>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040"/>
        <w:gridCol w:w="2680"/>
      </w:tblGrid>
      <w:tr w:rsidR="005B4EEC" w:rsidTr="00F418CB">
        <w:tc>
          <w:tcPr>
            <w:tcW w:w="502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0" w:name="DOC_TBL00084_1_1"/>
            <w:bookmarkEnd w:id="570"/>
          </w:p>
        </w:tc>
        <w:tc>
          <w:tcPr>
            <w:tcW w:w="204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268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F418CB">
        <w:tc>
          <w:tcPr>
            <w:tcW w:w="502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04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Hausse (+) / baisse (-) en points de base</w:t>
            </w:r>
          </w:p>
        </w:tc>
        <w:tc>
          <w:tcPr>
            <w:tcW w:w="268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Effet sur le résultat économique et les actifs nets</w:t>
            </w:r>
          </w:p>
        </w:tc>
      </w:tr>
      <w:tr w:rsidR="005B4EEC" w:rsidTr="00F418CB">
        <w:tc>
          <w:tcPr>
            <w:tcW w:w="50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sidRPr="00031A85">
              <w:t>2016</w:t>
            </w:r>
            <w:r>
              <w:t>: Actifs financiers disponibles à la vente</w:t>
            </w: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100</w:t>
            </w:r>
          </w:p>
        </w:tc>
        <w:tc>
          <w:tcPr>
            <w:tcW w:w="268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291</w:t>
            </w:r>
            <w:r>
              <w:t>)</w:t>
            </w:r>
          </w:p>
        </w:tc>
      </w:tr>
      <w:tr w:rsidR="005B4EEC" w:rsidTr="00F418CB">
        <w:tc>
          <w:tcPr>
            <w:tcW w:w="5028"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100</w:t>
            </w:r>
          </w:p>
        </w:tc>
        <w:tc>
          <w:tcPr>
            <w:tcW w:w="268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313</w:t>
            </w:r>
          </w:p>
        </w:tc>
      </w:tr>
      <w:tr w:rsidR="005B4EEC" w:rsidTr="00F418CB">
        <w:tc>
          <w:tcPr>
            <w:tcW w:w="502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sidRPr="00031A85">
              <w:t>2015</w:t>
            </w:r>
            <w:r>
              <w:t>: Actifs financiers disponibles à la vente</w:t>
            </w: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100</w:t>
            </w:r>
          </w:p>
        </w:tc>
        <w:tc>
          <w:tcPr>
            <w:tcW w:w="268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206</w:t>
            </w:r>
            <w:r>
              <w:t>)</w:t>
            </w:r>
          </w:p>
        </w:tc>
      </w:tr>
      <w:tr w:rsidR="005B4EEC" w:rsidTr="00F418CB">
        <w:tc>
          <w:tcPr>
            <w:tcW w:w="5028"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04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r w:rsidRPr="00031A85">
              <w:t>100</w:t>
            </w:r>
          </w:p>
        </w:tc>
        <w:tc>
          <w:tcPr>
            <w:tcW w:w="268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223</w:t>
            </w:r>
          </w:p>
        </w:tc>
      </w:tr>
    </w:tbl>
    <w:p w:rsidR="00FB0C75" w:rsidRPr="009C388F" w:rsidRDefault="00525E53" w:rsidP="00FB0C75">
      <w:pPr>
        <w:pStyle w:val="HEADER5"/>
        <w:spacing w:before="240"/>
        <w:rPr>
          <w:b w:val="0"/>
        </w:rPr>
      </w:pPr>
      <w:r>
        <w:rPr>
          <w:b w:val="0"/>
        </w:rPr>
        <w:t>Activités d’emprunt et de prêt relatives à l’assistance financière</w:t>
      </w:r>
    </w:p>
    <w:p w:rsidR="00FB0C75" w:rsidRPr="00714148" w:rsidRDefault="00525E53" w:rsidP="00FB0C75">
      <w:pPr>
        <w:pStyle w:val="Textstand-alone"/>
      </w:pPr>
      <w:r>
        <w:t xml:space="preserve">En raison de la nature de ses opérations d’emprunt et de prêt, l’UE possède d’importants actifs et passifs producteurs d’intérêts. Toutefois, les risques de taux d’intérêt qui résultent d’emprunts sont compensés par des prêts aux modalités similaires («back-to-back»). </w:t>
      </w:r>
    </w:p>
    <w:p w:rsidR="00FB0C75" w:rsidRPr="00714148" w:rsidRDefault="00525E53" w:rsidP="00FB0C75">
      <w:pPr>
        <w:pStyle w:val="HEADER5"/>
        <w:spacing w:before="240"/>
        <w:rPr>
          <w:b w:val="0"/>
        </w:rPr>
      </w:pPr>
      <w:r>
        <w:rPr>
          <w:b w:val="0"/>
        </w:rPr>
        <w:t>Trésorerie</w:t>
      </w:r>
    </w:p>
    <w:p w:rsidR="00FB0C75" w:rsidRPr="00714148" w:rsidRDefault="00525E53" w:rsidP="00FB0C75">
      <w:pPr>
        <w:pStyle w:val="Textstand-alone"/>
      </w:pPr>
      <w:r>
        <w:t xml:space="preserve">La trésorerie de la Commission ne contracte pas d’emprunts. Elle ne s’expose donc à aucun risque de taux d’intérêt. Des intérêts sont toutefois calculés sur les soldes qu’elle détient sur ses différents comptes bancaires. Par conséquent, la Commission a mis en place des mesures visant à garantir que les intérêts générés par ses comptes bancaires reflètent régulièrement les taux d’intérêt du marché, ainsi que leurs éventuelles fluctuations. </w:t>
      </w:r>
    </w:p>
    <w:p w:rsidR="00FB0C75" w:rsidRPr="00714148" w:rsidRDefault="00525E53" w:rsidP="00FB0C75">
      <w:pPr>
        <w:pStyle w:val="Textstand-alone"/>
      </w:pPr>
      <w:r>
        <w:t>Les comptes ouverts auprès des Trésors des États membres pour l’encaissement des ressources propres ne génèrent ni intérêts ni frais. Les comptes détenus auprès des banques centrales nationales peuvent être rémunérés aux taux officiels appliqués par chaque institution. Étant donné qu'à l'heure actuelle, une partie des rémunérations appliquées à ces comptes peut être négative, des procédures de gestion de trésorerie sont en place pour réduire au minimum les soldes présents sur ces comptes.</w:t>
      </w:r>
    </w:p>
    <w:p w:rsidR="00FB0C75" w:rsidRPr="00714148" w:rsidRDefault="00525E53" w:rsidP="00FB0C75">
      <w:pPr>
        <w:pStyle w:val="Textstand-alone"/>
      </w:pPr>
      <w:r>
        <w:t>Les comptes de ressources propres sont en outre protégés de tout effet que pourraient avoir les intérêts négatifs conformément au règlement (UE, Euratom) </w:t>
      </w:r>
      <w:r w:rsidRPr="00031A85">
        <w:t>2016</w:t>
      </w:r>
      <w:r>
        <w:t>/</w:t>
      </w:r>
      <w:r w:rsidRPr="00031A85">
        <w:t>804</w:t>
      </w:r>
      <w:r>
        <w:t xml:space="preserve"> du Conseil.</w:t>
      </w:r>
    </w:p>
    <w:p w:rsidR="00FB0C75" w:rsidRPr="00714148" w:rsidRDefault="00525E53" w:rsidP="00FB0C75">
      <w:pPr>
        <w:pStyle w:val="Textstand-alone"/>
      </w:pPr>
      <w:r>
        <w:t>Les soldes de fin de journée des comptes bancaires détenus auprès de banques commerciales rapportent quotidiennement des intérêts. Ceux-ci sont calculés selon des taux du marché variables auxquels s’applique une marge contractuelle (positive ou négative). La valeur plancher des taux appliqués par les banques commerciales est généralement fixée contractuellement à zéro. Par conséquent, les intérêts revenant à la Commission ne risquent pas d’être inférieurs aux taux du marché.</w:t>
      </w:r>
    </w:p>
    <w:p w:rsidR="00FB0C75" w:rsidRPr="00714148" w:rsidRDefault="00525E53" w:rsidP="00FB0C75">
      <w:pPr>
        <w:pStyle w:val="HEADER5"/>
        <w:rPr>
          <w:b w:val="0"/>
        </w:rPr>
      </w:pPr>
      <w:r>
        <w:rPr>
          <w:b w:val="0"/>
        </w:rPr>
        <w:t>Amendes</w:t>
      </w:r>
    </w:p>
    <w:p w:rsidR="00FB0C75" w:rsidRPr="00714148" w:rsidRDefault="00525E53" w:rsidP="00FB0C75">
      <w:pPr>
        <w:pStyle w:val="Textstand-alone"/>
        <w:rPr>
          <w:i/>
        </w:rPr>
      </w:pPr>
      <w:r>
        <w:rPr>
          <w:i/>
        </w:rPr>
        <w:t>Amendes encaissées à titre provisionnel (dépôts, portefeuille BUFI) et garanties bancaires</w:t>
      </w:r>
    </w:p>
    <w:p w:rsidR="00FB0C75" w:rsidRPr="00714148" w:rsidRDefault="00525E53" w:rsidP="00FB0C75">
      <w:pPr>
        <w:pStyle w:val="Textstand-alone"/>
      </w:pPr>
      <w:r>
        <w:t xml:space="preserve">Les intérêts perçus sur les dépôts ont une exposition limitée au risque de taux d'intérêt car ces derniers ont une durée inférieure à un an. Le reste du portefeuille est investi dans des titres dont la durée moyenne est de </w:t>
      </w:r>
      <w:r w:rsidRPr="00031A85">
        <w:t>2</w:t>
      </w:r>
      <w:r>
        <w:t>,</w:t>
      </w:r>
      <w:r w:rsidRPr="00031A85">
        <w:t>6</w:t>
      </w:r>
      <w:r>
        <w:t xml:space="preserve"> ans. </w:t>
      </w:r>
    </w:p>
    <w:p w:rsidR="00FB0C75" w:rsidRPr="00714148" w:rsidRDefault="00525E53" w:rsidP="00FB0C75">
      <w:pPr>
        <w:pStyle w:val="HEADER5"/>
        <w:rPr>
          <w:b w:val="0"/>
        </w:rPr>
      </w:pPr>
      <w:r>
        <w:rPr>
          <w:b w:val="0"/>
        </w:rPr>
        <w:t>Fonds de garantie relatif aux actions extérieures</w:t>
      </w:r>
    </w:p>
    <w:p w:rsidR="00FB0C75" w:rsidRPr="00714148" w:rsidRDefault="00525E53" w:rsidP="00FB0C75">
      <w:pPr>
        <w:pStyle w:val="Textstand-alone"/>
      </w:pPr>
      <w:r>
        <w:t xml:space="preserve">Le budget dont est provisionné le Fonds de garantie est investi dans un portefeuille d’instruments du marché monétaire et d’obligations à long terme, pendant une durée moyenne totale de </w:t>
      </w:r>
      <w:r w:rsidRPr="00031A85">
        <w:t>3</w:t>
      </w:r>
      <w:r>
        <w:t>,</w:t>
      </w:r>
      <w:r w:rsidRPr="00031A85">
        <w:t>59</w:t>
      </w:r>
      <w:r>
        <w:t xml:space="preserve"> ans. </w:t>
      </w:r>
    </w:p>
    <w:p w:rsidR="00FB0C75" w:rsidRPr="00714148" w:rsidRDefault="00525E53" w:rsidP="00FB0C75">
      <w:pPr>
        <w:pStyle w:val="HEADER5"/>
        <w:rPr>
          <w:b w:val="0"/>
        </w:rPr>
      </w:pPr>
      <w:r>
        <w:rPr>
          <w:b w:val="0"/>
        </w:rPr>
        <w:t>Fonds de garantie de l’EFSI</w:t>
      </w:r>
    </w:p>
    <w:p w:rsidR="00FB0C75" w:rsidRDefault="00525E53" w:rsidP="00FB0C75">
      <w:pPr>
        <w:pStyle w:val="Textstand-alone"/>
      </w:pPr>
      <w:r>
        <w:t xml:space="preserve">Le budget dont est provisionné le Fonds de garantie de l’EFSI est investi dans un portefeuille d’instruments du marché monétaire et d’obligations à long terme, pendant une durée moyenne totale de </w:t>
      </w:r>
      <w:r w:rsidRPr="00031A85">
        <w:t>3</w:t>
      </w:r>
      <w:r>
        <w:t>,</w:t>
      </w:r>
      <w:r w:rsidRPr="00031A85">
        <w:t>5</w:t>
      </w:r>
      <w:r>
        <w:t> ans.</w:t>
      </w:r>
    </w:p>
    <w:p w:rsidR="00FB0C75" w:rsidRDefault="00525E53" w:rsidP="00FB0C75">
      <w:pPr>
        <w:pStyle w:val="Textstand-alone"/>
        <w:sectPr w:rsidR="00FB0C75" w:rsidSect="00FB0C75">
          <w:headerReference w:type="even" r:id="rId419"/>
          <w:headerReference w:type="default" r:id="rId420"/>
          <w:footerReference w:type="even" r:id="rId421"/>
          <w:footerReference w:type="default" r:id="rId422"/>
          <w:headerReference w:type="first" r:id="rId423"/>
          <w:footerReference w:type="first" r:id="rId424"/>
          <w:type w:val="continuous"/>
          <w:pgSz w:w="11906" w:h="16838"/>
          <w:pgMar w:top="1134" w:right="1134" w:bottom="1134" w:left="1134" w:header="709" w:footer="709" w:gutter="0"/>
          <w:cols w:space="708"/>
          <w:docGrid w:linePitch="360"/>
        </w:sectPr>
      </w:pPr>
      <w:r>
        <w:t xml:space="preserve"> </w:t>
      </w:r>
      <w:bookmarkEnd w:id="569"/>
    </w:p>
    <w:p w:rsidR="00FB0C75" w:rsidRDefault="00525E53" w:rsidP="00FB0C75">
      <w:pPr>
        <w:pStyle w:val="HEADER2Part2"/>
      </w:pPr>
      <w:bookmarkStart w:id="571" w:name="_DMBM_8899"/>
      <w:r>
        <w:t>RISQUE DE CRÉDIT</w:t>
      </w:r>
    </w:p>
    <w:p w:rsidR="00FB0C75" w:rsidRDefault="00525E53" w:rsidP="00FB0C75">
      <w:pPr>
        <w:pStyle w:val="Textstand-alone"/>
      </w:pPr>
      <w:r>
        <w:t>Les montants qui représentent l’exposition de l’UE au risque de crédit en fin de période de référence sont les valeurs comptables des instruments financiers tels qu'indiquées dans la note </w:t>
      </w:r>
      <w:r w:rsidRPr="00031A85">
        <w:rPr>
          <w:b/>
        </w:rPr>
        <w:t>2</w:t>
      </w:r>
      <w:r>
        <w:t>.</w:t>
      </w:r>
    </w:p>
    <w:p w:rsidR="00FB0C75" w:rsidRPr="00683933" w:rsidRDefault="00525E53" w:rsidP="00FB0C75">
      <w:pPr>
        <w:pStyle w:val="HEADER5"/>
        <w:rPr>
          <w:b w:val="0"/>
        </w:rPr>
      </w:pPr>
      <w:r>
        <w:rPr>
          <w:b w:val="0"/>
        </w:rPr>
        <w:t>Analyse de l’âge des actifs financiers non dépréciés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rsidR="005B4EEC">
        <w:tc>
          <w:tcPr>
            <w:tcW w:w="3369"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2" w:name="DOC_TBL00085_1_1"/>
            <w:bookmarkEnd w:id="572"/>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3807"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Mio EUR</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Ni échus ni dépréciés</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Échus mais non dépréciés</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t xml:space="preserve">&lt; </w:t>
            </w:r>
            <w:r w:rsidRPr="00031A85">
              <w:t>1</w:t>
            </w:r>
            <w:r>
              <w:t xml:space="preserve"> an</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rsidRPr="00031A85">
              <w:t>1</w:t>
            </w:r>
            <w:r>
              <w:t>-</w:t>
            </w:r>
            <w:r w:rsidRPr="00031A85">
              <w:t>5</w:t>
            </w:r>
            <w:r>
              <w:t xml:space="preserve"> ans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t xml:space="preserve">&gt; </w:t>
            </w:r>
            <w:r w:rsidRPr="00031A85">
              <w:t>5</w:t>
            </w:r>
            <w:r>
              <w:t xml:space="preserve"> ans</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55</w:t>
            </w:r>
            <w:r>
              <w:t xml:space="preserve"> </w:t>
            </w:r>
            <w:r w:rsidRPr="00031A85">
              <w:t>477</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55</w:t>
            </w:r>
            <w:r>
              <w:t xml:space="preserve"> </w:t>
            </w:r>
            <w:r w:rsidRPr="00031A85">
              <w:t>476</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Créances à recevoir et à recouvrer</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11</w:t>
            </w:r>
            <w:r>
              <w:t xml:space="preserve"> </w:t>
            </w:r>
            <w:r w:rsidRPr="00031A85">
              <w:t>622</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310</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130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909</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273</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Actifs financiers à la juste valeur par le biais de l’excédent ou du déficit</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099</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65</w:t>
            </w:r>
            <w:r>
              <w:t xml:space="preserve"> </w:t>
            </w:r>
            <w:r w:rsidRPr="00031A85">
              <w:t>786</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131</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909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273</w:t>
            </w:r>
          </w:p>
        </w:tc>
      </w:tr>
      <w:tr w:rsidR="005B4EEC">
        <w:tc>
          <w:tcPr>
            <w:tcW w:w="336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Prêts</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57</w:t>
            </w:r>
            <w:r>
              <w:t xml:space="preserve"> </w:t>
            </w:r>
            <w:r w:rsidRPr="00031A85">
              <w:t>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57</w:t>
            </w:r>
            <w:r>
              <w:t xml:space="preserve"> </w:t>
            </w:r>
            <w:r w:rsidRPr="00031A85">
              <w:t>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Créances à recevoir et à recouvrer</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10</w:t>
            </w:r>
            <w:r>
              <w:t xml:space="preserve"> </w:t>
            </w:r>
            <w:r w:rsidRPr="00031A85">
              <w:t>324</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8</w:t>
            </w:r>
            <w:r>
              <w:t xml:space="preserve"> </w:t>
            </w:r>
            <w:r w:rsidRPr="00031A85">
              <w:t>672</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120</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384</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148</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67</w:t>
            </w:r>
            <w:r>
              <w:t xml:space="preserve"> </w:t>
            </w:r>
            <w:r w:rsidRPr="00031A85">
              <w:t>575</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65</w:t>
            </w:r>
            <w:r>
              <w:t xml:space="preserve"> </w:t>
            </w:r>
            <w:r w:rsidRPr="00031A85">
              <w:t>922</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120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w:t>
            </w:r>
            <w:r>
              <w:t xml:space="preserve"> </w:t>
            </w:r>
            <w:r w:rsidRPr="00031A85">
              <w:t>384</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148</w:t>
            </w:r>
          </w:p>
        </w:tc>
      </w:tr>
    </w:tbl>
    <w:p w:rsidR="00FB0C75" w:rsidRDefault="00525E53" w:rsidP="00FB0C75">
      <w:pPr>
        <w:pStyle w:val="Textstand-alone"/>
      </w:pPr>
      <w:r>
        <w:t xml:space="preserve">Les créances à recevoir et à recouvrer entre </w:t>
      </w:r>
      <w:r w:rsidRPr="00031A85">
        <w:t>1</w:t>
      </w:r>
      <w:r>
        <w:t xml:space="preserve"> et </w:t>
      </w:r>
      <w:r w:rsidRPr="00031A85">
        <w:t>5</w:t>
      </w:r>
      <w:r>
        <w:t xml:space="preserve"> ans comprennent les créances à recouvrer liées aux amendes en matière de concurrence, soit </w:t>
      </w:r>
      <w:r w:rsidRPr="00031A85">
        <w:t>870</w:t>
      </w:r>
      <w:r>
        <w:t> millions d'EUR, qui sont dans une large mesure couvertes par des garanties bancaires, de sorte que la Commission n'est que peu exposée au risque de crédit. Ces garanties sont fournies par les entreprises sanctionnées et se substituent à l’exécution de paiements provisionnels.</w:t>
      </w:r>
    </w:p>
    <w:p w:rsidR="003B65D7" w:rsidRPr="00475927" w:rsidRDefault="003B65D7" w:rsidP="003B65D7">
      <w:pPr>
        <w:pStyle w:val="Textstand-alone"/>
        <w:spacing w:before="0" w:after="0"/>
      </w:pPr>
    </w:p>
    <w:p w:rsidR="00FB0C75" w:rsidRPr="00683933" w:rsidRDefault="00525E53" w:rsidP="00FB0C75">
      <w:pPr>
        <w:pStyle w:val="HEADER5"/>
        <w:rPr>
          <w:b w:val="0"/>
        </w:rPr>
      </w:pPr>
      <w:r>
        <w:rPr>
          <w:b w:val="0"/>
        </w:rPr>
        <w:t>Qualité de crédit des actifs financiers qui ne sont ni échus ni dépréciés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250"/>
        <w:gridCol w:w="1302"/>
        <w:gridCol w:w="1267"/>
        <w:gridCol w:w="1274"/>
        <w:gridCol w:w="1522"/>
      </w:tblGrid>
      <w:tr w:rsidR="005B4EEC">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3" w:name="DOC_TBL00086_1_1"/>
            <w:bookmarkEnd w:id="573"/>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sidRPr="00031A85">
              <w:t>31</w:t>
            </w:r>
            <w:r>
              <w:t>.</w:t>
            </w:r>
            <w:r w:rsidRPr="00031A85">
              <w:t>12</w:t>
            </w:r>
            <w:r>
              <w:t>.</w:t>
            </w:r>
            <w:r w:rsidRPr="00031A85">
              <w:t>2016</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DAV*</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Actifs financiers à la JVED**</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Prêts et créances à recevoir</w:t>
            </w:r>
          </w:p>
        </w:tc>
        <w:tc>
          <w:tcPr>
            <w:tcW w:w="112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Trésorerie</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Total</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t xml:space="preserve">Contreparties avec </w:t>
            </w:r>
            <w:r>
              <w:br/>
              <w:t>notation de crédit externe</w:t>
            </w:r>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Première qualité et haute qualité</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451</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386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21</w:t>
            </w:r>
            <w:r>
              <w:t xml:space="preserve"> </w:t>
            </w:r>
            <w:r w:rsidRPr="00031A85">
              <w:t>990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31</w:t>
            </w:r>
            <w:r>
              <w:t xml:space="preserve"> </w:t>
            </w:r>
            <w:r w:rsidRPr="00031A85">
              <w:t>828</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Qualité moyenne supérieure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412</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23</w:t>
            </w:r>
            <w:r>
              <w:t xml:space="preserve"> </w:t>
            </w:r>
            <w:r w:rsidRPr="00031A85">
              <w:t>826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w:t>
            </w:r>
            <w:r>
              <w:t xml:space="preserve"> </w:t>
            </w:r>
            <w:r w:rsidRPr="00031A85">
              <w:t>325</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30</w:t>
            </w:r>
            <w:r>
              <w:t xml:space="preserve"> </w:t>
            </w:r>
            <w:r w:rsidRPr="00031A85">
              <w:t>563</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Qualité moyenne inférieure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056</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532</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492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081</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Catégorie spéculative</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27</w:t>
            </w:r>
            <w:r>
              <w:t xml:space="preserve"> </w:t>
            </w:r>
            <w:r w:rsidRPr="00031A85">
              <w:t>724</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744</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28</w:t>
            </w:r>
            <w:r>
              <w:t xml:space="preserve"> </w:t>
            </w:r>
            <w:r w:rsidRPr="00031A85">
              <w:t>468</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59</w:t>
            </w:r>
            <w:r>
              <w:t xml:space="preserve"> </w:t>
            </w:r>
            <w:r w:rsidRPr="00031A85">
              <w:t>469</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28</w:t>
            </w:r>
            <w:r>
              <w:t xml:space="preserve"> </w:t>
            </w:r>
            <w:r w:rsidRPr="00031A85">
              <w:t>552</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96</w:t>
            </w:r>
            <w:r>
              <w:t xml:space="preserve"> </w:t>
            </w:r>
            <w:r w:rsidRPr="00031A85">
              <w:t>941</w:t>
            </w:r>
          </w:p>
        </w:tc>
      </w:tr>
      <w:tr w:rsidR="005B4EEC">
        <w:tc>
          <w:tcPr>
            <w:tcW w:w="321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t>Contreparties sans notation de crédit externe</w:t>
            </w:r>
          </w:p>
        </w:tc>
        <w:tc>
          <w:tcPr>
            <w:tcW w:w="127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Groupe </w:t>
            </w:r>
            <w:r w:rsidRPr="00031A85">
              <w:t>1</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238</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272</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 xml:space="preserve">Groupe </w:t>
            </w:r>
            <w:r w:rsidRPr="00031A85">
              <w:t>2</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79</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79</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317</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33</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w:t>
            </w:r>
            <w:r>
              <w:t xml:space="preserve"> </w:t>
            </w:r>
            <w:r w:rsidRPr="00031A85">
              <w:t>351</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65</w:t>
            </w:r>
            <w:r>
              <w:t xml:space="preserve"> </w:t>
            </w:r>
            <w:r w:rsidRPr="00031A85">
              <w:t>786</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28</w:t>
            </w:r>
            <w:r>
              <w:t xml:space="preserve"> </w:t>
            </w:r>
            <w:r w:rsidRPr="00031A85">
              <w:t>585</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103</w:t>
            </w:r>
            <w:r>
              <w:t xml:space="preserve"> </w:t>
            </w:r>
            <w:r w:rsidRPr="00031A85">
              <w:t>292</w:t>
            </w:r>
          </w:p>
        </w:tc>
      </w:tr>
    </w:tbl>
    <w:p w:rsidR="00FB0C75" w:rsidRDefault="00FB0C75" w:rsidP="00FB0C75">
      <w:pPr>
        <w:pStyle w:val="Textstand-alone"/>
        <w:tabs>
          <w:tab w:val="left" w:pos="284"/>
        </w:tabs>
        <w:spacing w:before="0" w:after="0"/>
        <w:rPr>
          <w:i/>
          <w:sz w:val="14"/>
        </w:rPr>
      </w:pPr>
    </w:p>
    <w:p w:rsidR="00FB0C75" w:rsidRDefault="00FB0C75" w:rsidP="00FB0C75">
      <w:pPr>
        <w:pStyle w:val="Textstand-alone"/>
        <w:tabs>
          <w:tab w:val="left" w:pos="284"/>
        </w:tabs>
        <w:spacing w:before="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4" w:name="DOC_TBL00087_1_1"/>
            <w:bookmarkEnd w:id="574"/>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sidRPr="00031A85">
              <w:t>31</w:t>
            </w:r>
            <w:r>
              <w:t>.</w:t>
            </w:r>
            <w:r w:rsidRPr="00031A85">
              <w:t>12</w:t>
            </w:r>
            <w:r>
              <w:t>.</w:t>
            </w:r>
            <w:r w:rsidRPr="00031A85">
              <w:t>2015</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DAV*</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Prêts et créances à recevoir</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Trésorerie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Total</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 xml:space="preserve">Contreparties avec </w:t>
            </w:r>
            <w:r>
              <w:br/>
              <w:t>notation de crédit externe</w:t>
            </w: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Première qualité et haute qualité</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5</w:t>
            </w:r>
            <w:r>
              <w:t xml:space="preserve"> </w:t>
            </w:r>
            <w:r w:rsidRPr="00031A85">
              <w:t>945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w:t>
            </w:r>
            <w:r>
              <w:t xml:space="preserve"> </w:t>
            </w:r>
            <w:r w:rsidRPr="00031A85">
              <w:t>256</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16</w:t>
            </w:r>
            <w:r>
              <w:t xml:space="preserve"> </w:t>
            </w:r>
            <w:r w:rsidRPr="00031A85">
              <w:t>147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25</w:t>
            </w:r>
            <w:r>
              <w:t xml:space="preserve"> </w:t>
            </w:r>
            <w:r w:rsidRPr="00031A85">
              <w:t>349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Qualité moyenne supérieure</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087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23</w:t>
            </w:r>
            <w:r>
              <w:t xml:space="preserve"> </w:t>
            </w:r>
            <w:r w:rsidRPr="00031A85">
              <w:t>818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503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29</w:t>
            </w:r>
            <w:r>
              <w:t xml:space="preserve"> </w:t>
            </w:r>
            <w:r w:rsidRPr="00031A85">
              <w:t>409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Qualité moyenne inférieure</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1</w:t>
            </w:r>
            <w:r>
              <w:t xml:space="preserve"> </w:t>
            </w:r>
            <w:r w:rsidRPr="00031A85">
              <w:t>247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527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263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6</w:t>
            </w:r>
            <w:r>
              <w:t xml:space="preserve"> </w:t>
            </w:r>
            <w:r w:rsidRPr="00031A85">
              <w:t>037</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Catégorie spéculative</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29</w:t>
            </w:r>
            <w:r>
              <w:t xml:space="preserve"> </w:t>
            </w:r>
            <w:r w:rsidRPr="00031A85">
              <w:t>371</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732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30</w:t>
            </w:r>
            <w:r>
              <w:t xml:space="preserve"> </w:t>
            </w:r>
            <w:r w:rsidRPr="00031A85">
              <w:t>136</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60</w:t>
            </w:r>
            <w:r>
              <w:t xml:space="preserve"> </w:t>
            </w:r>
            <w:r w:rsidRPr="00031A85">
              <w:t>973</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21</w:t>
            </w:r>
            <w:r>
              <w:t xml:space="preserve"> </w:t>
            </w:r>
            <w:r w:rsidRPr="00031A85">
              <w:t>646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90</w:t>
            </w:r>
            <w:r>
              <w:t xml:space="preserve"> </w:t>
            </w:r>
            <w:r w:rsidRPr="00031A85">
              <w:t>930</w:t>
            </w:r>
          </w:p>
        </w:tc>
      </w:tr>
      <w:tr w:rsidR="005B4EEC">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Contreparties sans notation de crédit externe</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Groupe </w:t>
            </w:r>
            <w:r w:rsidRPr="00031A85">
              <w:t>1</w:t>
            </w:r>
          </w:p>
        </w:tc>
        <w:tc>
          <w:tcPr>
            <w:tcW w:w="1630" w:type="dxa"/>
            <w:tcBorders>
              <w:top w:val="nil"/>
              <w:left w:val="nil"/>
              <w:bottom w:val="nil"/>
              <w:right w:val="nil"/>
            </w:tcBorders>
            <w:tcMar>
              <w:top w:w="0" w:type="dxa"/>
              <w:left w:w="108" w:type="dxa"/>
              <w:bottom w:w="0" w:type="dxa"/>
              <w:right w:w="108" w:type="dxa"/>
            </w:tcMar>
          </w:tcPr>
          <w:p w:rsidR="00FB0C75" w:rsidRDefault="00BD1908"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855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25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sidRPr="00031A85">
              <w:t>4</w:t>
            </w:r>
            <w:r>
              <w:t xml:space="preserve"> </w:t>
            </w:r>
            <w:r w:rsidRPr="00031A85">
              <w:t>880</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 xml:space="preserve">Groupe </w:t>
            </w:r>
            <w:r w:rsidRPr="00031A85">
              <w:t>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95</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w:t>
            </w:r>
            <w:r w:rsidRPr="00031A85">
              <w:t>95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950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25</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w:t>
            </w:r>
            <w:r>
              <w:t xml:space="preserve"> </w:t>
            </w:r>
            <w:r w:rsidRPr="00031A85">
              <w:t>975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Total</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8</w:t>
            </w:r>
            <w:r>
              <w:t xml:space="preserve"> </w:t>
            </w:r>
            <w:r w:rsidRPr="00031A85">
              <w:t>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65</w:t>
            </w:r>
            <w:r>
              <w:t xml:space="preserve"> </w:t>
            </w:r>
            <w:r w:rsidRPr="00031A85">
              <w:t>922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21</w:t>
            </w:r>
            <w:r>
              <w:t xml:space="preserve"> </w:t>
            </w:r>
            <w:r w:rsidRPr="00031A85">
              <w:t>671</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95</w:t>
            </w:r>
            <w:r>
              <w:t xml:space="preserve"> </w:t>
            </w:r>
            <w:r w:rsidRPr="00031A85">
              <w:t>905</w:t>
            </w:r>
          </w:p>
        </w:tc>
      </w:tr>
    </w:tbl>
    <w:p w:rsidR="00FB0C75" w:rsidRDefault="00525E53" w:rsidP="00FB0C75">
      <w:pPr>
        <w:pStyle w:val="Textstand-alone"/>
        <w:tabs>
          <w:tab w:val="left" w:pos="284"/>
        </w:tabs>
        <w:spacing w:before="60" w:after="0"/>
        <w:rPr>
          <w:i/>
          <w:sz w:val="14"/>
        </w:rPr>
      </w:pPr>
      <w:r>
        <w:rPr>
          <w:i/>
          <w:sz w:val="14"/>
        </w:rPr>
        <w:t xml:space="preserve">* </w:t>
      </w:r>
      <w:r>
        <w:tab/>
      </w:r>
      <w:r>
        <w:rPr>
          <w:i/>
          <w:sz w:val="14"/>
        </w:rPr>
        <w:t>Actifs financiers disponibles à la vente (à l’exception des instruments de fonds propres et de l’Unitary Fund)</w:t>
      </w:r>
      <w:r>
        <w:rPr>
          <w:b/>
          <w:i/>
          <w:sz w:val="14"/>
        </w:rPr>
        <w:t>.</w:t>
      </w:r>
    </w:p>
    <w:p w:rsidR="00FB0C75" w:rsidRPr="00EC61CE" w:rsidRDefault="00525E53" w:rsidP="00FB0C75">
      <w:pPr>
        <w:pStyle w:val="Textstand-alone"/>
        <w:tabs>
          <w:tab w:val="left" w:pos="284"/>
        </w:tabs>
        <w:spacing w:before="0"/>
        <w:rPr>
          <w:i/>
          <w:sz w:val="14"/>
        </w:rPr>
      </w:pPr>
      <w:r>
        <w:rPr>
          <w:i/>
          <w:sz w:val="14"/>
        </w:rPr>
        <w:t>**</w:t>
      </w:r>
      <w:r>
        <w:tab/>
      </w:r>
      <w:r>
        <w:rPr>
          <w:i/>
          <w:sz w:val="14"/>
        </w:rPr>
        <w:t>Actifs financiers à la juste valeur par le biais de l’excédent ou du déficit</w:t>
      </w:r>
    </w:p>
    <w:p w:rsidR="00FB0C75" w:rsidRDefault="00525E53" w:rsidP="00FB0C75">
      <w:pPr>
        <w:pStyle w:val="Textstand-alone"/>
      </w:pPr>
      <w:r>
        <w:t>Les actifs financiers disponibles à la vente revêtant la forme d’instruments de capitaux propres sans notation de crédit externe ne figurent pas dans le tableau ci-dessus. Les quatre catégories de risque susmentionnées reposent en principe sur les catégories des agences de notation externes et correspondent à:</w:t>
      </w:r>
    </w:p>
    <w:p w:rsidR="00FB0C75" w:rsidRPr="00676E3C" w:rsidRDefault="00525E53" w:rsidP="00FB0C75">
      <w:pPr>
        <w:pStyle w:val="Textstand-aloneBulletpoint"/>
        <w:ind w:left="754" w:hanging="357"/>
      </w:pPr>
      <w:r>
        <w:t>première qualité et haute qualité: Moody P-</w:t>
      </w:r>
      <w:r w:rsidRPr="00031A85">
        <w:t>1</w:t>
      </w:r>
      <w:r>
        <w:t>, Aaa – Aa</w:t>
      </w:r>
      <w:r w:rsidRPr="00031A85">
        <w:t>3</w:t>
      </w:r>
      <w:r>
        <w:t>; S&amp;P A-</w:t>
      </w:r>
      <w:r w:rsidRPr="00031A85">
        <w:t>1</w:t>
      </w:r>
      <w:r>
        <w:t>+, A-</w:t>
      </w:r>
      <w:r w:rsidRPr="00031A85">
        <w:t>1</w:t>
      </w:r>
      <w:r>
        <w:t>, AAA – AA -; Fitch F</w:t>
      </w:r>
      <w:r w:rsidRPr="00031A85">
        <w:t>1</w:t>
      </w:r>
      <w:r>
        <w:t>+, F</w:t>
      </w:r>
      <w:r w:rsidRPr="00031A85">
        <w:t>1</w:t>
      </w:r>
      <w:r>
        <w:t>, AAA – AA- et équivalent;</w:t>
      </w:r>
    </w:p>
    <w:p w:rsidR="00FB0C75" w:rsidRPr="00676E3C" w:rsidRDefault="00525E53" w:rsidP="00FB0C75">
      <w:pPr>
        <w:pStyle w:val="Textstand-aloneBulletpoint"/>
        <w:ind w:left="754" w:hanging="357"/>
      </w:pPr>
      <w:r>
        <w:t>qualité moyenne supérieure: Moody P-</w:t>
      </w:r>
      <w:r w:rsidRPr="00031A85">
        <w:t>2</w:t>
      </w:r>
      <w:r>
        <w:t>, A</w:t>
      </w:r>
      <w:r w:rsidRPr="00031A85">
        <w:t>1</w:t>
      </w:r>
      <w:r>
        <w:t xml:space="preserve"> – A</w:t>
      </w:r>
      <w:r w:rsidRPr="00031A85">
        <w:t>3</w:t>
      </w:r>
      <w:r>
        <w:t>; S&amp;P A-</w:t>
      </w:r>
      <w:r w:rsidRPr="00031A85">
        <w:t>2</w:t>
      </w:r>
      <w:r>
        <w:t>, A+ - A-; Fitch F</w:t>
      </w:r>
      <w:r w:rsidRPr="00031A85">
        <w:t>2</w:t>
      </w:r>
      <w:r>
        <w:t>, A+ - A- et équivalent;</w:t>
      </w:r>
    </w:p>
    <w:p w:rsidR="00FB0C75" w:rsidRPr="00676E3C" w:rsidRDefault="00525E53" w:rsidP="00FB0C75">
      <w:pPr>
        <w:pStyle w:val="Textstand-aloneBulletpoint"/>
        <w:ind w:left="754" w:hanging="357"/>
      </w:pPr>
      <w:r>
        <w:t>qualité moyenne inférieure: Moody P-</w:t>
      </w:r>
      <w:r w:rsidRPr="00031A85">
        <w:t>3</w:t>
      </w:r>
      <w:r>
        <w:t>, Baa</w:t>
      </w:r>
      <w:r w:rsidRPr="00031A85">
        <w:t>1</w:t>
      </w:r>
      <w:r>
        <w:t xml:space="preserve"> – Baa</w:t>
      </w:r>
      <w:r w:rsidRPr="00031A85">
        <w:t>3</w:t>
      </w:r>
      <w:r>
        <w:t>, S&amp;P A-</w:t>
      </w:r>
      <w:r w:rsidRPr="00031A85">
        <w:t>3</w:t>
      </w:r>
      <w:r>
        <w:t>, BBB+ - BBB-; Fitch F-</w:t>
      </w:r>
      <w:r w:rsidRPr="00031A85">
        <w:t>3</w:t>
      </w:r>
      <w:r>
        <w:t>, BBBB+ - BBB- et équivalent;</w:t>
      </w:r>
    </w:p>
    <w:p w:rsidR="00FB0C75" w:rsidRPr="00676E3C" w:rsidRDefault="00525E53" w:rsidP="00FB0C75">
      <w:pPr>
        <w:pStyle w:val="Textstand-aloneBulletpoint"/>
        <w:ind w:left="754" w:hanging="357"/>
      </w:pPr>
      <w:r>
        <w:t>catégorie spéculative: Moody non prime, Ba</w:t>
      </w:r>
      <w:r w:rsidRPr="00031A85">
        <w:t>1</w:t>
      </w:r>
      <w:r>
        <w:t xml:space="preserve"> – C; S&amp;P B, C, BB+ - D; Fitch B, C, BB+ - D et équivalent.</w:t>
      </w:r>
    </w:p>
    <w:p w:rsidR="00FB0C75" w:rsidRPr="00E50A6B" w:rsidRDefault="00525E53" w:rsidP="00FB0C75">
      <w:pPr>
        <w:pStyle w:val="Textstand-alone"/>
      </w:pPr>
      <w:r>
        <w:t>L’UE utilise les catégories de notation de ces agences externes comme référence, notamment pour les instruments financiers et les banques commerciales, mais elle peut, s’appuyant sur sa propre analyse de cas individuels, conserver des montants dans l’une des catégories de risque ci-dessus même si une ou plusieurs des agences de notation susmentionnées ont revu à la baisse la note de la contrepartie en question. S’agissant des contreparties non notées, le groupe nº </w:t>
      </w:r>
      <w:r w:rsidRPr="00031A85">
        <w:t>1</w:t>
      </w:r>
      <w:r>
        <w:t xml:space="preserve"> se rapporte à des débiteurs qui n’ont pas connu de défaillance par le passé, et le groupe nº </w:t>
      </w:r>
      <w:r w:rsidRPr="00031A85">
        <w:t>2</w:t>
      </w:r>
      <w:r>
        <w:t xml:space="preserve"> à des débiteurs ayant connu des défaillances par le passé.</w:t>
      </w:r>
    </w:p>
    <w:p w:rsidR="00FB0C75" w:rsidRDefault="00525E53" w:rsidP="00FB0C75">
      <w:pPr>
        <w:pStyle w:val="Textstand-alone"/>
      </w:pPr>
      <w:r>
        <w:t>Les montants indiqués ci-dessus sous «Prêts et créances à recevoir» classés dans la catégorie spéculative concernent essentiellement des prêts d’appui financier versés par la Commission à des États membres en difficulté financière et des créances à recouvrer auprès de certains États membres sur la base de la réglementation relative aux ressources propres ou d'autres bases juridiques. Le montant indiqué sous «Trésorerie» concerne les comptes bancaires destinés aux ressources propres ouverts, auprès du Trésor ou des banques centrales des États membres, pour recevoir les contributions au titre des ressources propres, comme le prévoit le règlement en la matière. La Commission peut effectuer des prélèvements sur ces comptes uniquement pour couvrir des besoins en trésorerie découlant de l’exécution du budget.</w:t>
      </w:r>
    </w:p>
    <w:p w:rsidR="00FB0C75" w:rsidRPr="00683933" w:rsidRDefault="00525E53" w:rsidP="00FB0C75">
      <w:pPr>
        <w:pStyle w:val="HEADER5"/>
        <w:rPr>
          <w:b w:val="0"/>
        </w:rPr>
      </w:pPr>
      <w:r>
        <w:rPr>
          <w:b w:val="0"/>
        </w:rPr>
        <w:t>Activités d’emprunt et de prêt relatives à l’assistance financière</w:t>
      </w:r>
    </w:p>
    <w:p w:rsidR="00FB0C75" w:rsidRDefault="00525E53" w:rsidP="00FB0C75">
      <w:pPr>
        <w:pStyle w:val="Textstand-alone"/>
      </w:pPr>
      <w:r>
        <w:t>L’exposition au risque de crédit est gérée dans un premier temps en obtenant, dans le cas d’Euratom, des garanties de la part des pays, puis par l’intermédiaire du Fonds de garantie relatif aux actions extérieures (AMF et Euratom), ensuite par la possibilité de prélever les fonds nécessaires sur les comptes de ressources propres de la Commission auprès des États membres et, enfin, par l’intermédiaire du budget de l’UE.</w:t>
      </w:r>
    </w:p>
    <w:p w:rsidR="00FB0C75" w:rsidRDefault="00525E53" w:rsidP="00FB0C75">
      <w:pPr>
        <w:pStyle w:val="Textstand-alone"/>
      </w:pPr>
      <w:r>
        <w:t xml:space="preserve">La législation en matière de ressources propres fixe le plafond pour les paiements de ressources propres à </w:t>
      </w:r>
      <w:r w:rsidRPr="00031A85">
        <w:t>1</w:t>
      </w:r>
      <w:r>
        <w:t>,</w:t>
      </w:r>
      <w:r w:rsidRPr="00031A85">
        <w:t>20</w:t>
      </w:r>
      <w:r>
        <w:t xml:space="preserve"> % du RNB des États membres et, au cours de </w:t>
      </w:r>
      <w:r w:rsidRPr="00031A85">
        <w:t>2016</w:t>
      </w:r>
      <w:r>
        <w:t xml:space="preserve">, </w:t>
      </w:r>
      <w:r w:rsidRPr="00031A85">
        <w:t>0</w:t>
      </w:r>
      <w:r>
        <w:t>,</w:t>
      </w:r>
      <w:r w:rsidRPr="00031A85">
        <w:t>89</w:t>
      </w:r>
      <w:r>
        <w:t xml:space="preserve"> % ont effectivement été utilisés pour couvrir les crédits de paiement. Cela signifie qu’au </w:t>
      </w:r>
      <w:r w:rsidRPr="00031A85">
        <w:t>31</w:t>
      </w:r>
      <w:r>
        <w:t xml:space="preserve"> décembre </w:t>
      </w:r>
      <w:r w:rsidRPr="00031A85">
        <w:t>2016</w:t>
      </w:r>
      <w:r>
        <w:t xml:space="preserve">, une marge disponible de </w:t>
      </w:r>
      <w:r w:rsidRPr="00031A85">
        <w:t>0</w:t>
      </w:r>
      <w:r>
        <w:t>,</w:t>
      </w:r>
      <w:r w:rsidRPr="00031A85">
        <w:t>31</w:t>
      </w:r>
      <w:r>
        <w:t> % existait pour couvrir ces garanties. À cette fin, l’Union est autorisée à faire appel aux États membres pour pouvoir s’acquitter de ses obligations légales vis-à-vis de ses bailleurs de fonds.</w:t>
      </w:r>
    </w:p>
    <w:p w:rsidR="00FB0C75" w:rsidRPr="00683933" w:rsidRDefault="00525E53" w:rsidP="00FB0C75">
      <w:pPr>
        <w:pStyle w:val="HEADER5"/>
        <w:rPr>
          <w:b w:val="0"/>
        </w:rPr>
      </w:pPr>
      <w:r>
        <w:rPr>
          <w:b w:val="0"/>
        </w:rPr>
        <w:t>Trésorerie</w:t>
      </w:r>
    </w:p>
    <w:p w:rsidR="00FB0C75" w:rsidRDefault="00525E53" w:rsidP="00FB0C75">
      <w:pPr>
        <w:pStyle w:val="Textstand-alone"/>
      </w:pPr>
      <w:r>
        <w:t>La plupart des ressources en trésorerie de la Commission sont, conformément au règlement (UE, Euratom) n° </w:t>
      </w:r>
      <w:r w:rsidRPr="00031A85">
        <w:t>609</w:t>
      </w:r>
      <w:r>
        <w:t>/</w:t>
      </w:r>
      <w:r w:rsidRPr="00031A85">
        <w:t>2014</w:t>
      </w:r>
      <w:r>
        <w:t xml:space="preserve"> du Conseil relatif aux ressources propres, conservées sur des comptes ouverts par les États membres pour le paiement de leurs contributions (ressources propres). Tous ces comptes sont ouverts auprès du Trésor ou de la banque centrale nationale de chaque État membre. Ces institutions ne présentent pratiquement aucun risque de crédit (ou contrepartie) pour la Commission, le risque étant supporté par les États membres. En ce qui concerne les ressources en trésorerie de la Commission déposées auprès de banques commerciales pour couvrir les paiements à exécuter, le réapprovisionnement de ces comptes se fait selon le principe du «juste à temps» et est géré de façon automatique par le système de gestion de la trésorerie. Des niveaux minimaux de liquidités, qui tiennent compte du montant moyen des paiements journaliers exécutés par le système, sont conservés sur chaque compte. Par conséquent, le solde total de fin de journée de ces comptes est toujours faible (globalement inférieur à </w:t>
      </w:r>
      <w:r w:rsidRPr="00031A85">
        <w:t>100</w:t>
      </w:r>
      <w:r>
        <w:t xml:space="preserve"> millions d’EUR en moyenne, répartis sur </w:t>
      </w:r>
      <w:r w:rsidRPr="00031A85">
        <w:t>20</w:t>
      </w:r>
      <w:r>
        <w:t xml:space="preserve"> comptes), ce qui limite considérablement l’exposition de la Commission au risque. Ces montants doivent être examinés au regard des soldes de trésorerie totaux quotidiens, qui ont fluctué en </w:t>
      </w:r>
      <w:r w:rsidRPr="00031A85">
        <w:t>2016</w:t>
      </w:r>
      <w:r>
        <w:t xml:space="preserve"> entre </w:t>
      </w:r>
      <w:r w:rsidRPr="00031A85">
        <w:t>1</w:t>
      </w:r>
      <w:r>
        <w:t xml:space="preserve"> milliard et </w:t>
      </w:r>
      <w:r w:rsidRPr="00031A85">
        <w:t>30</w:t>
      </w:r>
      <w:r>
        <w:t xml:space="preserve"> milliards d’EUR, et du montant total des paiements exécutés à partir des comptes de la Commission en </w:t>
      </w:r>
      <w:r w:rsidRPr="00031A85">
        <w:t>2016</w:t>
      </w:r>
      <w:r>
        <w:t xml:space="preserve">, qui est supérieur à </w:t>
      </w:r>
      <w:r w:rsidRPr="00031A85">
        <w:t>145</w:t>
      </w:r>
      <w:r>
        <w:t> milliards d’EUR.</w:t>
      </w:r>
    </w:p>
    <w:p w:rsidR="00FB0C75" w:rsidRDefault="00525E53" w:rsidP="00FB0C75">
      <w:pPr>
        <w:pStyle w:val="Textstand-alone"/>
      </w:pPr>
      <w:r>
        <w:t>De plus, des lignes directrices spécifiques sont appliquées pour la sélection des banques commerciales afin de réduire davantage le risque de contrepartie auquel la Commission est exposée:</w:t>
      </w:r>
    </w:p>
    <w:p w:rsidR="00FB0C75" w:rsidRDefault="00525E53" w:rsidP="00FB0C75">
      <w:pPr>
        <w:pStyle w:val="Textstand-alonebulletpointJustified"/>
      </w:pPr>
      <w:r>
        <w:t>toutes les banques commerciales sont sélectionnées par voie d’appels d’offres. La notation de crédit à court terme la plus basse ouvrant l’accès à une procédure d’appel d’offres est Moody P-</w:t>
      </w:r>
      <w:r w:rsidRPr="00031A85">
        <w:t>1</w:t>
      </w:r>
      <w:r>
        <w:t xml:space="preserve"> ou équivalent. Un niveau inférieur peut être accepté dans des circonstances particulières dûment justifiées;</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les notations de crédit des banques commerciales auprès desquelles la Commission dispose de comptes sont observées quotidiennement; </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dans les délégations en dehors de l’UE, des régies d’avances sont ouvertes auprès de banques locales sélectionnées par une procédure d’appel d’offres simplifiée. La notation exigée dépend de la situation locale et peut fortement varier d’un pays à l’autre. Afin de limiter l’exposition au risque, les soldes de ces comptes sont maintenus au niveau le plus faible possible (compte tenu des besoins opérationnels). Les comptes sont réapprovisionnés régulièrement et les plafonds appliqués sont révisés annuellement.</w:t>
      </w:r>
    </w:p>
    <w:p w:rsidR="00FB0C75" w:rsidRPr="009F1FDC" w:rsidRDefault="00FB0C75" w:rsidP="00FB0C75">
      <w:pPr>
        <w:pStyle w:val="Textstand-alonebulletpointJustified"/>
        <w:numPr>
          <w:ilvl w:val="0"/>
          <w:numId w:val="0"/>
        </w:numPr>
        <w:ind w:left="357"/>
      </w:pPr>
    </w:p>
    <w:p w:rsidR="00FB0C75" w:rsidRPr="00683933" w:rsidRDefault="00525E53" w:rsidP="00FB0C75">
      <w:pPr>
        <w:pStyle w:val="HEADER5"/>
        <w:rPr>
          <w:b w:val="0"/>
        </w:rPr>
      </w:pPr>
      <w:r>
        <w:rPr>
          <w:b w:val="0"/>
        </w:rPr>
        <w:t>Amendes</w:t>
      </w:r>
    </w:p>
    <w:p w:rsidR="00FB0C75" w:rsidRPr="00E01A4D" w:rsidRDefault="00525E53" w:rsidP="00FB0C75">
      <w:pPr>
        <w:pStyle w:val="Textstand-alone"/>
        <w:rPr>
          <w:i/>
        </w:rPr>
      </w:pPr>
      <w:r>
        <w:rPr>
          <w:i/>
        </w:rPr>
        <w:t>Amendes encaissées à titre provisionnel: dépôts</w:t>
      </w:r>
    </w:p>
    <w:p w:rsidR="00FB0C75" w:rsidRDefault="00525E53" w:rsidP="00FB0C75">
      <w:pPr>
        <w:pStyle w:val="Textstand-alone"/>
      </w:pPr>
      <w:r>
        <w:t xml:space="preserve">Les banques qui détiennent des dépôts au titre des amendes encaissées à titre provisionnel avant </w:t>
      </w:r>
      <w:r w:rsidRPr="00031A85">
        <w:t>2010</w:t>
      </w:r>
      <w:r>
        <w:t xml:space="preserve"> sont sélectionnées par une procédure d’appel d'offres conformément à la politique de gestion des risques, qui définit les exigences en matière de notation de crédit et le montant qui peut être placé au regard des fonds propres de la contrepartie.</w:t>
      </w:r>
    </w:p>
    <w:p w:rsidR="00FB0C75" w:rsidRDefault="00525E53" w:rsidP="00FB0C75">
      <w:pPr>
        <w:pStyle w:val="Textstand-alone"/>
      </w:pPr>
      <w:r>
        <w:t>Pour les banques commerciales spécialement sélectionnées pour le dépôt des amendes encaissées à titre provisionnel, une notation à long terme minimale A (S&amp;P ou équivalent) et une notation à court terme minimale A-</w:t>
      </w:r>
      <w:r w:rsidRPr="00031A85">
        <w:t>1</w:t>
      </w:r>
      <w:r>
        <w:t xml:space="preserve"> (S&amp;P ou équivalent) sont généralement nécessaires. Des mesures spécifiques sont appliquées dans le cas où certaines banques de ce groupe subiraient un déclassement. De plus, les montants déposés auprès de chaque banque sont limités à un certain pourcentage de ses fonds propres, qui varie en fonction du niveau de notation de chaque établissement. Le calcul de telles limites tient également compte du montant des garanties en cours émises en faveur de la Commission par le même établissement. La conformité des dépôts en cours avec les exigences de la politique en vigueur est évaluée régulièrement.</w:t>
      </w:r>
    </w:p>
    <w:p w:rsidR="00FB0C75" w:rsidRPr="00C55550" w:rsidRDefault="00525E53" w:rsidP="00FB0C75">
      <w:pPr>
        <w:pStyle w:val="Textstand-alone"/>
        <w:rPr>
          <w:i/>
        </w:rPr>
      </w:pPr>
      <w:r>
        <w:rPr>
          <w:i/>
        </w:rPr>
        <w:t>Amendes encaissées à titre provisionnel: portefeuille BUFI</w:t>
      </w:r>
    </w:p>
    <w:p w:rsidR="00FB0C75" w:rsidRPr="00C55550" w:rsidRDefault="00525E53" w:rsidP="00FB0C75">
      <w:pPr>
        <w:pStyle w:val="Textstand-alone"/>
      </w:pPr>
      <w:r>
        <w:t xml:space="preserve">Pour les investissements dans des dettes souveraines découlant d'amendes encaissées à titre provisionnel à partir de </w:t>
      </w:r>
      <w:r w:rsidRPr="00031A85">
        <w:t>2010</w:t>
      </w:r>
      <w:r>
        <w:t xml:space="preserve">, la Commission supporte une exposition au risque de crédit. L’exposition est essentiellement concentrée sur la France, qui représente </w:t>
      </w:r>
      <w:r w:rsidRPr="00031A85">
        <w:t>31</w:t>
      </w:r>
      <w:r>
        <w:t xml:space="preserve"> % du volume nominal total du portefeuille. Les cinq pays pour lesquels l’exposition est la plus élevée (France, Italie, Belgique, Allemagne et Luxembourg) représentent ensemble </w:t>
      </w:r>
      <w:r w:rsidRPr="00031A85">
        <w:t>77</w:t>
      </w:r>
      <w:r>
        <w:t> % du portefeuille d'investissement. La notation de crédit moyenne pondérée du portefeuille est A (S&amp;P ou équivalent).</w:t>
      </w:r>
    </w:p>
    <w:p w:rsidR="00FB0C75" w:rsidRPr="00C55550" w:rsidRDefault="00525E53" w:rsidP="00FB0C75">
      <w:pPr>
        <w:pStyle w:val="Textstand-alone"/>
        <w:rPr>
          <w:i/>
        </w:rPr>
      </w:pPr>
      <w:r>
        <w:rPr>
          <w:i/>
        </w:rPr>
        <w:t>Garanties bancaires</w:t>
      </w:r>
    </w:p>
    <w:p w:rsidR="00FB0C75" w:rsidRPr="00C55550" w:rsidRDefault="00525E53" w:rsidP="00FB0C75">
      <w:pPr>
        <w:pStyle w:val="Textstand-alone"/>
      </w:pPr>
      <w:r>
        <w:t>La politique de gestion des risques appliquée pour l’acceptation de telles garanties assure une grande qualité de crédit pour la Commission. La conformité des garanties en cours avec les exigences de la politique en vigueur est évaluée régulièrement.</w:t>
      </w:r>
    </w:p>
    <w:p w:rsidR="00FB0C75" w:rsidRDefault="00FB0C75" w:rsidP="00FB0C75">
      <w:pPr>
        <w:pStyle w:val="HEADER5"/>
        <w:rPr>
          <w:b w:val="0"/>
        </w:rPr>
        <w:sectPr w:rsidR="00FB0C75" w:rsidSect="00FB0C75">
          <w:headerReference w:type="even" r:id="rId425"/>
          <w:headerReference w:type="default" r:id="rId426"/>
          <w:footerReference w:type="even" r:id="rId427"/>
          <w:footerReference w:type="default" r:id="rId428"/>
          <w:headerReference w:type="first" r:id="rId429"/>
          <w:footerReference w:type="first" r:id="rId430"/>
          <w:pgSz w:w="11906" w:h="16838"/>
          <w:pgMar w:top="1134" w:right="1134" w:bottom="1134" w:left="1134" w:header="709" w:footer="709" w:gutter="0"/>
          <w:cols w:space="708"/>
          <w:docGrid w:linePitch="360"/>
        </w:sectPr>
      </w:pPr>
    </w:p>
    <w:p w:rsidR="00FB0C75" w:rsidRPr="00C55550" w:rsidRDefault="00525E53" w:rsidP="00FB0C75">
      <w:pPr>
        <w:pStyle w:val="HEADER5"/>
        <w:rPr>
          <w:b w:val="0"/>
        </w:rPr>
      </w:pPr>
      <w:r>
        <w:rPr>
          <w:b w:val="0"/>
        </w:rPr>
        <w:t>Fonds de garantie relatif aux actions extérieures</w:t>
      </w:r>
    </w:p>
    <w:p w:rsidR="00FB0C75" w:rsidRPr="00C55550" w:rsidRDefault="00525E53" w:rsidP="00FB0C75">
      <w:pPr>
        <w:pStyle w:val="Textstand-alone"/>
      </w:pPr>
      <w:r>
        <w:t>Les lignes directrices relatives à la gestion des actifs et/ou la stratégie d'investissement convenues pour le portefeuille de trésorerie définissent certaines limites et restrictions afin d’atténuer l’exposition du portefeuille au risque de crédit. Ces limites et restrictions comprennent des critères d'éligibilité, des plafonds de crédit absolus en valeur nominale qui dépendent de la catégorie d'émetteurs, des limites de concentration relatives qui dépendent également de la catégorie d'émetteurs ainsi que des limites de concentration par émission. Tous les investissements ont au minimum la notation «investment grade».</w:t>
      </w:r>
    </w:p>
    <w:p w:rsidR="00FB0C75" w:rsidRPr="00C55550" w:rsidRDefault="00525E53" w:rsidP="00FB0C75">
      <w:pPr>
        <w:pStyle w:val="HEADER5"/>
        <w:rPr>
          <w:b w:val="0"/>
        </w:rPr>
      </w:pPr>
      <w:r>
        <w:rPr>
          <w:b w:val="0"/>
        </w:rPr>
        <w:t>Fonds de garantie de l’EFSI</w:t>
      </w:r>
    </w:p>
    <w:p w:rsidR="00FB0C75" w:rsidRPr="00C55550" w:rsidRDefault="00525E53" w:rsidP="00FB0C75">
      <w:pPr>
        <w:pStyle w:val="Textstand-alone"/>
      </w:pPr>
      <w:r>
        <w:t>Les lignes directrices relatives à la gestion des actifs et les stratégies en matière de risque et d'investissement définissent certaines limites et restrictions afin d’atténuer l’exposition du portefeuille au risque de crédit, généralement restreint à la notation «investment grade». La notation de crédit moyenne pondérée du portefeuille est A (S&amp;P ou équivalent).</w:t>
      </w:r>
    </w:p>
    <w:p w:rsidR="00FB0C75" w:rsidRDefault="00525E53" w:rsidP="00FB0C75">
      <w:pPr>
        <w:pStyle w:val="Textstand-alone"/>
      </w:pPr>
      <w:r>
        <w:t xml:space="preserve">L'unique contrepartie pour tous les contrats de change à terme en cours au </w:t>
      </w:r>
      <w:r w:rsidRPr="00031A85">
        <w:t>31</w:t>
      </w:r>
      <w:r>
        <w:t> décembre </w:t>
      </w:r>
      <w:r w:rsidRPr="00031A85">
        <w:t>2016</w:t>
      </w:r>
      <w:r>
        <w:t xml:space="preserve"> est la Banque des règlements internationaux (BRI). Aucun rehaussement du crédit, tel que des instruments de garantie, des accords de compensation ou des garanties, n’était en place à cette date. L’exposition maximale au risque de crédit des produits dérivés de change ayant une juste valeur positive au terme de la période de référence est égale à la valeur comptable indiquée dans le bilan.</w:t>
      </w:r>
    </w:p>
    <w:p w:rsidR="00FB0C75" w:rsidRDefault="00525E53" w:rsidP="00FB0C75">
      <w:pPr>
        <w:pStyle w:val="Textstand-alone"/>
        <w:sectPr w:rsidR="00FB0C75" w:rsidSect="00FB0C75">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pPr>
      <w:r>
        <w:t xml:space="preserve"> </w:t>
      </w:r>
      <w:bookmarkEnd w:id="571"/>
    </w:p>
    <w:p w:rsidR="00FB0C75" w:rsidRDefault="00525E53" w:rsidP="00FB0C75">
      <w:pPr>
        <w:pStyle w:val="HEADER2Part2"/>
      </w:pPr>
      <w:bookmarkStart w:id="575" w:name="_DMBM_8990"/>
      <w:r>
        <w:t>RISQUE DE LIQUIDITÉ</w:t>
      </w:r>
    </w:p>
    <w:p w:rsidR="00FB0C75" w:rsidRDefault="00FB0C75" w:rsidP="00FB0C75">
      <w:pPr>
        <w:pStyle w:val="HEADER2Part2"/>
        <w:numPr>
          <w:ilvl w:val="0"/>
          <w:numId w:val="0"/>
        </w:numPr>
        <w:ind w:left="907"/>
      </w:pPr>
    </w:p>
    <w:p w:rsidR="00FB0C75" w:rsidRDefault="00525E53" w:rsidP="00FB0C75">
      <w:pPr>
        <w:pStyle w:val="HEADER5"/>
        <w:rPr>
          <w:b w:val="0"/>
        </w:rPr>
      </w:pPr>
      <w:r>
        <w:rPr>
          <w:b w:val="0"/>
        </w:rPr>
        <w:t>Analyse des échéances des passifs financiers en fonction de l’échéance résiduelle contractuelle</w:t>
      </w:r>
    </w:p>
    <w:p w:rsidR="00FB0C75" w:rsidRPr="00DF0CE4"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6" w:name="DOC_TBL00088_1_1"/>
            <w:bookmarkEnd w:id="576"/>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 xml:space="preserve">&lt; </w:t>
            </w:r>
            <w:r w:rsidRPr="00031A85">
              <w:t>1</w:t>
            </w:r>
            <w:r>
              <w:t xml:space="preserve"> an</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sidRPr="00031A85">
              <w:t>1</w:t>
            </w:r>
            <w:r>
              <w:t>-</w:t>
            </w:r>
            <w:r w:rsidRPr="00031A85">
              <w:t>5</w:t>
            </w:r>
            <w:r>
              <w:t xml:space="preserve"> ans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 xml:space="preserve">&gt; </w:t>
            </w:r>
            <w:r w:rsidRPr="00031A85">
              <w:t>5</w:t>
            </w:r>
            <w:r>
              <w:t xml:space="preserve"> ans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Total</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Emprunts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094</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18</w:t>
            </w:r>
            <w:r>
              <w:rPr>
                <w:i/>
              </w:rPr>
              <w:t xml:space="preserve"> </w:t>
            </w:r>
            <w:r w:rsidRPr="00031A85">
              <w:rPr>
                <w:i/>
              </w:rPr>
              <w:t>084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34</w:t>
            </w:r>
            <w:r>
              <w:rPr>
                <w:i/>
              </w:rPr>
              <w:t xml:space="preserve"> </w:t>
            </w:r>
            <w:r w:rsidRPr="00031A85">
              <w:rPr>
                <w:i/>
              </w:rPr>
              <w:t>950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55</w:t>
            </w:r>
            <w:r>
              <w:rPr>
                <w:i/>
              </w:rPr>
              <w:t xml:space="preserve"> </w:t>
            </w:r>
            <w:r w:rsidRPr="00031A85">
              <w:rPr>
                <w:i/>
              </w:rPr>
              <w:t>128</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Sommes à payer</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40</w:t>
            </w:r>
            <w:r>
              <w:rPr>
                <w:i/>
              </w:rPr>
              <w:t xml:space="preserve"> </w:t>
            </w:r>
            <w:r w:rsidRPr="00031A85">
              <w:rPr>
                <w:i/>
              </w:rPr>
              <w:t>005</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40</w:t>
            </w:r>
            <w:r>
              <w:rPr>
                <w:i/>
              </w:rPr>
              <w:t xml:space="preserve"> </w:t>
            </w:r>
            <w:r w:rsidRPr="00031A85">
              <w:rPr>
                <w:i/>
              </w:rPr>
              <w:t>005</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Autres</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189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637</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w:t>
            </w:r>
            <w:r>
              <w:rPr>
                <w:i/>
              </w:rPr>
              <w:t xml:space="preserve"> </w:t>
            </w:r>
            <w:r w:rsidRPr="00031A85">
              <w:rPr>
                <w:i/>
              </w:rPr>
              <w:t>397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222</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42</w:t>
            </w:r>
            <w:r>
              <w:t xml:space="preserve"> </w:t>
            </w:r>
            <w:r w:rsidRPr="00031A85">
              <w:t>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18</w:t>
            </w:r>
            <w:r>
              <w:t xml:space="preserve"> </w:t>
            </w:r>
            <w:r w:rsidRPr="00031A85">
              <w:t>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36</w:t>
            </w:r>
            <w:r>
              <w:t xml:space="preserve"> </w:t>
            </w:r>
            <w:r w:rsidRPr="00031A85">
              <w:t>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97</w:t>
            </w:r>
            <w:r>
              <w:t xml:space="preserve"> </w:t>
            </w:r>
            <w:r w:rsidRPr="00031A85">
              <w:t>355</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Emprunts</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7</w:t>
            </w:r>
            <w:r>
              <w:rPr>
                <w:i/>
              </w:rPr>
              <w:t xml:space="preserve"> </w:t>
            </w:r>
            <w:r w:rsidRPr="00031A85">
              <w:rPr>
                <w:i/>
              </w:rPr>
              <w:t>218</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9</w:t>
            </w:r>
            <w:r>
              <w:rPr>
                <w:i/>
              </w:rPr>
              <w:t xml:space="preserve"> </w:t>
            </w:r>
            <w:r w:rsidRPr="00031A85">
              <w:rPr>
                <w:i/>
              </w:rPr>
              <w:t>660</w:t>
            </w: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39</w:t>
            </w:r>
            <w:r>
              <w:rPr>
                <w:i/>
              </w:rPr>
              <w:t xml:space="preserve"> </w:t>
            </w:r>
            <w:r w:rsidRPr="00031A85">
              <w:rPr>
                <w:i/>
              </w:rPr>
              <w:t>982</w:t>
            </w: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56</w:t>
            </w:r>
            <w:r>
              <w:rPr>
                <w:i/>
              </w:rPr>
              <w:t xml:space="preserve"> </w:t>
            </w:r>
            <w:r w:rsidRPr="00031A85">
              <w:rPr>
                <w:i/>
              </w:rPr>
              <w:t>860</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Sommes à payer</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32</w:t>
            </w:r>
            <w:r>
              <w:rPr>
                <w:i/>
              </w:rPr>
              <w:t xml:space="preserve"> </w:t>
            </w:r>
            <w:r w:rsidRPr="00031A85">
              <w:rPr>
                <w:i/>
              </w:rPr>
              <w:t>191</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32</w:t>
            </w:r>
            <w:r>
              <w:rPr>
                <w:i/>
              </w:rPr>
              <w:t xml:space="preserve"> </w:t>
            </w:r>
            <w:r w:rsidRPr="00031A85">
              <w:rPr>
                <w:i/>
              </w:rPr>
              <w:t>191</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Autres</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721</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513</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1</w:t>
            </w:r>
            <w:r>
              <w:rPr>
                <w:i/>
              </w:rPr>
              <w:t xml:space="preserve"> </w:t>
            </w:r>
            <w:r w:rsidRPr="00031A85">
              <w:rPr>
                <w:i/>
              </w:rPr>
              <w:t>609</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sidRPr="00031A85">
              <w:rPr>
                <w:i/>
              </w:rPr>
              <w:t>2</w:t>
            </w:r>
            <w:r>
              <w:rPr>
                <w:i/>
              </w:rPr>
              <w:t xml:space="preserve"> </w:t>
            </w:r>
            <w:r w:rsidRPr="00031A85">
              <w:rPr>
                <w:i/>
              </w:rPr>
              <w:t>843</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40</w:t>
            </w:r>
            <w:r>
              <w:t xml:space="preserve"> </w:t>
            </w:r>
            <w:r w:rsidRPr="00031A85">
              <w:t>130</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10</w:t>
            </w:r>
            <w:r>
              <w:t xml:space="preserve"> </w:t>
            </w:r>
            <w:r w:rsidRPr="00031A85">
              <w:t>173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41</w:t>
            </w:r>
            <w:r>
              <w:t xml:space="preserve"> </w:t>
            </w:r>
            <w:r w:rsidRPr="00031A85">
              <w:t>591</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sidRPr="00031A85">
              <w:t>91</w:t>
            </w:r>
            <w:r>
              <w:t xml:space="preserve"> </w:t>
            </w:r>
            <w:r w:rsidRPr="00031A85">
              <w:t>894</w:t>
            </w:r>
          </w:p>
        </w:tc>
      </w:tr>
    </w:tbl>
    <w:p w:rsidR="00FB0C75" w:rsidRDefault="00FB0C75" w:rsidP="00FB0C75">
      <w:pPr>
        <w:pStyle w:val="HEADER5"/>
      </w:pPr>
    </w:p>
    <w:p w:rsidR="00FB0C75" w:rsidRDefault="00525E53" w:rsidP="00FB0C75">
      <w:pPr>
        <w:pStyle w:val="HEADER5"/>
        <w:rPr>
          <w:b w:val="0"/>
        </w:rPr>
      </w:pPr>
      <w:r>
        <w:rPr>
          <w:b w:val="0"/>
        </w:rPr>
        <w:t xml:space="preserve">Passifs financiers à la juste valeur par le biais de l’excédent ou du déficit </w:t>
      </w:r>
    </w:p>
    <w:p w:rsidR="00FB0C75" w:rsidRPr="00DF0CE4"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7" w:name="DOC_TBL00089_1_1"/>
            <w:bookmarkEnd w:id="577"/>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 xml:space="preserve">&lt; </w:t>
            </w:r>
            <w:r w:rsidRPr="00031A85">
              <w:t>1</w:t>
            </w:r>
            <w:r>
              <w:t xml:space="preserve"> an</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sidRPr="00031A85">
              <w:t>1</w:t>
            </w:r>
            <w:r>
              <w:t>-</w:t>
            </w:r>
            <w:r w:rsidRPr="00031A85">
              <w:t>5</w:t>
            </w:r>
            <w:r>
              <w:t xml:space="preserve"> ans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 xml:space="preserve">&gt; </w:t>
            </w:r>
            <w:r w:rsidRPr="00031A85">
              <w:t>5</w:t>
            </w:r>
            <w:r>
              <w:t xml:space="preserve"> ans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Total</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Montants à recevoir sur dérivés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149</w:t>
            </w:r>
          </w:p>
        </w:tc>
        <w:tc>
          <w:tcPr>
            <w:tcW w:w="148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41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149</w:t>
            </w:r>
          </w:p>
        </w:tc>
      </w:tr>
      <w:tr w:rsidR="005B4EEC">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Montants à payer sur dérivés</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150</w:t>
            </w:r>
            <w:r>
              <w:rPr>
                <w:i/>
              </w:rPr>
              <w:t>)</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w:t>
            </w:r>
            <w:r w:rsidRPr="00031A85">
              <w:rPr>
                <w:i/>
              </w:rPr>
              <w:t>150</w:t>
            </w:r>
            <w:r>
              <w:rPr>
                <w:i/>
              </w:rPr>
              <w:t>)</w:t>
            </w:r>
          </w:p>
        </w:tc>
      </w:tr>
      <w:tr w:rsidR="005B4EEC">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 xml:space="preserve">Total au </w:t>
            </w:r>
            <w:r w:rsidRPr="00031A85">
              <w:t>31</w:t>
            </w:r>
            <w:r>
              <w:t>.</w:t>
            </w:r>
            <w:r w:rsidRPr="00031A85">
              <w:t>12</w:t>
            </w:r>
            <w:r>
              <w:t>.</w:t>
            </w:r>
            <w:r w:rsidRPr="00031A85">
              <w:t>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w:t>
            </w:r>
            <w:r>
              <w:t>)</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w:t>
            </w:r>
            <w:r w:rsidRPr="00031A85">
              <w:t>1</w:t>
            </w:r>
            <w:r>
              <w:t>)</w:t>
            </w:r>
          </w:p>
        </w:tc>
      </w:tr>
    </w:tbl>
    <w:p w:rsidR="00FB0C75" w:rsidRDefault="00FB0C75" w:rsidP="00FB0C75">
      <w:pPr>
        <w:pStyle w:val="HEADER5"/>
        <w:rPr>
          <w:b w:val="0"/>
        </w:rPr>
      </w:pPr>
    </w:p>
    <w:p w:rsidR="003B65D7" w:rsidRDefault="003B65D7" w:rsidP="00FB0C75">
      <w:pPr>
        <w:pStyle w:val="HEADER5"/>
        <w:rPr>
          <w:b w:val="0"/>
        </w:rPr>
      </w:pPr>
    </w:p>
    <w:p w:rsidR="00FB0C75" w:rsidRPr="00DF0CE4" w:rsidRDefault="00525E53" w:rsidP="00FB0C75">
      <w:pPr>
        <w:pStyle w:val="HEADER5"/>
        <w:rPr>
          <w:b w:val="0"/>
        </w:rPr>
      </w:pPr>
      <w:r>
        <w:rPr>
          <w:b w:val="0"/>
        </w:rPr>
        <w:t>Activités d’emprunt et de prêt relatives à l’assistance financière</w:t>
      </w:r>
    </w:p>
    <w:p w:rsidR="00FB0C75" w:rsidRDefault="00525E53" w:rsidP="00FB0C75">
      <w:pPr>
        <w:pStyle w:val="Textstand-alone"/>
      </w:pPr>
      <w:r>
        <w:t>Le risque de liquidité qui résulte des emprunts est généralement compensé par des prêts aux modalités similaires (opérations «back-to-back»). Pour l’AMF et Euratom, le Fonds de garantie relatif aux actions extérieures fait office de réserve de liquidité (ou de filet de sécurité) en cas de défaut ou de retard de paiement des emprunteurs. Pour la BDP, le règlement (CE) n° </w:t>
      </w:r>
      <w:r w:rsidRPr="00031A85">
        <w:t>431</w:t>
      </w:r>
      <w:r>
        <w:t>/</w:t>
      </w:r>
      <w:r w:rsidRPr="00031A85">
        <w:t>2009</w:t>
      </w:r>
      <w:r>
        <w:t xml:space="preserve"> du Conseil prévoit une procédure autorisant un délai suffisant pour mobiliser des fonds par l’intermédiaire des comptes de ressources propres de la Commission auprès des États membres. Le règlement (UE) n° </w:t>
      </w:r>
      <w:r w:rsidRPr="00031A85">
        <w:t>407</w:t>
      </w:r>
      <w:r>
        <w:t>/</w:t>
      </w:r>
      <w:r w:rsidRPr="00031A85">
        <w:t>2010</w:t>
      </w:r>
      <w:r>
        <w:t xml:space="preserve"> du Conseil prévoit une procédure similaire pour le MESF.</w:t>
      </w:r>
    </w:p>
    <w:p w:rsidR="00FB0C75" w:rsidRPr="00DF0CE4" w:rsidRDefault="00525E53" w:rsidP="00FB0C75">
      <w:pPr>
        <w:pStyle w:val="HEADER5"/>
        <w:rPr>
          <w:b w:val="0"/>
        </w:rPr>
      </w:pPr>
      <w:r>
        <w:rPr>
          <w:b w:val="0"/>
        </w:rPr>
        <w:t>Trésorerie</w:t>
      </w:r>
    </w:p>
    <w:p w:rsidR="00FB0C75" w:rsidRDefault="00525E53" w:rsidP="00FB0C75">
      <w:pPr>
        <w:pStyle w:val="Textstand-alone"/>
        <w:rPr>
          <w:color w:val="016794"/>
        </w:rPr>
      </w:pPr>
      <w:r>
        <w:t>Les principes budgétaires de l’UE visent à garantir des ressources globales en trésorerie toujours suffisantes pour exécuter tous les paiements d’un exercice donné. En effet, l’ensemble des contributions des États membres correspond au montant des crédits de paiement pour l’exercice budgétaire. Les contributions des États membres sont toutefois échelonnées en douze versements mensuels au cours de l’exercice, tandis que les paiements ont un caractère plus saisonnier. De plus, conformément au règlement (UE, Euratom) nº </w:t>
      </w:r>
      <w:r w:rsidRPr="00031A85">
        <w:t>609</w:t>
      </w:r>
      <w:r>
        <w:t>/</w:t>
      </w:r>
      <w:r w:rsidRPr="00031A85">
        <w:t>2014</w:t>
      </w:r>
      <w:r>
        <w:t xml:space="preserve"> du Conseil (règlement relatif aux modalités et à la procédure de mise à disposition des ressources propres), les contributions des États membres correspondant aux budgets (rectificatifs) approuvés après le </w:t>
      </w:r>
      <w:r w:rsidRPr="00031A85">
        <w:t>16</w:t>
      </w:r>
      <w:r>
        <w:t xml:space="preserve"> d’un mois donné (N) ne sont mises à disposition que le mois N+</w:t>
      </w:r>
      <w:r w:rsidRPr="00031A85">
        <w:t>2</w:t>
      </w:r>
      <w:r>
        <w:t>, tandis que les crédits de paiement correspondants sont immédiatement mis à disposition. Des procédures de prévision régulière de trésorerie ont été mises en place pour garantir que les ressources en trésorerie sont toujours suffisantes pour couvrir les paiements à exécuter au cours d’un mois donné. Les ressources propres ou fonds supplémentaires peuvent ainsi être appelés par anticipation auprès des États membres, en cas de besoin, à concurrence de certaines limites et sous certaines conditions. La saisonnalité des dépenses et les restrictions budgétaires globales des dernières années ont engendré la nécessité de renforcer le contrôle du rythme des paiements sur l’année. En outre, dans le cadre des opérations de trésorerie journalières de la Commission, des outils de gestion de trésorerie automatisés vérifient quotidiennement que chaque compte bancaire détenu par la Commission dispose des liquidités suffisantes.</w:t>
      </w:r>
    </w:p>
    <w:p w:rsidR="00FB0C75" w:rsidRPr="00A660D1" w:rsidRDefault="00525E53" w:rsidP="00FB0C75">
      <w:pPr>
        <w:pStyle w:val="HEADER5"/>
        <w:rPr>
          <w:b w:val="0"/>
        </w:rPr>
      </w:pPr>
      <w:r>
        <w:rPr>
          <w:b w:val="0"/>
        </w:rPr>
        <w:t>Amendes</w:t>
      </w:r>
    </w:p>
    <w:p w:rsidR="00FB0C75" w:rsidRPr="00A660D1" w:rsidRDefault="00525E53" w:rsidP="00FB0C75">
      <w:pPr>
        <w:pStyle w:val="Textstand-alone"/>
        <w:spacing w:before="120"/>
        <w:rPr>
          <w:i/>
        </w:rPr>
      </w:pPr>
      <w:r>
        <w:rPr>
          <w:i/>
        </w:rPr>
        <w:t>Amendes encaissées à titre provisionnel: portefeuille BUFI</w:t>
      </w:r>
    </w:p>
    <w:p w:rsidR="00FB0C75" w:rsidRDefault="00525E53" w:rsidP="00FB0C75">
      <w:pPr>
        <w:pStyle w:val="Textstand-alone"/>
      </w:pPr>
      <w:r>
        <w:t xml:space="preserve">Le fonds est géré de sorte que les actifs aient un degré suffisant de mobilisation et de liquidité par rapport aux engagements correspondants. Le portefeuille est composé de titres, pour la plupart très liquides, qui peuvent être vendus en cas de sorties de trésorerie inattendues. En outre, les titres arrivant à échéance dans un délai d’un an et les obligations à taux variable représentent </w:t>
      </w:r>
      <w:r w:rsidRPr="00031A85">
        <w:t>33</w:t>
      </w:r>
      <w:r>
        <w:t> % du portefeuille.</w:t>
      </w:r>
    </w:p>
    <w:p w:rsidR="00FB0C75" w:rsidRPr="00DF0CE4" w:rsidRDefault="00525E53" w:rsidP="00FB0C75">
      <w:pPr>
        <w:pStyle w:val="HEADER5"/>
        <w:keepNext/>
        <w:rPr>
          <w:b w:val="0"/>
        </w:rPr>
      </w:pPr>
      <w:r>
        <w:rPr>
          <w:b w:val="0"/>
        </w:rPr>
        <w:t>Fonds de garantie relatif aux actions extérieures</w:t>
      </w:r>
    </w:p>
    <w:p w:rsidR="00FB0C75" w:rsidRDefault="00525E53" w:rsidP="00FB0C75">
      <w:pPr>
        <w:pStyle w:val="Textstand-alone"/>
      </w:pPr>
      <w:r>
        <w:t xml:space="preserve">Le Fonds est géré de sorte que les actifs aient un degré suffisant de mobilisation et de liquidité par rapport aux engagements correspondants. Il doit posséder un minimum de </w:t>
      </w:r>
      <w:r w:rsidRPr="00031A85">
        <w:t>100</w:t>
      </w:r>
      <w:r>
        <w:t xml:space="preserve"> millions d’EUR dans un portefeuille d’instruments monétaires présentant des échéances inférieures à </w:t>
      </w:r>
      <w:r w:rsidRPr="00031A85">
        <w:t>12</w:t>
      </w:r>
      <w:r>
        <w:t xml:space="preserve"> mois. Au </w:t>
      </w:r>
      <w:r w:rsidRPr="00031A85">
        <w:t>31</w:t>
      </w:r>
      <w:r>
        <w:t xml:space="preserve"> décembre </w:t>
      </w:r>
      <w:r w:rsidRPr="00031A85">
        <w:t>2016</w:t>
      </w:r>
      <w:r>
        <w:t xml:space="preserve">, le montant de ces investissements, trésorerie incluse, était de </w:t>
      </w:r>
      <w:r w:rsidRPr="00031A85">
        <w:t>197</w:t>
      </w:r>
      <w:r>
        <w:t xml:space="preserve"> millions d’EUR. En outre, </w:t>
      </w:r>
      <w:r w:rsidRPr="00031A85">
        <w:t>20</w:t>
      </w:r>
      <w:r>
        <w:t xml:space="preserve"> % au moins de la valeur nominale du Fonds doivent être représentés par des instruments monétaires, des obligations à taux fixe avec une échéance résiduelle inférieure à un an et des obligations à taux variable. Au </w:t>
      </w:r>
      <w:r w:rsidRPr="00031A85">
        <w:t>31</w:t>
      </w:r>
      <w:r>
        <w:t xml:space="preserve"> décembre </w:t>
      </w:r>
      <w:r w:rsidRPr="00031A85">
        <w:t>2016</w:t>
      </w:r>
      <w:r>
        <w:t xml:space="preserve">, ce taux s'établissait à </w:t>
      </w:r>
      <w:r w:rsidRPr="00031A85">
        <w:t>20</w:t>
      </w:r>
      <w:r>
        <w:t> %.</w:t>
      </w:r>
    </w:p>
    <w:p w:rsidR="00FB0C75" w:rsidRPr="00A660D1" w:rsidRDefault="00525E53" w:rsidP="00FB0C75">
      <w:pPr>
        <w:pStyle w:val="HEADER5"/>
        <w:rPr>
          <w:b w:val="0"/>
        </w:rPr>
      </w:pPr>
      <w:r>
        <w:rPr>
          <w:b w:val="0"/>
        </w:rPr>
        <w:t>Fonds de garantie de l’EFSI</w:t>
      </w:r>
    </w:p>
    <w:p w:rsidR="00FB0C75" w:rsidRPr="00A660D1" w:rsidRDefault="00525E53" w:rsidP="00FB0C75">
      <w:pPr>
        <w:pStyle w:val="Textstand-alone"/>
      </w:pPr>
      <w:r>
        <w:t xml:space="preserve">Le Fonds de garantie est géré de sorte que les actifs aient un degré suffisant de mobilisation et de liquidité par rapport aux engagements correspondants. Le portefeuille est composé d’actifs très liquides qui peuvent être vendus en cas de sorties de trésorerie inattendues, notamment les actifs libellés en USD les plus liquides (Trésor américain), qui représentaient </w:t>
      </w:r>
      <w:r w:rsidRPr="00031A85">
        <w:t>15</w:t>
      </w:r>
      <w:r>
        <w:t xml:space="preserve"> % du portefeuille d'investissement total à la date de clôture. En outre, les titres arrivant à échéance dans un délai d’un an et les obligations à taux variable représentent </w:t>
      </w:r>
      <w:r w:rsidRPr="00031A85">
        <w:t>23</w:t>
      </w:r>
      <w:r>
        <w:t> % du portefeuille.</w:t>
      </w:r>
    </w:p>
    <w:p w:rsidR="00FB0C75" w:rsidRPr="00A660D1" w:rsidRDefault="00525E53" w:rsidP="00FB0C75">
      <w:pPr>
        <w:pStyle w:val="Textstand-alone"/>
      </w:pPr>
      <w:r>
        <w:t>Les contrats dérivés font l’objet d'un règlement brut, lequel dépend de leur échéance contractuelle. Les obligations sont honorées au moyen de ventes d’actifs libellés en USD et/ou d’une opération de swap, ce qui peut entraîner une sortie de trésorerie en raison des écarts de change.</w:t>
      </w:r>
    </w:p>
    <w:p w:rsidR="00FB0C75" w:rsidRDefault="00525E53" w:rsidP="00FB0C75">
      <w:pPr>
        <w:pStyle w:val="Textstand-alone"/>
      </w:pPr>
      <w:r>
        <w:t>Aucune gestion des liquidités n’est nécessaire en ce qui concerne les exigences en matière de garanties/marges puisque la contrepartie se portant couverture accepte d'opérer avec la Commission sans aucune exigence en matière de garanties/marges.</w:t>
      </w:r>
    </w:p>
    <w:p w:rsidR="00FB0C75" w:rsidRDefault="00525E53" w:rsidP="00FB0C75">
      <w:pPr>
        <w:pStyle w:val="Textstand-alone"/>
        <w:sectPr w:rsidR="00FB0C75" w:rsidSect="00FB0C75">
          <w:headerReference w:type="even" r:id="rId437"/>
          <w:headerReference w:type="default" r:id="rId438"/>
          <w:footerReference w:type="even" r:id="rId439"/>
          <w:footerReference w:type="default" r:id="rId440"/>
          <w:headerReference w:type="first" r:id="rId441"/>
          <w:footerReference w:type="first" r:id="rId442"/>
          <w:type w:val="continuous"/>
          <w:pgSz w:w="11906" w:h="16838"/>
          <w:pgMar w:top="1134" w:right="1134" w:bottom="1134" w:left="1134" w:header="709" w:footer="709" w:gutter="0"/>
          <w:cols w:space="708"/>
          <w:docGrid w:linePitch="360"/>
        </w:sectPr>
      </w:pPr>
      <w:r>
        <w:t xml:space="preserve"> </w:t>
      </w:r>
      <w:bookmarkEnd w:id="575"/>
    </w:p>
    <w:p w:rsidR="00FB0C75" w:rsidRDefault="00525E53" w:rsidP="00FB0C75">
      <w:pPr>
        <w:pStyle w:val="HEADER1Part2"/>
      </w:pPr>
      <w:bookmarkStart w:id="578" w:name="_Toc485724207"/>
      <w:bookmarkStart w:id="579" w:name="_Toc491678834"/>
      <w:bookmarkStart w:id="580" w:name="_DMBM_8996"/>
      <w:r>
        <w:t>INFORMATIONS RELATIVES AUX PARTIES LIÉES</w:t>
      </w:r>
      <w:bookmarkEnd w:id="578"/>
      <w:bookmarkEnd w:id="579"/>
    </w:p>
    <w:p w:rsidR="00FB0C75" w:rsidRPr="000D2768" w:rsidRDefault="00525E53" w:rsidP="00FB0C75">
      <w:pPr>
        <w:pStyle w:val="HEADER2Part2"/>
      </w:pPr>
      <w:r>
        <w:t>PARTIES LIÉES</w:t>
      </w:r>
    </w:p>
    <w:p w:rsidR="00FB0C75" w:rsidRDefault="00525E53" w:rsidP="00FB0C75">
      <w:pPr>
        <w:pStyle w:val="Textstand-alone"/>
      </w:pPr>
      <w:r>
        <w:t>Les parties liées de l’UE sont les entités consolidées de l’UE, les entités associées et les principaux dirigeants de ces entités. Les transactions qui ont lieu entre ces entités sont réalisées dans le cadre des opérations normales de l’UE. Conformément aux règles comptables de l’UE, aucune information spécifique n’est exigée dans le cadre de ces transactions.</w:t>
      </w:r>
    </w:p>
    <w:p w:rsidR="00FB0C75" w:rsidRPr="00D355BC" w:rsidRDefault="00525E53" w:rsidP="00FB0C75">
      <w:pPr>
        <w:pStyle w:val="HEADER2Part2"/>
      </w:pPr>
      <w:r>
        <w:t>DROITS DES PRINCIPAUX DIRIGEANTS</w:t>
      </w:r>
    </w:p>
    <w:p w:rsidR="00FB0C75" w:rsidRDefault="00525E53" w:rsidP="00FB0C75">
      <w:pPr>
        <w:pStyle w:val="Textstand-alone"/>
      </w:pPr>
      <w:r>
        <w:t>Aux fins de la communication d’informations sur les transactions avec des parties liées concernant les principaux dirigeants de l’UE, les intéressés sont répartis en cinq catégories:</w:t>
      </w:r>
    </w:p>
    <w:p w:rsidR="00FB0C75" w:rsidRDefault="00525E53" w:rsidP="00FB0C75">
      <w:pPr>
        <w:pStyle w:val="Textstand-alone"/>
      </w:pPr>
      <w:r>
        <w:rPr>
          <w:noProof w:val="0"/>
          <w:color w:val="016794"/>
        </w:rPr>
        <w:t xml:space="preserve">Catégorie </w:t>
      </w:r>
      <w:r w:rsidRPr="00031A85">
        <w:rPr>
          <w:noProof w:val="0"/>
          <w:color w:val="016794"/>
        </w:rPr>
        <w:t>1</w:t>
      </w:r>
      <w:r>
        <w:rPr>
          <w:noProof w:val="0"/>
          <w:color w:val="016794"/>
        </w:rPr>
        <w:t>:</w:t>
      </w:r>
      <w:r>
        <w:t xml:space="preserve"> les présidents du Conseil européen, de la Commission et de la Cour de justice de l'Union européenne.</w:t>
      </w:r>
    </w:p>
    <w:p w:rsidR="00FB0C75" w:rsidRDefault="00525E53" w:rsidP="00FB0C75">
      <w:pPr>
        <w:pStyle w:val="Textstand-alone"/>
      </w:pPr>
      <w:r>
        <w:rPr>
          <w:noProof w:val="0"/>
          <w:color w:val="016794"/>
        </w:rPr>
        <w:t xml:space="preserve">Catégorie </w:t>
      </w:r>
      <w:r w:rsidRPr="00031A85">
        <w:rPr>
          <w:noProof w:val="0"/>
          <w:color w:val="016794"/>
        </w:rPr>
        <w:t>2</w:t>
      </w:r>
      <w:r>
        <w:rPr>
          <w:noProof w:val="0"/>
          <w:color w:val="016794"/>
        </w:rPr>
        <w:t>:</w:t>
      </w:r>
      <w:r>
        <w:rPr>
          <w:b/>
        </w:rPr>
        <w:t xml:space="preserve"> </w:t>
      </w:r>
      <w:r>
        <w:t>le vice-président de la Commission et haut représentant de l’Union pour les affaires étrangères et la politique de sécurité, ainsi que les autres vice-présidents de la Commission.</w:t>
      </w:r>
    </w:p>
    <w:p w:rsidR="00FB0C75" w:rsidRDefault="00525E53" w:rsidP="00FB0C75">
      <w:pPr>
        <w:pStyle w:val="Textstand-alone"/>
      </w:pPr>
      <w:r>
        <w:rPr>
          <w:noProof w:val="0"/>
          <w:color w:val="016794"/>
        </w:rPr>
        <w:t xml:space="preserve">Catégorie </w:t>
      </w:r>
      <w:r w:rsidRPr="00031A85">
        <w:rPr>
          <w:noProof w:val="0"/>
          <w:color w:val="016794"/>
        </w:rPr>
        <w:t>3</w:t>
      </w:r>
      <w:r>
        <w:rPr>
          <w:noProof w:val="0"/>
          <w:color w:val="016794"/>
        </w:rPr>
        <w:t>:</w:t>
      </w:r>
      <w:r>
        <w:t xml:space="preserve"> le secrétaire général du Conseil, les membres de la Commission, les juges et avocats généraux de la Cour de justice de l’Union européenne, le président et les membres du Tribunal, le président et les membres du Tribunal de la fonction publique de l’Union européenne, le Médiateur européen et le Contrôleur européen de la protection des données.</w:t>
      </w:r>
    </w:p>
    <w:p w:rsidR="00FB0C75" w:rsidRDefault="00525E53" w:rsidP="00FB0C75">
      <w:pPr>
        <w:pStyle w:val="Textstand-alone"/>
      </w:pPr>
      <w:r>
        <w:rPr>
          <w:noProof w:val="0"/>
          <w:color w:val="016794"/>
        </w:rPr>
        <w:t xml:space="preserve">Catégorie </w:t>
      </w:r>
      <w:r w:rsidRPr="00031A85">
        <w:rPr>
          <w:noProof w:val="0"/>
          <w:color w:val="016794"/>
        </w:rPr>
        <w:t>4</w:t>
      </w:r>
      <w:r>
        <w:rPr>
          <w:noProof w:val="0"/>
          <w:color w:val="016794"/>
        </w:rPr>
        <w:t>:</w:t>
      </w:r>
      <w:r>
        <w:t xml:space="preserve"> le président et les membres de la Cour des comptes européenne.</w:t>
      </w:r>
    </w:p>
    <w:p w:rsidR="00FB0C75" w:rsidRDefault="00525E53" w:rsidP="00FB0C75">
      <w:pPr>
        <w:pStyle w:val="Textstand-alone"/>
      </w:pPr>
      <w:r>
        <w:rPr>
          <w:noProof w:val="0"/>
          <w:color w:val="016794"/>
        </w:rPr>
        <w:t xml:space="preserve">Catégorie </w:t>
      </w:r>
      <w:r w:rsidRPr="00031A85">
        <w:rPr>
          <w:noProof w:val="0"/>
          <w:color w:val="016794"/>
        </w:rPr>
        <w:t>5</w:t>
      </w:r>
      <w:r>
        <w:rPr>
          <w:noProof w:val="0"/>
          <w:color w:val="016794"/>
        </w:rPr>
        <w:t>:</w:t>
      </w:r>
      <w:r>
        <w:t xml:space="preserve"> les fonctionnaires les plus haut placés des institutions et agences.</w:t>
      </w:r>
    </w:p>
    <w:p w:rsidR="00FB0C75" w:rsidRDefault="00525E53" w:rsidP="00FB0C75">
      <w:pPr>
        <w:pStyle w:val="Textstand-alone"/>
      </w:pPr>
      <w:r>
        <w:t>Une synthèse de leurs droits est présentée ci-dessous. D’autres informations sont également disponibles dans le statut des fonctionnaires, document officiel définissant les droits et obligations des fonctionnaires de l’UE qui est publié sur le site internet Europa. Aucun prêt à taux bonifié n’a été consenti par l’UE aux principaux dirigeants.</w:t>
      </w:r>
    </w:p>
    <w:p w:rsidR="00FB0C75" w:rsidRDefault="00525E53" w:rsidP="00FB0C75">
      <w:pPr>
        <w:pStyle w:val="HEADERTABLE"/>
      </w:pPr>
      <w:r>
        <w:br w:type="page"/>
        <w:t>DROITS PÉCUNIAIRES DES PRINCIPAUX DIRIGEANTS</w:t>
      </w:r>
    </w:p>
    <w:p w:rsidR="00FB0C75" w:rsidRDefault="00525E53" w:rsidP="00FB0C75">
      <w:pPr>
        <w:pStyle w:val="Textstand-alone"/>
      </w:pPr>
      <w: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320"/>
        <w:gridCol w:w="1359"/>
        <w:gridCol w:w="1407"/>
        <w:gridCol w:w="1408"/>
        <w:gridCol w:w="1407"/>
      </w:tblGrid>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81" w:name="DOC_TBL00090_1_1"/>
            <w:bookmarkEnd w:id="581"/>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2815" w:type="dxa"/>
            <w:gridSpan w:val="2"/>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en EUR</w:t>
            </w:r>
          </w:p>
        </w:tc>
      </w:tr>
      <w:tr w:rsidR="005B4EEC" w:rsidTr="00E41289">
        <w:tc>
          <w:tcPr>
            <w:tcW w:w="29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Left"/>
              <w:rPr>
                <w:rFonts w:cs="Verdana"/>
              </w:rPr>
            </w:pPr>
            <w:r>
              <w:t>Droits individuels (par employé)</w:t>
            </w:r>
          </w:p>
        </w:tc>
        <w:tc>
          <w:tcPr>
            <w:tcW w:w="132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t xml:space="preserve">Catégorie </w:t>
            </w:r>
            <w:r w:rsidRPr="00031A85">
              <w:t>1</w:t>
            </w:r>
          </w:p>
        </w:tc>
        <w:tc>
          <w:tcPr>
            <w:tcW w:w="13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t xml:space="preserve">Catégorie </w:t>
            </w:r>
            <w:r w:rsidRPr="00031A85">
              <w:t>2</w:t>
            </w:r>
          </w:p>
        </w:tc>
        <w:tc>
          <w:tcPr>
            <w:tcW w:w="140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t xml:space="preserve">Catégorie </w:t>
            </w:r>
            <w:r w:rsidRPr="00031A85">
              <w:t>3</w:t>
            </w:r>
          </w:p>
        </w:tc>
        <w:tc>
          <w:tcPr>
            <w:tcW w:w="140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t xml:space="preserve">Catégorie </w:t>
            </w:r>
            <w:r w:rsidRPr="00031A85">
              <w:t>4</w:t>
            </w:r>
          </w:p>
        </w:tc>
        <w:tc>
          <w:tcPr>
            <w:tcW w:w="140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t xml:space="preserve">Catégorie </w:t>
            </w:r>
            <w:r w:rsidRPr="00031A85">
              <w:t>5</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Traitement de base (mensuel)</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27</w:t>
            </w:r>
            <w:r>
              <w:t xml:space="preserve"> </w:t>
            </w:r>
            <w:r w:rsidRPr="00031A85">
              <w:t>031</w:t>
            </w:r>
            <w:r>
              <w:t>,</w:t>
            </w:r>
            <w:r w:rsidRPr="00031A85">
              <w:t>43</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24</w:t>
            </w:r>
            <w:r>
              <w:t xml:space="preserve"> </w:t>
            </w:r>
            <w:r w:rsidRPr="00031A85">
              <w:t>484</w:t>
            </w:r>
            <w:r>
              <w:t>,</w:t>
            </w:r>
            <w:r w:rsidRPr="00031A85">
              <w:t>99</w:t>
            </w:r>
            <w:r>
              <w:t xml:space="preserve">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19</w:t>
            </w:r>
            <w:r>
              <w:t xml:space="preserve"> </w:t>
            </w:r>
            <w:r w:rsidRPr="00031A85">
              <w:t>587</w:t>
            </w:r>
            <w:r>
              <w:t>,</w:t>
            </w:r>
            <w:r w:rsidRPr="00031A85">
              <w:t>99</w:t>
            </w:r>
            <w:r>
              <w:t xml:space="preserve"> -</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21</w:t>
            </w:r>
            <w:r>
              <w:t xml:space="preserve"> </w:t>
            </w:r>
            <w:r w:rsidRPr="00031A85">
              <w:t>155</w:t>
            </w:r>
            <w:r>
              <w:t>,</w:t>
            </w:r>
            <w:r w:rsidRPr="00031A85">
              <w:t>03</w:t>
            </w:r>
            <w:r>
              <w:t xml:space="preserve">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12</w:t>
            </w:r>
            <w:r>
              <w:t xml:space="preserve"> </w:t>
            </w:r>
            <w:r w:rsidRPr="00031A85">
              <w:t>455</w:t>
            </w:r>
            <w:r>
              <w:t>,</w:t>
            </w:r>
            <w:r w:rsidRPr="00031A85">
              <w:t>10</w:t>
            </w:r>
            <w:r>
              <w:t xml:space="preserve"> -</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8pBoldLeft"/>
              <w:rPr>
                <w:rFonts w:eastAsia="Times New Roman" w:cs="Verdana"/>
              </w:rPr>
            </w:pP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25</w:t>
            </w:r>
            <w:r>
              <w:t xml:space="preserve"> </w:t>
            </w:r>
            <w:r w:rsidRPr="00031A85">
              <w:t>464</w:t>
            </w:r>
            <w:r>
              <w:t>,</w:t>
            </w:r>
            <w:r w:rsidRPr="00031A85">
              <w:t>39</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22</w:t>
            </w:r>
            <w:r>
              <w:t xml:space="preserve"> </w:t>
            </w:r>
            <w:r w:rsidRPr="00031A85">
              <w:t>036</w:t>
            </w:r>
            <w:r>
              <w:t>,</w:t>
            </w:r>
            <w:r w:rsidRPr="00031A85">
              <w:t>49</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22</w:t>
            </w:r>
            <w:r>
              <w:t xml:space="preserve"> </w:t>
            </w:r>
            <w:r w:rsidRPr="00031A85">
              <w:t>526</w:t>
            </w:r>
            <w:r>
              <w:t>,</w:t>
            </w:r>
            <w:r w:rsidRPr="00031A85">
              <w:t>20</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19</w:t>
            </w:r>
            <w:r>
              <w:t xml:space="preserve"> </w:t>
            </w:r>
            <w:r w:rsidRPr="00031A85">
              <w:t>587</w:t>
            </w:r>
            <w:r>
              <w:t>,</w:t>
            </w:r>
            <w:r w:rsidRPr="00031A85">
              <w:t>99</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 xml:space="preserve">Indemnité résidentielle/d’expatriation </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15</w:t>
            </w:r>
            <w:r>
              <w:t>%</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15</w:t>
            </w:r>
            <w:r>
              <w:t>%</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15</w:t>
            </w:r>
            <w:r>
              <w:t>%</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15</w:t>
            </w:r>
            <w:r>
              <w:t>%</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0</w:t>
            </w:r>
            <w:r>
              <w:t>-</w:t>
            </w:r>
            <w:r w:rsidRPr="00031A85">
              <w:t>4</w:t>
            </w:r>
            <w:r>
              <w:t>%-</w:t>
            </w:r>
            <w:r w:rsidRPr="00031A85">
              <w:t>16</w:t>
            </w:r>
            <w:r>
              <w:t>%</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Allocations familiales: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Foyer (% traitement)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w:t>
            </w:r>
            <w:r>
              <w:t xml:space="preserve">% + </w:t>
            </w:r>
            <w:r w:rsidRPr="00031A85">
              <w:t>181</w:t>
            </w:r>
            <w:r>
              <w:t>,</w:t>
            </w:r>
            <w:r w:rsidRPr="00031A85">
              <w:t>82</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w:t>
            </w:r>
            <w:r>
              <w:t xml:space="preserve">% + </w:t>
            </w:r>
            <w:r w:rsidRPr="00031A85">
              <w:t>181</w:t>
            </w:r>
            <w:r>
              <w:t>,</w:t>
            </w:r>
            <w:r w:rsidRPr="00031A85">
              <w:t>82</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w:t>
            </w:r>
            <w:r>
              <w:t xml:space="preserve">% + </w:t>
            </w:r>
            <w:r w:rsidRPr="00031A85">
              <w:t>181</w:t>
            </w:r>
            <w:r>
              <w:t>,</w:t>
            </w:r>
            <w:r w:rsidRPr="00031A85">
              <w:t>82</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w:t>
            </w:r>
            <w:r>
              <w:t xml:space="preserve">% + </w:t>
            </w:r>
            <w:r w:rsidRPr="00031A85">
              <w:t>181</w:t>
            </w:r>
            <w:r>
              <w:t>,</w:t>
            </w:r>
            <w:r w:rsidRPr="00031A85">
              <w:t>82</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w:t>
            </w:r>
            <w:r>
              <w:t xml:space="preserve">% + </w:t>
            </w:r>
            <w:r w:rsidRPr="00031A85">
              <w:t>181</w:t>
            </w:r>
            <w:r>
              <w:t>,</w:t>
            </w:r>
            <w:r w:rsidRPr="00031A85">
              <w:t>82</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Enfant à charge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397</w:t>
            </w:r>
            <w:r>
              <w:t>,</w:t>
            </w:r>
            <w:r w:rsidRPr="00031A85">
              <w:t>29</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397</w:t>
            </w:r>
            <w:r>
              <w:t>,</w:t>
            </w:r>
            <w:r w:rsidRPr="00031A85">
              <w:t>29</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397</w:t>
            </w:r>
            <w:r>
              <w:t>,</w:t>
            </w:r>
            <w:r w:rsidRPr="00031A85">
              <w:t>29</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397</w:t>
            </w:r>
            <w:r>
              <w:t>,</w:t>
            </w:r>
            <w:r w:rsidRPr="00031A85">
              <w:t>29</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397</w:t>
            </w:r>
            <w:r>
              <w:t>,</w:t>
            </w:r>
            <w:r w:rsidRPr="00031A85">
              <w:t>29</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Allocation préscolaire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97</w:t>
            </w:r>
            <w:r>
              <w:t>,</w:t>
            </w:r>
            <w:r w:rsidRPr="00031A85">
              <w:t>05</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97</w:t>
            </w:r>
            <w:r>
              <w:t>,</w:t>
            </w:r>
            <w:r w:rsidRPr="00031A85">
              <w:t>05</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97</w:t>
            </w:r>
            <w:r>
              <w:t>,</w:t>
            </w:r>
            <w:r w:rsidRPr="00031A85">
              <w:t>05</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97</w:t>
            </w:r>
            <w:r>
              <w:t>,</w:t>
            </w:r>
            <w:r w:rsidRPr="00031A85">
              <w:t>05</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97</w:t>
            </w:r>
            <w:r>
              <w:t>,</w:t>
            </w:r>
            <w:r w:rsidRPr="00031A85">
              <w:t>05</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Allocation scolaire ou</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269</w:t>
            </w:r>
            <w:r>
              <w:t>,</w:t>
            </w:r>
            <w:r w:rsidRPr="00031A85">
              <w:t>56</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269</w:t>
            </w:r>
            <w:r>
              <w:t>,</w:t>
            </w:r>
            <w:r w:rsidRPr="00031A85">
              <w:t>56</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269</w:t>
            </w:r>
            <w:r>
              <w:t>,</w:t>
            </w:r>
            <w:r w:rsidRPr="00031A85">
              <w:t>56</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269</w:t>
            </w:r>
            <w:r>
              <w:t>,</w:t>
            </w:r>
            <w:r w:rsidRPr="00031A85">
              <w:t>56</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269</w:t>
            </w:r>
            <w:r>
              <w:t>,</w:t>
            </w:r>
            <w:r w:rsidRPr="00031A85">
              <w:t>56</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Éducation en dehors du lieu de travail</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539</w:t>
            </w:r>
            <w:r>
              <w:t>,</w:t>
            </w:r>
            <w:r w:rsidRPr="00031A85">
              <w:t>12</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539</w:t>
            </w:r>
            <w:r>
              <w:t>,</w:t>
            </w:r>
            <w:r w:rsidRPr="00031A85">
              <w:t>12</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539</w:t>
            </w:r>
            <w:r>
              <w:t>,</w:t>
            </w:r>
            <w:r w:rsidRPr="00031A85">
              <w:t>12</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539</w:t>
            </w:r>
            <w:r>
              <w:t>,</w:t>
            </w:r>
            <w:r w:rsidRPr="00031A85">
              <w:t>12</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539</w:t>
            </w:r>
            <w:r>
              <w:t>,</w:t>
            </w:r>
            <w:r w:rsidRPr="00031A85">
              <w:t>12</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Indemnité des juges présidents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627</w:t>
            </w:r>
            <w:r>
              <w:t>,</w:t>
            </w:r>
            <w:r w:rsidRPr="00031A85">
              <w:t>76</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Indemnité de représentation</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 xml:space="preserve"> </w:t>
            </w:r>
            <w:r w:rsidRPr="00031A85">
              <w:t>464</w:t>
            </w:r>
            <w:r>
              <w:t>,</w:t>
            </w:r>
            <w:r w:rsidRPr="00031A85">
              <w:t>87</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941</w:t>
            </w:r>
            <w:r>
              <w:t>,</w:t>
            </w:r>
            <w:r w:rsidRPr="00031A85">
              <w:t>46</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627</w:t>
            </w:r>
            <w:r>
              <w:t>,</w:t>
            </w:r>
            <w:r w:rsidRPr="00031A85">
              <w:t>76</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Frais de voyage annuels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Transferts vers un autre État membre:</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Allocation scolaire*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Oui</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Oui</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Oui</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Oui</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Oui</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 du traitement*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w:t>
            </w: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w:t>
            </w:r>
            <w:r>
              <w:t>%</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w:t>
            </w:r>
            <w:r>
              <w:t>%</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w:t>
            </w:r>
            <w:r>
              <w:t>%</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w:t>
            </w:r>
            <w:r>
              <w:t>%</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 du traitement sans cc</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max. </w:t>
            </w:r>
            <w:r w:rsidRPr="00031A85">
              <w:t>25</w:t>
            </w:r>
            <w:r>
              <w:t> %</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max. </w:t>
            </w:r>
            <w:r w:rsidRPr="00031A85">
              <w:t>25</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max. </w:t>
            </w:r>
            <w:r w:rsidRPr="00031A85">
              <w:t>25</w:t>
            </w:r>
            <w:r>
              <w:t> %</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max. </w:t>
            </w:r>
            <w:r w:rsidRPr="00031A85">
              <w:t>25</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max. </w:t>
            </w:r>
            <w:r w:rsidRPr="00031A85">
              <w:t>25</w:t>
            </w:r>
            <w:r>
              <w:t> %</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Frais de représentation</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Remboursés</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Remboursés</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Remboursés</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s.o.</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Entrée en fonction:</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d’installation</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54</w:t>
            </w:r>
            <w:r>
              <w:t xml:space="preserve"> </w:t>
            </w:r>
            <w:r w:rsidRPr="00031A85">
              <w:t>062</w:t>
            </w:r>
            <w:r>
              <w:t>,</w:t>
            </w:r>
            <w:r w:rsidRPr="00031A85">
              <w:t>86</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48</w:t>
            </w:r>
            <w:r>
              <w:t xml:space="preserve"> </w:t>
            </w:r>
            <w:r w:rsidRPr="00031A85">
              <w:t>969</w:t>
            </w:r>
            <w:r>
              <w:t>,</w:t>
            </w:r>
            <w:r w:rsidRPr="00031A85">
              <w:t>98</w:t>
            </w:r>
            <w:r>
              <w:t xml:space="preserve">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39</w:t>
            </w:r>
            <w:r>
              <w:t xml:space="preserve"> </w:t>
            </w:r>
            <w:r w:rsidRPr="00031A85">
              <w:t>175</w:t>
            </w:r>
            <w:r>
              <w:t>,</w:t>
            </w:r>
            <w:r w:rsidRPr="00031A85">
              <w:t>99</w:t>
            </w:r>
            <w:r>
              <w:t xml:space="preserve"> -</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42</w:t>
            </w:r>
            <w:r>
              <w:t xml:space="preserve"> </w:t>
            </w:r>
            <w:r w:rsidRPr="00031A85">
              <w:t>310</w:t>
            </w:r>
            <w:r>
              <w:t>,</w:t>
            </w:r>
            <w:r w:rsidRPr="00031A85">
              <w:t>07</w:t>
            </w:r>
            <w:r>
              <w:t xml:space="preserve">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NormalLeft"/>
              <w:ind w:left="0"/>
              <w:rPr>
                <w:rFonts w:eastAsia="Times New Roman"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 </w:t>
            </w:r>
            <w:r w:rsidRPr="00031A85">
              <w:t>50</w:t>
            </w:r>
            <w:r>
              <w:t xml:space="preserve"> </w:t>
            </w:r>
            <w:r w:rsidRPr="00031A85">
              <w:t>928</w:t>
            </w:r>
            <w:r>
              <w:t>,</w:t>
            </w:r>
            <w:r w:rsidRPr="00031A85">
              <w:t>78</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 </w:t>
            </w:r>
            <w:r w:rsidRPr="00031A85">
              <w:t>44</w:t>
            </w:r>
            <w:r>
              <w:t xml:space="preserve"> </w:t>
            </w:r>
            <w:r w:rsidRPr="00031A85">
              <w:t>072</w:t>
            </w:r>
            <w:r>
              <w:t>,</w:t>
            </w:r>
            <w:r w:rsidRPr="00031A85">
              <w:t>99</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 xml:space="preserve"> </w:t>
            </w:r>
            <w:r w:rsidRPr="00031A85">
              <w:t>45</w:t>
            </w:r>
            <w:r>
              <w:t xml:space="preserve"> </w:t>
            </w:r>
            <w:r w:rsidRPr="00031A85">
              <w:t>052</w:t>
            </w:r>
            <w:r>
              <w:t>,</w:t>
            </w:r>
            <w:r w:rsidRPr="00031A85">
              <w:t>39</w:t>
            </w: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de voyage de la famille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de déménagement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Cessation de fonctions: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de réinstallation</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27</w:t>
            </w:r>
            <w:r>
              <w:t xml:space="preserve"> </w:t>
            </w:r>
            <w:r w:rsidRPr="00031A85">
              <w:t>031</w:t>
            </w:r>
            <w:r>
              <w:t>,</w:t>
            </w:r>
            <w:r w:rsidRPr="00031A85">
              <w:t>43</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24</w:t>
            </w:r>
            <w:r>
              <w:t xml:space="preserve"> </w:t>
            </w:r>
            <w:r w:rsidRPr="00031A85">
              <w:t>484</w:t>
            </w:r>
            <w:r>
              <w:t>,</w:t>
            </w:r>
            <w:r w:rsidRPr="00031A85">
              <w:t>99</w:t>
            </w:r>
            <w:r>
              <w:t xml:space="preserve">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19</w:t>
            </w:r>
            <w:r>
              <w:t xml:space="preserve"> </w:t>
            </w:r>
            <w:r w:rsidRPr="00031A85">
              <w:t>587</w:t>
            </w:r>
            <w:r>
              <w:t>,</w:t>
            </w:r>
            <w:r w:rsidRPr="00031A85">
              <w:t>99</w:t>
            </w:r>
            <w:r>
              <w:t xml:space="preserve"> -</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21</w:t>
            </w:r>
            <w:r>
              <w:t xml:space="preserve"> </w:t>
            </w:r>
            <w:r w:rsidRPr="00031A85">
              <w:t>155</w:t>
            </w:r>
            <w:r>
              <w:t>,</w:t>
            </w:r>
            <w:r w:rsidRPr="00031A85">
              <w:t>03</w:t>
            </w:r>
            <w:r>
              <w:t xml:space="preserve">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NormalLeft"/>
              <w:ind w:left="0"/>
              <w:rPr>
                <w:rFonts w:eastAsia="Times New Roman"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25</w:t>
            </w:r>
            <w:r>
              <w:t xml:space="preserve"> </w:t>
            </w:r>
            <w:r w:rsidRPr="00031A85">
              <w:t>464</w:t>
            </w:r>
            <w:r>
              <w:t>,</w:t>
            </w:r>
            <w:r w:rsidRPr="00031A85">
              <w:t>39</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22</w:t>
            </w:r>
            <w:r>
              <w:t xml:space="preserve"> </w:t>
            </w:r>
            <w:r w:rsidRPr="00031A85">
              <w:t>036</w:t>
            </w:r>
            <w:r>
              <w:t>,</w:t>
            </w:r>
            <w:r w:rsidRPr="00031A85">
              <w:t>49</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22</w:t>
            </w:r>
            <w:r>
              <w:t xml:space="preserve"> </w:t>
            </w:r>
            <w:r w:rsidRPr="00031A85">
              <w:t>526</w:t>
            </w:r>
            <w:r>
              <w:t>,</w:t>
            </w:r>
            <w:r w:rsidRPr="00031A85">
              <w:t>20</w:t>
            </w: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de voyage de la famille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Frais de déménagement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Remboursés</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Transition (% du traitement)**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40</w:t>
            </w:r>
            <w:r>
              <w:t xml:space="preserve">% - </w:t>
            </w:r>
            <w:r w:rsidRPr="00031A85">
              <w:t>65</w:t>
            </w:r>
            <w:r>
              <w:t>%</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40</w:t>
            </w:r>
            <w:r>
              <w:t xml:space="preserve">% - </w:t>
            </w:r>
            <w:r w:rsidRPr="00031A85">
              <w:t>65</w:t>
            </w:r>
            <w:r>
              <w:t>%</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40</w:t>
            </w:r>
            <w:r>
              <w:t xml:space="preserve">% - </w:t>
            </w:r>
            <w:r w:rsidRPr="00031A85">
              <w:t>65</w:t>
            </w:r>
            <w:r>
              <w:t>%</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40</w:t>
            </w:r>
            <w:r>
              <w:t xml:space="preserve">% - </w:t>
            </w:r>
            <w:r w:rsidRPr="00031A85">
              <w:t>65</w:t>
            </w:r>
            <w:r>
              <w:t>%</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s.o.</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Assurance-maladie</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Couverts</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Couverts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Couverts</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Couverts</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Couverts</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Pension (% traitement, avant impôts)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max. </w:t>
            </w:r>
            <w:r w:rsidRPr="00031A85">
              <w:t>70</w:t>
            </w:r>
            <w:r>
              <w:t> %</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max. </w:t>
            </w:r>
            <w:r w:rsidRPr="00031A85">
              <w:t>70</w:t>
            </w:r>
            <w:r>
              <w:t>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max. </w:t>
            </w:r>
            <w:r w:rsidRPr="00031A85">
              <w:t>70</w:t>
            </w:r>
            <w:r>
              <w:t> %</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max. </w:t>
            </w:r>
            <w:r w:rsidRPr="00031A85">
              <w:t>70</w:t>
            </w:r>
            <w:r>
              <w:t>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max. </w:t>
            </w:r>
            <w:r w:rsidRPr="00031A85">
              <w:t>70</w:t>
            </w:r>
            <w:r>
              <w:t> %</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320"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359"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0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Déductions:</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Impôt sur le traitement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8</w:t>
            </w:r>
            <w:r>
              <w:t xml:space="preserve"> % - </w:t>
            </w:r>
            <w:r w:rsidRPr="00031A85">
              <w:t>45</w:t>
            </w:r>
            <w:r>
              <w:t> %</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8</w:t>
            </w:r>
            <w:r>
              <w:t xml:space="preserve"> % - </w:t>
            </w:r>
            <w:r w:rsidRPr="00031A85">
              <w:t>45</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8</w:t>
            </w:r>
            <w:r>
              <w:t xml:space="preserve"> % - </w:t>
            </w:r>
            <w:r w:rsidRPr="00031A85">
              <w:t>45</w:t>
            </w:r>
            <w:r>
              <w:t> %</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8</w:t>
            </w:r>
            <w:r>
              <w:t xml:space="preserve"> % - </w:t>
            </w:r>
            <w:r w:rsidRPr="00031A85">
              <w:t>45</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8</w:t>
            </w:r>
            <w:r>
              <w:t xml:space="preserve"> % - </w:t>
            </w:r>
            <w:r w:rsidRPr="00031A85">
              <w:t>45</w:t>
            </w:r>
            <w:r>
              <w:t> %</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 xml:space="preserve">Assurance-maladie </w:t>
            </w:r>
            <w:r>
              <w:br/>
              <w:t>(% du traitement)</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w:t>
            </w:r>
            <w:r w:rsidRPr="00031A85">
              <w:t>7</w:t>
            </w:r>
            <w:r>
              <w:t> %</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w:t>
            </w:r>
            <w:r w:rsidRPr="00031A85">
              <w:t>7</w:t>
            </w:r>
            <w:r>
              <w:t>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w:t>
            </w:r>
            <w:r w:rsidRPr="00031A85">
              <w:t>7</w:t>
            </w:r>
            <w:r>
              <w:t> %</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w:t>
            </w:r>
            <w:r w:rsidRPr="00031A85">
              <w:t>7</w:t>
            </w:r>
            <w:r>
              <w:t> %</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sidRPr="00031A85">
              <w:t>1</w:t>
            </w:r>
            <w:r>
              <w:t>,</w:t>
            </w:r>
            <w:r w:rsidRPr="00031A85">
              <w:t>7</w:t>
            </w:r>
            <w:r>
              <w:t> %</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Prélèvement spécial sur le traitement</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7</w:t>
            </w:r>
            <w:r>
              <w:t> %</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7</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7</w:t>
            </w:r>
            <w:r>
              <w:t> %</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7</w:t>
            </w:r>
            <w:r>
              <w:t> %</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6</w:t>
            </w:r>
            <w:r>
              <w:t>-</w:t>
            </w:r>
            <w:r w:rsidRPr="00031A85">
              <w:t>7</w:t>
            </w:r>
            <w:r>
              <w:t> %</w:t>
            </w:r>
          </w:p>
        </w:tc>
      </w:tr>
      <w:tr w:rsidR="005B4EEC" w:rsidTr="00E41289">
        <w:tc>
          <w:tcPr>
            <w:tcW w:w="2988"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t>Cotisation pensions</w:t>
            </w:r>
          </w:p>
        </w:tc>
        <w:tc>
          <w:tcPr>
            <w:tcW w:w="1320"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s.o.</w:t>
            </w:r>
          </w:p>
        </w:tc>
        <w:tc>
          <w:tcPr>
            <w:tcW w:w="1359"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s.o.</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s.o.</w:t>
            </w:r>
          </w:p>
        </w:tc>
        <w:tc>
          <w:tcPr>
            <w:tcW w:w="140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t>s.o.</w:t>
            </w:r>
          </w:p>
        </w:tc>
        <w:tc>
          <w:tcPr>
            <w:tcW w:w="140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sidRPr="00031A85">
              <w:t>9</w:t>
            </w:r>
            <w:r>
              <w:t>,</w:t>
            </w:r>
            <w:r w:rsidRPr="00031A85">
              <w:t>8</w:t>
            </w:r>
            <w:r>
              <w:t> %</w:t>
            </w:r>
          </w:p>
        </w:tc>
      </w:tr>
      <w:tr w:rsidR="005B4EEC" w:rsidTr="00E41289">
        <w:tc>
          <w:tcPr>
            <w:tcW w:w="29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 xml:space="preserve">Nombre de personnes </w:t>
            </w:r>
            <w:r>
              <w:br/>
              <w:t>en fin d’exercice</w:t>
            </w:r>
          </w:p>
        </w:tc>
        <w:tc>
          <w:tcPr>
            <w:tcW w:w="13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3</w:t>
            </w:r>
          </w:p>
        </w:tc>
        <w:tc>
          <w:tcPr>
            <w:tcW w:w="13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6</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93</w:t>
            </w:r>
          </w:p>
        </w:tc>
        <w:tc>
          <w:tcPr>
            <w:tcW w:w="140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28</w:t>
            </w:r>
          </w:p>
        </w:tc>
        <w:tc>
          <w:tcPr>
            <w:tcW w:w="140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sidRPr="00031A85">
              <w:t>112</w:t>
            </w:r>
          </w:p>
        </w:tc>
      </w:tr>
    </w:tbl>
    <w:p w:rsidR="00FB0C75" w:rsidRPr="006C4D4D" w:rsidRDefault="00525E53" w:rsidP="00FB0C75">
      <w:pPr>
        <w:pStyle w:val="Textstand-alone"/>
        <w:spacing w:before="60" w:after="0"/>
        <w:rPr>
          <w:i/>
          <w:sz w:val="14"/>
        </w:rPr>
      </w:pPr>
      <w:r>
        <w:rPr>
          <w:i/>
          <w:sz w:val="14"/>
        </w:rPr>
        <w:t>* Avec application d’un coefficient correcteur («cc»).</w:t>
      </w:r>
    </w:p>
    <w:p w:rsidR="00FB0C75" w:rsidRPr="006C4D4D" w:rsidRDefault="00525E53" w:rsidP="00FB0C75">
      <w:pPr>
        <w:pStyle w:val="Textstand-alone"/>
        <w:spacing w:before="60" w:after="0"/>
        <w:rPr>
          <w:i/>
          <w:sz w:val="14"/>
        </w:rPr>
      </w:pPr>
      <w:r>
        <w:rPr>
          <w:i/>
          <w:sz w:val="14"/>
        </w:rPr>
        <w:t xml:space="preserve">** Payée pendant les </w:t>
      </w:r>
      <w:r w:rsidRPr="00031A85">
        <w:rPr>
          <w:i/>
          <w:sz w:val="14"/>
        </w:rPr>
        <w:t>3</w:t>
      </w:r>
      <w:r>
        <w:rPr>
          <w:i/>
          <w:sz w:val="14"/>
        </w:rPr>
        <w:t xml:space="preserve"> premières années suivant le départ.</w:t>
      </w:r>
    </w:p>
    <w:bookmarkEnd w:id="580"/>
    <w:p w:rsidR="00FB0C75" w:rsidRPr="005E7229" w:rsidRDefault="00FB0C75" w:rsidP="00FB0C75">
      <w:pPr>
        <w:pStyle w:val="Textstand-alone"/>
        <w:rPr>
          <w:i/>
        </w:rPr>
        <w:sectPr w:rsidR="00FB0C75" w:rsidRPr="005E7229" w:rsidSect="00FB0C75">
          <w:headerReference w:type="even" r:id="rId443"/>
          <w:headerReference w:type="default" r:id="rId444"/>
          <w:footerReference w:type="even" r:id="rId445"/>
          <w:footerReference w:type="default" r:id="rId446"/>
          <w:headerReference w:type="first" r:id="rId447"/>
          <w:footerReference w:type="first" r:id="rId448"/>
          <w:pgSz w:w="11906" w:h="16838"/>
          <w:pgMar w:top="1134" w:right="1134" w:bottom="1134" w:left="1134" w:header="709" w:footer="709" w:gutter="0"/>
          <w:cols w:space="708"/>
          <w:docGrid w:linePitch="360"/>
        </w:sectPr>
      </w:pPr>
    </w:p>
    <w:p w:rsidR="00FB0C75" w:rsidRPr="00D23F28" w:rsidRDefault="00525E53" w:rsidP="00FB0C75">
      <w:pPr>
        <w:pStyle w:val="HEADER1Part2"/>
        <w:rPr>
          <w:rFonts w:eastAsia="Calibri"/>
        </w:rPr>
      </w:pPr>
      <w:bookmarkStart w:id="582" w:name="_Toc485724208"/>
      <w:bookmarkStart w:id="583" w:name="_Toc491678835"/>
      <w:bookmarkStart w:id="584" w:name="_DMBM_8900"/>
      <w:r>
        <w:t>ÉVÉNEMENTS POSTÉRIEURS À LA DATE DE CLÔTURE</w:t>
      </w:r>
      <w:bookmarkEnd w:id="582"/>
      <w:bookmarkEnd w:id="583"/>
    </w:p>
    <w:p w:rsidR="00FB0C75" w:rsidRDefault="00525E53" w:rsidP="00FB0C75">
      <w:pPr>
        <w:pStyle w:val="Textstand-alone"/>
      </w:pPr>
      <w:r>
        <w:t>À la date de signature des présents comptes, hormis le sujet exposé ci-dessous, aucune autre question importante ou requérant la production d’informations distinctes sous cette rubrique n’a été portée à l’attention du comptable de la Commission. Les comptes et les notes annexes ont été préparés à l’aide des données les plus récentes disponibles, comme il ressort des informations présentées.</w:t>
      </w:r>
    </w:p>
    <w:p w:rsidR="00FB0C75" w:rsidRDefault="00525E53" w:rsidP="00FB0C75">
      <w:pPr>
        <w:pStyle w:val="Textstand-alone"/>
      </w:pPr>
      <w:r>
        <w:t xml:space="preserve">Le </w:t>
      </w:r>
      <w:r w:rsidRPr="00031A85">
        <w:t>29</w:t>
      </w:r>
      <w:r>
        <w:t> mars </w:t>
      </w:r>
      <w:r w:rsidRPr="00031A85">
        <w:t>2017</w:t>
      </w:r>
      <w:r>
        <w:t>, le Royaume-Uni a officiellement annoncé son intention de quitter l’Union européenne, activant ainsi l’article </w:t>
      </w:r>
      <w:r w:rsidRPr="00031A85">
        <w:t>50</w:t>
      </w:r>
      <w:r>
        <w:t xml:space="preserve"> du traité sur l’Union européenne. Conformément à cet article ainsi qu’aux orientations du Conseil européen sur l’accord financier et aux directives de négociation du Conseil, l’Union doit conclure avec le Royaume-Uni un accord fixant les modalités de son retrait. À la date de signature des présents comptes, le processus de négociation venait de commencer et il n’y a aucune incidence sur la situation financière de l’Union au </w:t>
      </w:r>
      <w:r w:rsidRPr="00031A85">
        <w:t>31</w:t>
      </w:r>
      <w:r>
        <w:t> décembre </w:t>
      </w:r>
      <w:r w:rsidRPr="00031A85">
        <w:t>2016</w:t>
      </w:r>
      <w:r>
        <w:t>.</w:t>
      </w:r>
    </w:p>
    <w:p w:rsidR="00FB0C75" w:rsidRDefault="00525E53" w:rsidP="00FB0C75">
      <w:pPr>
        <w:pStyle w:val="Textstand-alone"/>
        <w:sectPr w:rsidR="00FB0C75" w:rsidSect="00FB0C75">
          <w:headerReference w:type="even" r:id="rId449"/>
          <w:headerReference w:type="default" r:id="rId450"/>
          <w:footerReference w:type="even" r:id="rId451"/>
          <w:footerReference w:type="default" r:id="rId452"/>
          <w:headerReference w:type="first" r:id="rId453"/>
          <w:footerReference w:type="first" r:id="rId454"/>
          <w:pgSz w:w="11906" w:h="16838"/>
          <w:pgMar w:top="1134" w:right="1134" w:bottom="1134" w:left="1134" w:header="709" w:footer="709" w:gutter="0"/>
          <w:cols w:space="708"/>
          <w:docGrid w:linePitch="360"/>
        </w:sectPr>
      </w:pPr>
      <w:r>
        <w:t xml:space="preserve"> </w:t>
      </w:r>
      <w:bookmarkEnd w:id="584"/>
    </w:p>
    <w:p w:rsidR="00FB0C75" w:rsidRDefault="00525E53" w:rsidP="00FB0C75">
      <w:pPr>
        <w:pStyle w:val="HEADER1Part2"/>
      </w:pPr>
      <w:bookmarkStart w:id="585" w:name="_Toc485724209"/>
      <w:bookmarkStart w:id="586" w:name="_Toc491678836"/>
      <w:bookmarkStart w:id="587" w:name="_DMBM_8903"/>
      <w:r>
        <w:t>PÉRIMÈTRE DE CONSOLIDATION</w:t>
      </w:r>
      <w:bookmarkEnd w:id="585"/>
      <w:bookmarkEnd w:id="5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588" w:name="DOC_TBL00091_1_1"/>
            <w:bookmarkEnd w:id="588"/>
            <w:r>
              <w:t>A. ENTITÉS CONTRÔLÉES (</w:t>
            </w:r>
            <w:r w:rsidRPr="00031A85">
              <w:t>52</w:t>
            </w:r>
            <w:r>
              <w:t>)</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rsidRPr="00031A85">
              <w:t>1</w:t>
            </w:r>
            <w:r>
              <w:t>. Institutions et organes consultatifs (</w:t>
            </w:r>
            <w:r w:rsidRPr="00031A85">
              <w:t>11</w:t>
            </w:r>
            <w:r>
              <w:t>)</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Parlement européen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Contrôleur européen de la protection des données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Conseil européen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Comité économique et social européen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Commission européenne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Médiateur européen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Cour des comptes européenne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Comité des régions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Cour de justice de l’Union européenne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Conseil de l’Union européenne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Service européen pour l’action extérieure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rsidRPr="00031A85">
              <w:t>2</w:t>
            </w:r>
            <w:r>
              <w:t>. Agences de l’UE (</w:t>
            </w:r>
            <w:r w:rsidRPr="00031A85">
              <w:t>39</w:t>
            </w:r>
            <w:r>
              <w:t>)</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rPr>
            </w:pPr>
            <w:r w:rsidRPr="00031A85">
              <w:t>2</w:t>
            </w:r>
            <w:r>
              <w:t>.</w:t>
            </w:r>
            <w:r w:rsidRPr="00031A85">
              <w:t>1</w:t>
            </w:r>
            <w:r>
              <w:t>. Agences exécutives (</w:t>
            </w:r>
            <w:r w:rsidRPr="00031A85">
              <w:t>6</w:t>
            </w:r>
            <w:r>
              <w: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exécutive «Éducation, audiovisuel et culture»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exécutive pour les petites et moyennes entreprises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exécutive pour les consommateurs, la santé, l’agriculture et l’alimentation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exécutive pour l’innovation et les réseaux</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exécutive pour la recherche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exécutive du Conseil européen de la recherche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rPr>
            </w:pPr>
            <w:r w:rsidRPr="00031A85">
              <w:t>2</w:t>
            </w:r>
            <w:r>
              <w:t>.</w:t>
            </w:r>
            <w:r w:rsidRPr="00031A85">
              <w:t>2</w:t>
            </w:r>
            <w:r>
              <w:t>. Organismes décentralisés (</w:t>
            </w:r>
            <w:r w:rsidRPr="00031A85">
              <w:t>33</w:t>
            </w:r>
            <w:r>
              <w: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pour la sécurité maritime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Autorité européenne de sécurité des aliments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des médicaments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ferroviaire européenne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Autorité de surveillance du GNSS européen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Office communautaire des variétés végétales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des produits chimiques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européenne de contrôle des pêches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Fusion for Energy (Entreprise commune européenne pour ITER et le développement de l’énergie de fusion)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Observatoire européen des drogues et des toxicomanies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Office de l'Union européenne pour la propriété intellectuelle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Institut européen pour l’égalité entre les hommes et les femmes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Office européen de police (Europol)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pour la sécurité et la santé au travail</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européenne de la sécurité aérienne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Centre européen de prévention et de contrôle des maladies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de l'Union européenne chargée de la sécurité des réseaux et de l’information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pour l’environnement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des droits fondamentaux de l’Union européenne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Centre européen pour le développement de la formation professionnelle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Autorité européenne des assurances et des pensions professionnelles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de coopération des régulateurs de l’énergie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Centre de traduction des organes de l’Union européenne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Autorité bancaire européenne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Autorité européenne des marchés financiers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Bureau européen d’appui en matière d’asile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Fondation européenne pour la formation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Office de l’Organe des régulateurs européens des communications électroniques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Fondation européenne pour l’amélioration des conditions de vie et de travail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Agence européenne de garde-frontières et de garde-côtes (Frontex)</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Agence de l'Union européenne pour la formation des services répressifs (CEPOL)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eu-LISA (Agence européenne pour la gestion opérationnelle des systèmes d’information à grande échelle au sein de l’espace de liberté, de sécurité et de justice)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rsidRPr="00031A85">
              <w:t>3</w:t>
            </w:r>
            <w:r>
              <w:t>. Autres entités contrôlées (</w:t>
            </w:r>
            <w:r w:rsidRPr="00031A85">
              <w:t>2</w:t>
            </w:r>
            <w:r>
              <w:t>)</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Communauté européenne du charbon et de l’acier (en liquidation)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Institut européen d’innovation et de technologie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r>
              <w:t>B. ENTITÉS ASSOCIÉES (</w:t>
            </w:r>
            <w:r w:rsidRPr="00031A85">
              <w:t>1</w:t>
            </w:r>
            <w:r>
              <w:t>)</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 xml:space="preserve">Fonds européen d’investissement </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bl>
    <w:p w:rsidR="00FB0C75" w:rsidRDefault="00FB0C75" w:rsidP="00FB0C75">
      <w:pPr>
        <w:rPr>
          <w:b/>
          <w:color w:val="1F497D"/>
        </w:rPr>
      </w:pPr>
    </w:p>
    <w:p w:rsidR="00FB0C75" w:rsidRDefault="00FB0C75" w:rsidP="00FB0C75">
      <w:pPr>
        <w:pStyle w:val="Textstand-alone"/>
        <w:rPr>
          <w:color w:val="016794"/>
        </w:rPr>
        <w:sectPr w:rsidR="00FB0C75" w:rsidSect="00FB0C75">
          <w:headerReference w:type="even" r:id="rId455"/>
          <w:headerReference w:type="default" r:id="rId456"/>
          <w:footerReference w:type="even" r:id="rId457"/>
          <w:footerReference w:type="default" r:id="rId458"/>
          <w:headerReference w:type="first" r:id="rId459"/>
          <w:footerReference w:type="first" r:id="rId460"/>
          <w:pgSz w:w="11906" w:h="16838"/>
          <w:pgMar w:top="1134" w:right="1134" w:bottom="1134" w:left="1134" w:header="709" w:footer="709" w:gutter="0"/>
          <w:cols w:space="708"/>
          <w:docGrid w:linePitch="360"/>
        </w:sectPr>
      </w:pPr>
    </w:p>
    <w:p w:rsidR="00FB0C75" w:rsidRPr="00F948E3" w:rsidRDefault="00525E53" w:rsidP="00FB0C75">
      <w:pPr>
        <w:pStyle w:val="Textstand-alone"/>
        <w:rPr>
          <w:b/>
          <w:color w:val="016794"/>
        </w:rPr>
      </w:pPr>
      <w:r>
        <w:rPr>
          <w:color w:val="016794"/>
        </w:rPr>
        <w:t>ENTITÉS MINEURES</w:t>
      </w:r>
    </w:p>
    <w:p w:rsidR="00FB0C75" w:rsidRPr="000233D9" w:rsidRDefault="00525E53" w:rsidP="00FB0C75">
      <w:pPr>
        <w:pStyle w:val="Textstand-alone"/>
      </w:pPr>
      <w:r>
        <w:t>Les entités ci-dessous n’ont pas été consolidées au moyen de la méthode de la mise en équivalence dans les états financiers consolidés </w:t>
      </w:r>
      <w:r w:rsidRPr="00031A85">
        <w:t>2016</w:t>
      </w:r>
      <w:r>
        <w:t xml:space="preserve"> de l’Union en raison de leur caractère non significatif:</w:t>
      </w:r>
    </w:p>
    <w:p w:rsidR="00FB0C75" w:rsidRPr="00F948E3" w:rsidRDefault="00525E53" w:rsidP="00FB0C75">
      <w:pPr>
        <w:pStyle w:val="Textstand-alone"/>
        <w:rPr>
          <w:color w:val="016794"/>
        </w:rPr>
      </w:pPr>
      <w:r>
        <w:rPr>
          <w:color w:val="016794"/>
        </w:rPr>
        <w:t xml:space="preserve">Entreprise commune Bio-industries </w:t>
      </w:r>
    </w:p>
    <w:p w:rsidR="00FB0C75" w:rsidRPr="000233D9" w:rsidRDefault="00525E53" w:rsidP="00FB0C75">
      <w:pPr>
        <w:pStyle w:val="Textstand-alone"/>
      </w:pPr>
      <w:r>
        <w:t>L’entreprise commune Bio-industries est un partenariat public-privé (PPP) entre l’UE et le consortium de Bio-industries (BIC). Cette entreprise commune vise à exploiter le potentiel bioéconomique de l’Europe en transformant des résidus et déchets biologiques en produits d’usage courant plus verts, et ce grâce à des technologies innovantes et aux bioraffineries, qui se trouvent au cœur de la bioéconomie.</w:t>
      </w:r>
    </w:p>
    <w:p w:rsidR="00FB0C75" w:rsidRPr="00F948E3" w:rsidRDefault="00525E53" w:rsidP="00FB0C75">
      <w:pPr>
        <w:pStyle w:val="Textstand-alone"/>
        <w:rPr>
          <w:color w:val="016794"/>
        </w:rPr>
      </w:pPr>
      <w:r>
        <w:rPr>
          <w:color w:val="016794"/>
        </w:rPr>
        <w:t>Entreprise commune Clean Sky</w:t>
      </w:r>
    </w:p>
    <w:p w:rsidR="00FB0C75" w:rsidRPr="000233D9" w:rsidRDefault="00525E53" w:rsidP="00FB0C75">
      <w:pPr>
        <w:pStyle w:val="Textstand-alone"/>
      </w:pPr>
      <w:r>
        <w:t>Clean Sky est le principal programme de recherche européen visant à développer des technologies de pointe innovantes destinées à réduire les niveaux de CO</w:t>
      </w:r>
      <w:r w:rsidRPr="00031A85">
        <w:rPr>
          <w:vertAlign w:val="subscript"/>
        </w:rPr>
        <w:t>2</w:t>
      </w:r>
      <w:r>
        <w:t>, d’émissions de gaz et de bruit produits par les aéronefs. Financé par le programme Horizon </w:t>
      </w:r>
      <w:r w:rsidRPr="00031A85">
        <w:t>2020</w:t>
      </w:r>
      <w:r>
        <w:t xml:space="preserve"> de l’Union, Clean Sky contribue au renforcement de la collaboration, du leadership mondial et de la compétitivité de l’industrie aéronautique européenne.</w:t>
      </w:r>
    </w:p>
    <w:p w:rsidR="00FB0C75" w:rsidRPr="00F948E3" w:rsidRDefault="00525E53" w:rsidP="00FB0C75">
      <w:pPr>
        <w:pStyle w:val="Textstand-alone"/>
        <w:rPr>
          <w:color w:val="016794"/>
        </w:rPr>
      </w:pPr>
      <w:r>
        <w:rPr>
          <w:color w:val="016794"/>
        </w:rPr>
        <w:t>Entreprise commune Initiative en matière de médicaments innovants (IMI)</w:t>
      </w:r>
    </w:p>
    <w:p w:rsidR="00FB0C75" w:rsidRPr="000233D9" w:rsidRDefault="00525E53" w:rsidP="00FB0C75">
      <w:pPr>
        <w:pStyle w:val="Textstand-alone"/>
      </w:pPr>
      <w:r>
        <w:t>L’IMI est la plus importante initiative public-privé européenne. Elle vise à accélérer le développement de médicaments plus efficaces et plus sûrs pour les patients. Il s’agit d’une entreprise commune entre l’Union européenne et une association de l'industrie pharmaceutique.</w:t>
      </w:r>
    </w:p>
    <w:p w:rsidR="00FB0C75" w:rsidRPr="00F948E3" w:rsidRDefault="00525E53" w:rsidP="00FB0C75">
      <w:pPr>
        <w:pStyle w:val="Textstand-alone"/>
        <w:rPr>
          <w:color w:val="016794"/>
        </w:rPr>
      </w:pPr>
      <w:r>
        <w:rPr>
          <w:color w:val="016794"/>
        </w:rPr>
        <w:t xml:space="preserve">Entreprise commune Composants et systèmes électroniques pour un leadership européen (ECSEL) (remplace les anciennes EC ENIAC et ARTEMIS) </w:t>
      </w:r>
    </w:p>
    <w:p w:rsidR="00FB0C75" w:rsidRPr="000233D9" w:rsidRDefault="00525E53" w:rsidP="00FB0C75">
      <w:pPr>
        <w:pStyle w:val="Textstand-alone"/>
      </w:pPr>
      <w:r>
        <w:t>ECSEL est un partenariat public-privé dans le domaine des composants et systèmes électroniques. Il vise à combler le fossé entre la recherche et l’exploitation commerciale, à harmoniser les stratégies pour renforcer les investissements européens et nationaux et à créer un écosystème avancé.</w:t>
      </w:r>
    </w:p>
    <w:p w:rsidR="00FB0C75" w:rsidRPr="00F948E3" w:rsidRDefault="00525E53" w:rsidP="00FB0C75">
      <w:pPr>
        <w:pStyle w:val="Textstand-alone"/>
        <w:rPr>
          <w:color w:val="016794"/>
        </w:rPr>
      </w:pPr>
      <w:r>
        <w:rPr>
          <w:color w:val="016794"/>
        </w:rPr>
        <w:t>Entreprise commune Piles à combustible et Hydrogène (PCH)</w:t>
      </w:r>
    </w:p>
    <w:p w:rsidR="00FB0C75" w:rsidRPr="000233D9" w:rsidRDefault="00525E53" w:rsidP="00FB0C75">
      <w:pPr>
        <w:pStyle w:val="Textstand-alone"/>
      </w:pPr>
      <w:r>
        <w:t>PCH est un partenariat public-privé soutenant les activités de recherche, de développement technologique et de démonstration (RDT) dans le domaine des technologies fondées sur les piles à combustible et sur l'hydrogène en Europe. Son objectif est d'accélérer l’introduction de ces technologies sur le marché, en exploitant leur potentiel en tant qu’instrument contribuant à la création d’un système énergétique à faibles émissions de carbone.</w:t>
      </w:r>
    </w:p>
    <w:p w:rsidR="00FB0C75" w:rsidRPr="00F948E3" w:rsidRDefault="00525E53" w:rsidP="00FB0C75">
      <w:pPr>
        <w:pStyle w:val="Textstand-alone"/>
        <w:rPr>
          <w:color w:val="016794"/>
        </w:rPr>
      </w:pPr>
      <w:r>
        <w:rPr>
          <w:color w:val="016794"/>
        </w:rPr>
        <w:t>Entreprise commune Recherche sur la gestion du trafic aérien dans le ciel unique européen (SESAR)</w:t>
      </w:r>
    </w:p>
    <w:p w:rsidR="00FB0C75" w:rsidRPr="000233D9" w:rsidRDefault="00525E53" w:rsidP="00FB0C75">
      <w:pPr>
        <w:pStyle w:val="Textstand-alone"/>
      </w:pPr>
      <w:r>
        <w:t>SESAR est un partenariat public-privé chargé de la modernisation du système européen de gestion du trafic aérien (ATM) en coordonnant et en concentrant les efforts de recherche et d'innovation en la matière déployés dans l’Union.</w:t>
      </w:r>
    </w:p>
    <w:p w:rsidR="00FB0C75" w:rsidRPr="00F948E3" w:rsidRDefault="00525E53" w:rsidP="00FB0C75">
      <w:pPr>
        <w:pStyle w:val="Textstand-alone"/>
        <w:rPr>
          <w:color w:val="016794"/>
        </w:rPr>
      </w:pPr>
      <w:r>
        <w:rPr>
          <w:color w:val="016794"/>
        </w:rPr>
        <w:t>Entreprise commune Shift</w:t>
      </w:r>
      <w:r w:rsidRPr="00031A85">
        <w:rPr>
          <w:color w:val="016794"/>
        </w:rPr>
        <w:t>2</w:t>
      </w:r>
      <w:r>
        <w:rPr>
          <w:color w:val="016794"/>
        </w:rPr>
        <w:t>Rail</w:t>
      </w:r>
    </w:p>
    <w:p w:rsidR="00FB0C75" w:rsidRPr="000233D9" w:rsidRDefault="00525E53" w:rsidP="00FB0C75">
      <w:pPr>
        <w:pStyle w:val="Textstand-alone"/>
      </w:pPr>
      <w:r>
        <w:t>Shift</w:t>
      </w:r>
      <w:r w:rsidRPr="00031A85">
        <w:t>2</w:t>
      </w:r>
      <w:r>
        <w:t>Rail est la première initiative technologique conjointe dans le secteur ferroviaire en Europe qui tente de trouver des solutions ciblées de recherche et innovation (R&amp;I) fondées sur le marché en accélérant l'intégration de technologies nouvelles et avancées dans des solutions novatrices de produits ferroviaires. </w:t>
      </w:r>
    </w:p>
    <w:p w:rsidR="00FB0C75" w:rsidRDefault="00525E53" w:rsidP="00FB0C75">
      <w:pPr>
        <w:pStyle w:val="Textstand-alone"/>
      </w:pPr>
      <w:r>
        <w:t>Les comptes annuels des entités précitées peuvent être consultés sur leurs sites internet respectifs.</w:t>
      </w:r>
    </w:p>
    <w:p w:rsidR="00FB0C75" w:rsidRPr="00F948E3" w:rsidRDefault="00525E53" w:rsidP="00FB0C75">
      <w:pPr>
        <w:pStyle w:val="Textstand-alone"/>
        <w:sectPr w:rsidR="00FB0C75" w:rsidRPr="00F948E3" w:rsidSect="00FB0C75">
          <w:headerReference w:type="even" r:id="rId461"/>
          <w:headerReference w:type="default" r:id="rId462"/>
          <w:footerReference w:type="even" r:id="rId463"/>
          <w:footerReference w:type="default" r:id="rId464"/>
          <w:headerReference w:type="first" r:id="rId465"/>
          <w:footerReference w:type="first" r:id="rId466"/>
          <w:pgSz w:w="11906" w:h="16838"/>
          <w:pgMar w:top="1134" w:right="1134" w:bottom="1134" w:left="1134" w:header="709" w:footer="709" w:gutter="0"/>
          <w:cols w:space="708"/>
          <w:docGrid w:linePitch="360"/>
        </w:sectPr>
      </w:pPr>
      <w:r>
        <w:t xml:space="preserve"> </w:t>
      </w:r>
      <w:bookmarkEnd w:id="587"/>
    </w:p>
    <w:p w:rsidR="00FB0C75" w:rsidRDefault="00FB0C75" w:rsidP="00FB0C75">
      <w:pPr>
        <w:pStyle w:val="Textstand-alone"/>
      </w:pPr>
      <w:bookmarkStart w:id="589" w:name="_DMBM_8933"/>
    </w:p>
    <w:p w:rsidR="00FB0C75" w:rsidRDefault="00FB0C75" w:rsidP="00FB0C75">
      <w:pPr>
        <w:pStyle w:val="Textstand-alone"/>
      </w:pPr>
    </w:p>
    <w:p w:rsidR="00FB0C75" w:rsidRDefault="00FB0C75" w:rsidP="00FB0C75">
      <w:pPr>
        <w:pStyle w:val="Textstand-alone"/>
      </w:pPr>
    </w:p>
    <w:p w:rsidR="00FB0C75" w:rsidRDefault="00FB0C75" w:rsidP="00FB0C75">
      <w:pPr>
        <w:pStyle w:val="Textstand-alon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590" w:name="_Toc485724172"/>
      <w:bookmarkStart w:id="591" w:name="_Toc491678764"/>
      <w:r>
        <w:t>EXAMEN ET ANALYSE DES ÉTATS FINANCIERS</w:t>
      </w:r>
      <w:bookmarkEnd w:id="590"/>
      <w:bookmarkEnd w:id="591"/>
    </w:p>
    <w:p w:rsidR="00FB0C75" w:rsidRPr="009A3272" w:rsidRDefault="00525E53" w:rsidP="00FB0C75">
      <w:pPr>
        <w:pStyle w:val="HEADER5"/>
        <w:spacing w:after="240"/>
        <w:rPr>
          <w:sz w:val="40"/>
          <w:szCs w:val="40"/>
        </w:rPr>
      </w:pPr>
      <w:r>
        <w:rPr>
          <w:sz w:val="40"/>
        </w:rPr>
        <w:t>EXERCICE </w:t>
      </w:r>
      <w:r w:rsidRPr="00031A85">
        <w:rPr>
          <w:sz w:val="40"/>
        </w:rPr>
        <w:t>2016</w:t>
      </w: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Pr="00067EEA" w:rsidRDefault="00525E53" w:rsidP="00FB0C75">
      <w:pPr>
        <w:rPr>
          <w:rFonts w:ascii="Verdana" w:hAnsi="Verdana"/>
          <w:i/>
          <w:noProof/>
          <w:sz w:val="18"/>
          <w:szCs w:val="18"/>
        </w:rPr>
      </w:pPr>
      <w:r>
        <w:rPr>
          <w:rFonts w:ascii="Verdana" w:hAnsi="Verdana"/>
          <w:i/>
          <w:color w:val="016794"/>
          <w:sz w:val="18"/>
        </w:rPr>
        <w:t>Des écarts peuvent sembler exister entre certaines données financières des tableaux ci-dessous lorsqu’elles sont additionnées car les chiffres sont arrondis au million d’EUR.</w:t>
      </w:r>
      <w:r>
        <w:br w:type="page"/>
      </w:r>
    </w:p>
    <w:p w:rsidR="00FB0C75" w:rsidRDefault="00525E53" w:rsidP="00FB0C75">
      <w:pPr>
        <w:pStyle w:val="DGTextstand-alone"/>
      </w:pPr>
      <w:r>
        <w:t>L'objectif de la présente section sur l'examen et l'analyse des états financiers est d’aider le lecteur à comprendre la situation financière, les résultats financiers et les flux de trésorerie présentés dans les états financiers consolidés de l’UE. Les informations présentées ci-après n'ont pas été contrôlées.</w:t>
      </w:r>
    </w:p>
    <w:p w:rsidR="003B65D7" w:rsidRPr="002D1465" w:rsidRDefault="003B65D7" w:rsidP="00FB0C75">
      <w:pPr>
        <w:pStyle w:val="DGTextstand-alone"/>
      </w:pPr>
    </w:p>
    <w:p w:rsidR="00FB0C75" w:rsidRPr="00FE6EB7" w:rsidRDefault="00525E53" w:rsidP="00FB0C75">
      <w:pPr>
        <w:pStyle w:val="HEADER1Part3"/>
        <w:numPr>
          <w:ilvl w:val="0"/>
          <w:numId w:val="21"/>
        </w:numPr>
        <w:tabs>
          <w:tab w:val="clear" w:pos="907"/>
          <w:tab w:val="left" w:pos="993"/>
        </w:tabs>
        <w:ind w:left="993" w:hanging="993"/>
      </w:pPr>
      <w:bookmarkStart w:id="592" w:name="_Toc485733342"/>
      <w:bookmarkStart w:id="593" w:name="_Toc491681426"/>
      <w:r>
        <w:t>ÉTATS FINANCIERS CONSOLIDÉS DE L’UE: SITUATION FINANCIÈRE EN </w:t>
      </w:r>
      <w:r w:rsidRPr="00031A85">
        <w:t>2016</w:t>
      </w:r>
      <w:bookmarkEnd w:id="592"/>
      <w:bookmarkEnd w:id="593"/>
    </w:p>
    <w:p w:rsidR="00FB0C75" w:rsidRPr="002F27C6" w:rsidRDefault="00525E53" w:rsidP="00FB0C75">
      <w:pPr>
        <w:pStyle w:val="HEADER2Part3"/>
        <w:numPr>
          <w:ilvl w:val="0"/>
          <w:numId w:val="23"/>
        </w:numPr>
      </w:pPr>
      <w:bookmarkStart w:id="594" w:name="_Toc485733343"/>
      <w:bookmarkStart w:id="595" w:name="_Toc491681427"/>
      <w:r>
        <w:t>RECETTES</w:t>
      </w:r>
      <w:bookmarkEnd w:id="594"/>
      <w:bookmarkEnd w:id="595"/>
    </w:p>
    <w:p w:rsidR="00FB0C75" w:rsidRDefault="00525E53" w:rsidP="00FB0C75">
      <w:pPr>
        <w:pStyle w:val="DGTextstand-alone"/>
      </w:pPr>
      <w:r>
        <w:t>La plupart des recettes des institutions et organes de l’UE proviennent d'opérations sans contrepartie directe. Le tableau ci-dessous donne un aperçu des principales catégories de recettes de ce type.</w:t>
      </w:r>
    </w:p>
    <w:p w:rsidR="00FB0C75" w:rsidRPr="00D5359C" w:rsidRDefault="00525E53" w:rsidP="00FB0C75">
      <w:pPr>
        <w:pStyle w:val="HEADER5"/>
        <w:rPr>
          <w:b w:val="0"/>
        </w:rPr>
      </w:pPr>
      <w:r>
        <w:rPr>
          <w:b w:val="0"/>
        </w:rPr>
        <w:t>Tendance des recettes provenant d'opérations sans contrepartie directe sur cinq ans, en millions d’EUR</w:t>
      </w:r>
    </w:p>
    <w:p w:rsidR="00FB0C75" w:rsidRDefault="00AD5494" w:rsidP="00FB0C75">
      <w:pPr>
        <w:pStyle w:val="Textstand-alone"/>
        <w:jc w:val="center"/>
      </w:pPr>
      <w:r w:rsidRPr="00AD5494">
        <w:rPr>
          <w:lang w:val="en-GB" w:eastAsia="en-GB" w:bidi="ar-SA"/>
        </w:rPr>
        <w:drawing>
          <wp:inline distT="0" distB="0" distL="0" distR="0" wp14:anchorId="601BF83E" wp14:editId="2C0F456E">
            <wp:extent cx="5018302" cy="3016250"/>
            <wp:effectExtent l="0" t="0" r="0" b="0"/>
            <wp:docPr id="2129979" name="Picture 212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018302" cy="3016250"/>
                    </a:xfrm>
                    <a:prstGeom prst="rect">
                      <a:avLst/>
                    </a:prstGeom>
                    <a:noFill/>
                    <a:ln>
                      <a:noFill/>
                    </a:ln>
                  </pic:spPr>
                </pic:pic>
              </a:graphicData>
            </a:graphic>
          </wp:inline>
        </w:drawing>
      </w:r>
    </w:p>
    <w:p w:rsidR="00FB0C75" w:rsidRDefault="00525E53" w:rsidP="00FB0C75">
      <w:pPr>
        <w:pStyle w:val="DGTextstand-alone"/>
      </w:pPr>
      <w:r>
        <w:t xml:space="preserve">Les principaux aspects à relever en ce qui concerne l'évolution des recettes provenant d'opérations sans contrepartie directe par rapport à </w:t>
      </w:r>
      <w:r w:rsidRPr="00031A85">
        <w:t>2015</w:t>
      </w:r>
      <w:r>
        <w:t xml:space="preserve"> sont les suivants:</w:t>
      </w:r>
    </w:p>
    <w:p w:rsidR="00FB0C75" w:rsidRDefault="00525E53" w:rsidP="00FB0C75">
      <w:pPr>
        <w:pStyle w:val="DGTextstand-alone"/>
        <w:numPr>
          <w:ilvl w:val="0"/>
          <w:numId w:val="17"/>
        </w:numPr>
      </w:pPr>
      <w:r>
        <w:t xml:space="preserve">la diminution des recettes de TVA de </w:t>
      </w:r>
      <w:r w:rsidRPr="00031A85">
        <w:t>2</w:t>
      </w:r>
      <w:r>
        <w:t>,</w:t>
      </w:r>
      <w:r w:rsidRPr="00031A85">
        <w:t>5</w:t>
      </w:r>
      <w:r>
        <w:t xml:space="preserve"> milliards d’EUR, principalement due au taux d’appel réduit de </w:t>
      </w:r>
      <w:r w:rsidRPr="00031A85">
        <w:t>0</w:t>
      </w:r>
      <w:r>
        <w:t>,</w:t>
      </w:r>
      <w:r w:rsidRPr="00031A85">
        <w:t>15</w:t>
      </w:r>
      <w:r>
        <w:t xml:space="preserve"> % pour l’Allemagne, les Pays-Bas et la Suède, qui est devenu applicable à la suite de l’entrée en vigueur, en </w:t>
      </w:r>
      <w:r w:rsidRPr="00031A85">
        <w:t>2016</w:t>
      </w:r>
      <w:r>
        <w:t>, de la décision relative aux ressources propres (DRP) de </w:t>
      </w:r>
      <w:r w:rsidRPr="00031A85">
        <w:t>2014</w:t>
      </w:r>
      <w:r>
        <w:t>, et</w:t>
      </w:r>
    </w:p>
    <w:p w:rsidR="00FB0C75" w:rsidRDefault="00525E53" w:rsidP="00FB0C75">
      <w:pPr>
        <w:pStyle w:val="DGTextstand-alone"/>
        <w:numPr>
          <w:ilvl w:val="0"/>
          <w:numId w:val="17"/>
        </w:numPr>
      </w:pPr>
      <w:r>
        <w:t xml:space="preserve">la forte hausse, de </w:t>
      </w:r>
      <w:r w:rsidRPr="00031A85">
        <w:t>3</w:t>
      </w:r>
      <w:r>
        <w:t>,</w:t>
      </w:r>
      <w:r w:rsidRPr="00031A85">
        <w:t>3</w:t>
      </w:r>
      <w:r>
        <w:t> milliards d’EUR, des recettes tirées des amendes pour des infractions aux règles de concurrence, principalement due aux amendes infligées dans le secteur des poids-lourds et dans le secteur bancaire en </w:t>
      </w:r>
      <w:r w:rsidRPr="00031A85">
        <w:t>2016</w:t>
      </w:r>
      <w:r>
        <w:t>.</w:t>
      </w:r>
    </w:p>
    <w:p w:rsidR="00FB0C75" w:rsidRPr="00D40A00" w:rsidRDefault="00525E53" w:rsidP="00FB0C75">
      <w:pPr>
        <w:pStyle w:val="DGTextstand-alone"/>
      </w:pPr>
      <w:r>
        <w:t>La récupération de dépenses représente les ordres de recouvrement émis par la Commission qui sont encaissés ou déduits de paiements ultérieurs enregistrés dans le système comptable de la Commission, de façon à recouvrer les montants précédemment payés sur le budget de l’UE.</w:t>
      </w:r>
    </w:p>
    <w:p w:rsidR="00FB0C75" w:rsidRPr="002F27C6" w:rsidRDefault="00525E53" w:rsidP="00FB0C75">
      <w:pPr>
        <w:pStyle w:val="HEADER2Part3"/>
        <w:numPr>
          <w:ilvl w:val="0"/>
          <w:numId w:val="23"/>
        </w:numPr>
      </w:pPr>
      <w:bookmarkStart w:id="596" w:name="_Toc485733344"/>
      <w:bookmarkStart w:id="597" w:name="_Toc491681428"/>
      <w:r>
        <w:t>DÉPENSES</w:t>
      </w:r>
      <w:bookmarkEnd w:id="596"/>
      <w:bookmarkEnd w:id="597"/>
    </w:p>
    <w:p w:rsidR="00FB0C75" w:rsidRDefault="00525E53" w:rsidP="00FB0C75">
      <w:pPr>
        <w:pStyle w:val="DGTextstand-alone"/>
      </w:pPr>
      <w:r>
        <w:t xml:space="preserve">Les dépenses, chiffrées à </w:t>
      </w:r>
      <w:r w:rsidRPr="00031A85">
        <w:t>144</w:t>
      </w:r>
      <w:r>
        <w:t>,</w:t>
      </w:r>
      <w:r w:rsidRPr="00031A85">
        <w:t>5</w:t>
      </w:r>
      <w:r>
        <w:t> milliards d’EUR, ont été très inférieures à celles de l’année précédente (</w:t>
      </w:r>
      <w:r w:rsidRPr="00031A85">
        <w:t>155</w:t>
      </w:r>
      <w:r>
        <w:t>,</w:t>
      </w:r>
      <w:r w:rsidRPr="00031A85">
        <w:t>9</w:t>
      </w:r>
      <w:r>
        <w:t> milliards d’EUR en </w:t>
      </w:r>
      <w:r w:rsidRPr="00031A85">
        <w:t>2015</w:t>
      </w:r>
      <w:r>
        <w:t xml:space="preserve">). Une diminution de </w:t>
      </w:r>
      <w:r w:rsidRPr="00031A85">
        <w:t>3</w:t>
      </w:r>
      <w:r>
        <w:t>,</w:t>
      </w:r>
      <w:r w:rsidRPr="00031A85">
        <w:t>7</w:t>
      </w:r>
      <w:r>
        <w:t> milliards d’EUR a été observée pour le Fonds européen de développement régional (FEDER) et le Fonds de cohésion (FC), qui était due à une baisse des dépenses se rapportant à la période de programmation précédente (</w:t>
      </w:r>
      <w:r w:rsidRPr="00031A85">
        <w:t>2007</w:t>
      </w:r>
      <w:r>
        <w:t>-</w:t>
      </w:r>
      <w:r w:rsidRPr="00031A85">
        <w:t>2013</w:t>
      </w:r>
      <w:r>
        <w:t>) conjuguée au lent démarrage de la mise en œuvre de la période de programmation </w:t>
      </w:r>
      <w:r w:rsidRPr="00031A85">
        <w:t>2014</w:t>
      </w:r>
      <w:r>
        <w:t>-</w:t>
      </w:r>
      <w:r w:rsidRPr="00031A85">
        <w:t>2020</w:t>
      </w:r>
      <w:r>
        <w:t xml:space="preserve">. Pour la même raison, les dépenses au titre du Fonds européen agricole pour le développement rural (Feader) et d’autres instruments de développement rural ont elles aussi diminué de </w:t>
      </w:r>
      <w:r w:rsidRPr="00031A85">
        <w:t>3</w:t>
      </w:r>
      <w:r>
        <w:t>,</w:t>
      </w:r>
      <w:r w:rsidRPr="00031A85">
        <w:t>7</w:t>
      </w:r>
      <w:r>
        <w:t> milliards d’EUR.</w:t>
      </w:r>
    </w:p>
    <w:p w:rsidR="00FB0C75" w:rsidRDefault="00525E53" w:rsidP="00FB0C75">
      <w:pPr>
        <w:pStyle w:val="DGTextstand-alone"/>
        <w:spacing w:after="360"/>
      </w:pPr>
      <w:r>
        <w:t>Les grands postes de dépenses (</w:t>
      </w:r>
      <w:r w:rsidRPr="00031A85">
        <w:t>102</w:t>
      </w:r>
      <w:r>
        <w:t>,</w:t>
      </w:r>
      <w:r w:rsidRPr="00031A85">
        <w:t>8</w:t>
      </w:r>
      <w:r>
        <w:t> milliards d’EUR) concernent les paiements de transferts au titre de la gestion partagée. Les principaux Fonds sont les suivants: le Fonds européen agricole de garantie (FEAGA), le Feader et les autres instruments de développement rural, le FEDER et le FC, et le Fonds social européen (FSE). Pour l’exercice </w:t>
      </w:r>
      <w:r w:rsidRPr="00031A85">
        <w:t>2016</w:t>
      </w:r>
      <w:r>
        <w:t xml:space="preserve">, ceux-ci représentent près de </w:t>
      </w:r>
      <w:r w:rsidRPr="00031A85">
        <w:t>71</w:t>
      </w:r>
      <w:r>
        <w:t>,</w:t>
      </w:r>
      <w:r w:rsidRPr="00031A85">
        <w:t>1</w:t>
      </w:r>
      <w:r>
        <w:t xml:space="preserve"> % des dépenses totales. </w:t>
      </w:r>
    </w:p>
    <w:p w:rsidR="00FB0C75" w:rsidRDefault="00AD5494" w:rsidP="00FB0C75">
      <w:pPr>
        <w:pStyle w:val="Textstand-alone"/>
        <w:jc w:val="center"/>
      </w:pPr>
      <w:r w:rsidRPr="00AD5494">
        <w:rPr>
          <w:lang w:val="en-GB" w:eastAsia="en-GB" w:bidi="ar-SA"/>
        </w:rPr>
        <w:drawing>
          <wp:inline distT="0" distB="0" distL="0" distR="0" wp14:anchorId="60E75DCF" wp14:editId="2706A7AA">
            <wp:extent cx="4672867" cy="2692400"/>
            <wp:effectExtent l="0" t="0" r="0" b="0"/>
            <wp:docPr id="2129981" name="Picture 212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72867" cy="2692400"/>
                    </a:xfrm>
                    <a:prstGeom prst="rect">
                      <a:avLst/>
                    </a:prstGeom>
                    <a:noFill/>
                    <a:ln>
                      <a:noFill/>
                    </a:ln>
                  </pic:spPr>
                </pic:pic>
              </a:graphicData>
            </a:graphic>
          </wp:inline>
        </w:drawing>
      </w:r>
    </w:p>
    <w:p w:rsidR="00FB0C75" w:rsidRDefault="00525E53" w:rsidP="00FB0C75">
      <w:pPr>
        <w:pStyle w:val="DGTextstand-alone"/>
      </w:pPr>
      <w:r>
        <w:t xml:space="preserve">Les dépenses exposées dans le cadre de la gestion directe sont associées à l’exécution du budget par la Commission, des agences exécutives et des fonds fiduciaires. Sont également incluses dans la gestion directe des dépenses administratives de l'ensemble des institutions et agences de l’UE. Dans le cadre de la gestion indirecte, le budget est exécuté par des agences de l’UE, des organes de l’UE, des pays tiers, des organisations internationales et d’autres entités. Dans l’ensemble, les dépenses exposées au titre de la gestion directe et indirecte représentent environ </w:t>
      </w:r>
      <w:r w:rsidRPr="00031A85">
        <w:t>16</w:t>
      </w:r>
      <w:r>
        <w:t>,</w:t>
      </w:r>
      <w:r w:rsidRPr="00031A85">
        <w:t>2</w:t>
      </w:r>
      <w:r>
        <w:t> % des dépenses totales (</w:t>
      </w:r>
      <w:r w:rsidRPr="00031A85">
        <w:t>23</w:t>
      </w:r>
      <w:r>
        <w:t>,</w:t>
      </w:r>
      <w:r w:rsidRPr="00031A85">
        <w:t>4</w:t>
      </w:r>
      <w:r>
        <w:t> milliards d’EUR) et sont restées stables par rapport à l’exercice précédent.</w:t>
      </w:r>
    </w:p>
    <w:p w:rsidR="00FB0C75" w:rsidRDefault="00525E53" w:rsidP="00FB0C75">
      <w:pPr>
        <w:pStyle w:val="DGTextstand-alone"/>
        <w:rPr>
          <w:color w:val="016794"/>
          <w:sz w:val="20"/>
          <w:szCs w:val="20"/>
        </w:rPr>
      </w:pPr>
      <w:r>
        <w:t xml:space="preserve">En outre, l’UE comptabilise les futures obligations de paiement comme des dépenses qui ne figurent pas encore dans la comptabilité budgétaire de caisse. </w:t>
      </w:r>
      <w:r>
        <w:rPr>
          <w:color w:val="000000" w:themeColor="text1"/>
        </w:rPr>
        <w:t>Celles-ci sont notamment inscrites sous les sommes et charges à payer pour l’agriculture et le développement rural et sous les charges liées aux retraites et avantages du personnel se rapportant aux droits à pension acquis par les commissaires, les membres du PE et le personnel, et entraînent un actif net négatif (ces paiements seront financés par les budgets à venir).</w:t>
      </w:r>
    </w:p>
    <w:p w:rsidR="00FB0C75" w:rsidRPr="002F27C6" w:rsidRDefault="00525E53" w:rsidP="00FB0C75">
      <w:pPr>
        <w:pStyle w:val="HEADER2Part3"/>
        <w:numPr>
          <w:ilvl w:val="0"/>
          <w:numId w:val="23"/>
        </w:numPr>
      </w:pPr>
      <w:bookmarkStart w:id="598" w:name="_Toc485733345"/>
      <w:bookmarkStart w:id="599" w:name="_Toc491681429"/>
      <w:r>
        <w:t>ACTIFS</w:t>
      </w:r>
      <w:bookmarkEnd w:id="598"/>
      <w:bookmarkEnd w:id="599"/>
    </w:p>
    <w:p w:rsidR="00FB0C75" w:rsidRPr="003A281B" w:rsidRDefault="00525E53" w:rsidP="00FB0C75">
      <w:pPr>
        <w:pStyle w:val="HEADER5"/>
        <w:spacing w:after="240"/>
        <w:rPr>
          <w:b w:val="0"/>
        </w:rPr>
      </w:pPr>
      <w:r>
        <w:rPr>
          <w:b w:val="0"/>
        </w:rPr>
        <w:t xml:space="preserve">Actif de </w:t>
      </w:r>
      <w:r w:rsidRPr="00031A85">
        <w:rPr>
          <w:b w:val="0"/>
        </w:rPr>
        <w:t>163</w:t>
      </w:r>
      <w:r>
        <w:rPr>
          <w:b w:val="0"/>
        </w:rPr>
        <w:t> milliards d’EUR au bilan consolidé de l’UE</w:t>
      </w:r>
    </w:p>
    <w:p w:rsidR="00FB0C75" w:rsidRDefault="00BD189F" w:rsidP="00FB0C75">
      <w:pPr>
        <w:pStyle w:val="HEADER5"/>
        <w:spacing w:after="240"/>
        <w:jc w:val="center"/>
      </w:pPr>
      <w:r w:rsidRPr="00BD189F">
        <w:rPr>
          <w:noProof/>
          <w:lang w:val="en-GB" w:eastAsia="en-GB" w:bidi="ar-SA"/>
        </w:rPr>
        <w:drawing>
          <wp:inline distT="0" distB="0" distL="0" distR="0" wp14:anchorId="455AF9F4" wp14:editId="4E33CD46">
            <wp:extent cx="5467350" cy="3594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467350" cy="3594100"/>
                    </a:xfrm>
                    <a:prstGeom prst="rect">
                      <a:avLst/>
                    </a:prstGeom>
                    <a:noFill/>
                    <a:ln>
                      <a:noFill/>
                    </a:ln>
                  </pic:spPr>
                </pic:pic>
              </a:graphicData>
            </a:graphic>
          </wp:inline>
        </w:drawing>
      </w:r>
    </w:p>
    <w:p w:rsidR="00FB0C75" w:rsidRDefault="00525E53" w:rsidP="00FB0C75">
      <w:pPr>
        <w:pStyle w:val="DGTextstand-alone"/>
      </w:pPr>
      <w:r>
        <w:t xml:space="preserve">Les postes les plus importants de l’actif du bilan sont les actifs financiers (prêts, actifs financiers disponibles à la vente, trésorerie) et les montants de préfinancements, qui constituent près de </w:t>
      </w:r>
      <w:r w:rsidRPr="00031A85">
        <w:t>84</w:t>
      </w:r>
      <w:r>
        <w:t xml:space="preserve"> % des actifs de l’UE. Le montant des prêts a diminué de </w:t>
      </w:r>
      <w:r w:rsidRPr="00031A85">
        <w:t>1</w:t>
      </w:r>
      <w:r>
        <w:t>,</w:t>
      </w:r>
      <w:r w:rsidRPr="00031A85">
        <w:t>8</w:t>
      </w:r>
      <w:r>
        <w:t xml:space="preserve"> milliard d’EUR, reculant à </w:t>
      </w:r>
      <w:r w:rsidRPr="00031A85">
        <w:t>55</w:t>
      </w:r>
      <w:r>
        <w:t>,</w:t>
      </w:r>
      <w:r w:rsidRPr="00031A85">
        <w:t>5</w:t>
      </w:r>
      <w:r>
        <w:t xml:space="preserve"> milliards d’EUR, tandis que le montant des instruments financiers disponibles à la vente financés sur le budget de l’UE (instruments budgétaires) a à nouveau augmenté d’environ </w:t>
      </w:r>
      <w:r w:rsidRPr="00031A85">
        <w:t>455</w:t>
      </w:r>
      <w:r>
        <w:t xml:space="preserve"> millions d’EUR (contre </w:t>
      </w:r>
      <w:r w:rsidRPr="00031A85">
        <w:t>460</w:t>
      </w:r>
      <w:r>
        <w:t> millions d’EUR en </w:t>
      </w:r>
      <w:r w:rsidRPr="00031A85">
        <w:t>2015</w:t>
      </w:r>
      <w:r>
        <w:t>). Sont inscrits à l’actif sous «Actifs spatiaux» les actifs relatifs aux programmes Copernicus et Galileo (</w:t>
      </w:r>
      <w:r w:rsidRPr="00031A85">
        <w:t>3</w:t>
      </w:r>
      <w:r>
        <w:t>,</w:t>
      </w:r>
      <w:r w:rsidRPr="00031A85">
        <w:t>3</w:t>
      </w:r>
      <w:r>
        <w:t xml:space="preserve"> milliards d’EUR). Les actifs relatifs à Galileo ont été transférés des immobilisations en cours vers l’actif immobilisé à la suite de la déclaration de services initiaux le </w:t>
      </w:r>
      <w:r w:rsidRPr="00031A85">
        <w:t>15</w:t>
      </w:r>
      <w:r>
        <w:t> décembre </w:t>
      </w:r>
      <w:r w:rsidRPr="00031A85">
        <w:t>2016</w:t>
      </w:r>
      <w:r>
        <w:t>.</w:t>
      </w:r>
    </w:p>
    <w:p w:rsidR="00FB0C75" w:rsidRDefault="00525E53" w:rsidP="00FB0C75">
      <w:pPr>
        <w:pStyle w:val="DGTextstand-alone"/>
        <w:spacing w:after="0"/>
      </w:pPr>
      <w:r>
        <w:t xml:space="preserve">En règle générale, les institutions et organes de l'UE s’efforcent de maintenir à un faible niveau les montants détenus en trésorerie et équivalents de trésorerie. Le montant élevé du solde de trésorerie, soit </w:t>
      </w:r>
      <w:r w:rsidRPr="00031A85">
        <w:t>28</w:t>
      </w:r>
      <w:r>
        <w:t>,</w:t>
      </w:r>
      <w:r w:rsidRPr="00031A85">
        <w:t>6</w:t>
      </w:r>
      <w:r>
        <w:t> milliards d’EUR en fin d’exercice, est principalement dû aux éléments suivants:</w:t>
      </w:r>
    </w:p>
    <w:p w:rsidR="00FB0C75" w:rsidRPr="00290872" w:rsidRDefault="00525E53" w:rsidP="00FB0C75">
      <w:pPr>
        <w:pStyle w:val="Textstand-alone"/>
        <w:numPr>
          <w:ilvl w:val="0"/>
          <w:numId w:val="18"/>
        </w:numPr>
        <w:spacing w:before="120" w:after="120"/>
      </w:pPr>
      <w:r>
        <w:t xml:space="preserve">En ce qui concerne les ressources propres, le solde de fin d’exercice comprend un montant total net de </w:t>
      </w:r>
      <w:r w:rsidRPr="00031A85">
        <w:t>7</w:t>
      </w:r>
      <w:r>
        <w:t>,</w:t>
      </w:r>
      <w:r w:rsidRPr="00031A85">
        <w:t>7</w:t>
      </w:r>
      <w:r>
        <w:t> milliards d’EUR devant être remboursé aux États membres au début de l’année </w:t>
      </w:r>
      <w:r w:rsidRPr="00031A85">
        <w:t>2017</w:t>
      </w:r>
      <w:r>
        <w:t xml:space="preserve"> à la suite des budgets rectificatifs adoptés à la fin de </w:t>
      </w:r>
      <w:r w:rsidRPr="00031A85">
        <w:t>2016</w:t>
      </w:r>
      <w:r>
        <w:t xml:space="preserve">. En outre, des avances sur les ressources propres d’un montant de </w:t>
      </w:r>
      <w:r w:rsidRPr="00031A85">
        <w:t>1</w:t>
      </w:r>
      <w:r>
        <w:t>,</w:t>
      </w:r>
      <w:r w:rsidRPr="00031A85">
        <w:t>5</w:t>
      </w:r>
      <w:r>
        <w:t xml:space="preserve"> milliard d’EUR ont été reçues dans les derniers jours de </w:t>
      </w:r>
      <w:r w:rsidRPr="00031A85">
        <w:t>2016</w:t>
      </w:r>
      <w:r>
        <w:t>.</w:t>
      </w:r>
    </w:p>
    <w:p w:rsidR="00FB0C75" w:rsidRPr="00290872" w:rsidRDefault="00525E53" w:rsidP="00FB0C75">
      <w:pPr>
        <w:pStyle w:val="Textstand-alone"/>
        <w:numPr>
          <w:ilvl w:val="0"/>
          <w:numId w:val="18"/>
        </w:numPr>
        <w:spacing w:before="120" w:after="120"/>
      </w:pPr>
      <w:r>
        <w:t xml:space="preserve">Un montant substantiel de </w:t>
      </w:r>
      <w:r w:rsidRPr="00031A85">
        <w:t>4</w:t>
      </w:r>
      <w:r>
        <w:t>,</w:t>
      </w:r>
      <w:r w:rsidRPr="00031A85">
        <w:t>3</w:t>
      </w:r>
      <w:r>
        <w:t> milliards d’EUR correspondant à des amendes infligées par la Commission pour des infractions aux règles de concurrence a été définitivement encaissé en </w:t>
      </w:r>
      <w:r w:rsidRPr="00031A85">
        <w:t>2016</w:t>
      </w:r>
      <w:r>
        <w:t xml:space="preserve"> et fait partie du solde de trésorerie de fin d’exercice.</w:t>
      </w:r>
    </w:p>
    <w:p w:rsidR="00FB0C75" w:rsidRPr="00BD3246" w:rsidRDefault="00525E53" w:rsidP="00FB0C75">
      <w:pPr>
        <w:pStyle w:val="Textstand-alone"/>
        <w:numPr>
          <w:ilvl w:val="0"/>
          <w:numId w:val="18"/>
        </w:numPr>
        <w:spacing w:before="120"/>
      </w:pPr>
      <w:r>
        <w:t>Le solde de trésorerie comprend également les recettes affectées et les crédits de paiement non dépensés à la fin de l’exercice </w:t>
      </w:r>
      <w:r w:rsidRPr="00031A85">
        <w:t>2016</w:t>
      </w:r>
      <w:r>
        <w:t xml:space="preserve"> pour un montant de </w:t>
      </w:r>
      <w:r w:rsidRPr="00031A85">
        <w:t>11</w:t>
      </w:r>
      <w:r>
        <w:t> milliards d’EUR.</w:t>
      </w:r>
    </w:p>
    <w:p w:rsidR="00FB0C75" w:rsidRPr="003A281B" w:rsidRDefault="00525E53" w:rsidP="00FB0C75">
      <w:pPr>
        <w:pStyle w:val="HEADER5"/>
        <w:rPr>
          <w:b w:val="0"/>
        </w:rPr>
      </w:pPr>
      <w:r>
        <w:rPr>
          <w:b w:val="0"/>
        </w:rPr>
        <w:t>Préfinancements</w:t>
      </w:r>
    </w:p>
    <w:p w:rsidR="00FB0C75" w:rsidRDefault="00525E53" w:rsidP="00FB0C75">
      <w:pPr>
        <w:pStyle w:val="DGTextstand-alone"/>
        <w:spacing w:after="120"/>
      </w:pPr>
      <w:r>
        <w:t>On notera que le niveau des préfinancements est fortement tributaire du cycle du CFP: par exemple, au début de la période couverte par le CFP, l’on peut s’attendre à ce que d’importantes avances soient versées aux États membres au titre de la politique de cohésion. La Commission met tout en œuvre pour faire en sorte que les montants des préfinancements soient maintenus à un niveau approprié. Il s’agit de trouver un juste équilibre entre la garantie d'un financement suffisant des projets et la comptabilisation en temps utile des dépenses.</w:t>
      </w:r>
    </w:p>
    <w:p w:rsidR="00FB0C75" w:rsidRDefault="00525E53" w:rsidP="00FB0C75">
      <w:pPr>
        <w:pStyle w:val="DGTextstand-alone"/>
        <w:spacing w:before="0" w:after="0"/>
      </w:pPr>
      <w:r>
        <w:t xml:space="preserve">Les préfinancements (à l’exclusion des autres avances aux États membres et des contributions aux fonds fiduciaires Bêkou et Afrique) portés au bilan de l’UE s’élèvent, dans l'ensemble, à </w:t>
      </w:r>
      <w:r w:rsidRPr="00031A85">
        <w:t>41</w:t>
      </w:r>
      <w:r>
        <w:t>,</w:t>
      </w:r>
      <w:r w:rsidRPr="00031A85">
        <w:t>6</w:t>
      </w:r>
      <w:r>
        <w:t xml:space="preserve"> milliards d’EUR (contre </w:t>
      </w:r>
      <w:r w:rsidRPr="00031A85">
        <w:t>40</w:t>
      </w:r>
      <w:r>
        <w:t xml:space="preserve"> milliards d’EUR en </w:t>
      </w:r>
      <w:r w:rsidRPr="00031A85">
        <w:t>2015</w:t>
      </w:r>
      <w:r>
        <w:t xml:space="preserve">), dont la quasi-totalité concerne des activités de la Commission. Environ </w:t>
      </w:r>
      <w:r w:rsidRPr="00031A85">
        <w:t>64</w:t>
      </w:r>
      <w:r>
        <w:t> % des préfinancements de la Commission sont liés à la gestion partagée, ce qui signifie que l’exécution du budget est déléguée aux États membres (la Commission conservant un rôle de surveillance).</w:t>
      </w:r>
    </w:p>
    <w:p w:rsidR="00FB0C75" w:rsidRDefault="00FB0C75">
      <w:pPr>
        <w:rPr>
          <w:rFonts w:ascii="Verdana" w:hAnsi="Verdana"/>
          <w:b/>
          <w:color w:val="016794"/>
          <w:sz w:val="18"/>
          <w:szCs w:val="18"/>
        </w:rPr>
      </w:pPr>
    </w:p>
    <w:p w:rsidR="00FB0C75" w:rsidRPr="003A281B" w:rsidRDefault="00525E53" w:rsidP="00FB0C75">
      <w:pPr>
        <w:pStyle w:val="HEADER5"/>
        <w:rPr>
          <w:b w:val="0"/>
        </w:rPr>
      </w:pPr>
      <w:r>
        <w:rPr>
          <w:b w:val="0"/>
        </w:rPr>
        <w:t>Préfinancements de la Commission par mode de gestion</w:t>
      </w:r>
    </w:p>
    <w:p w:rsidR="00FB0C75" w:rsidRDefault="00AD5494" w:rsidP="00FB0C75">
      <w:pPr>
        <w:pStyle w:val="Textstand-alone"/>
        <w:jc w:val="center"/>
      </w:pPr>
      <w:r w:rsidRPr="00AD5494">
        <w:rPr>
          <w:lang w:val="en-GB" w:eastAsia="en-GB" w:bidi="ar-SA"/>
        </w:rPr>
        <w:drawing>
          <wp:inline distT="0" distB="0" distL="0" distR="0" wp14:anchorId="3456C2C8" wp14:editId="7F7B5003">
            <wp:extent cx="4584700" cy="2641600"/>
            <wp:effectExtent l="0" t="0" r="6350" b="6350"/>
            <wp:docPr id="2129983" name="Picture 21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584700" cy="2641600"/>
                    </a:xfrm>
                    <a:prstGeom prst="rect">
                      <a:avLst/>
                    </a:prstGeom>
                    <a:noFill/>
                    <a:ln>
                      <a:noFill/>
                    </a:ln>
                  </pic:spPr>
                </pic:pic>
              </a:graphicData>
            </a:graphic>
          </wp:inline>
        </w:drawing>
      </w:r>
    </w:p>
    <w:p w:rsidR="00FB0C75" w:rsidRDefault="00525E53" w:rsidP="00FB0C75">
      <w:pPr>
        <w:pStyle w:val="DGTextstand-alone"/>
        <w:spacing w:after="120"/>
      </w:pPr>
      <w:r>
        <w:t>Le principal montant de préfinancements en gestion partagée se rapporte au FEDER et au FC (</w:t>
      </w:r>
      <w:r w:rsidRPr="00031A85">
        <w:t>15</w:t>
      </w:r>
      <w:r>
        <w:t>,</w:t>
      </w:r>
      <w:r w:rsidRPr="00031A85">
        <w:t>1</w:t>
      </w:r>
      <w:r>
        <w:t> milliards d’EUR).</w:t>
      </w:r>
    </w:p>
    <w:p w:rsidR="00FB0C75" w:rsidRDefault="00525E53" w:rsidP="00FB0C75">
      <w:pPr>
        <w:pStyle w:val="DGTextstand-alone"/>
        <w:spacing w:before="120" w:after="360"/>
      </w:pPr>
      <w:r>
        <w:t xml:space="preserve">Les préfinancements à long terme ont diminué de </w:t>
      </w:r>
      <w:r w:rsidRPr="00031A85">
        <w:t>8</w:t>
      </w:r>
      <w:r>
        <w:t>,</w:t>
      </w:r>
      <w:r w:rsidRPr="00031A85">
        <w:t>3</w:t>
      </w:r>
      <w:r>
        <w:t xml:space="preserve"> milliards d’EUR, alors que les préfinancements à court terme ont augmenté de </w:t>
      </w:r>
      <w:r w:rsidRPr="00031A85">
        <w:t>9</w:t>
      </w:r>
      <w:r>
        <w:t>,</w:t>
      </w:r>
      <w:r w:rsidRPr="00031A85">
        <w:t>9</w:t>
      </w:r>
      <w:r>
        <w:t> milliards d’EUR. Cette évolution des montants de préfinancement est due au fait que la période de programmation </w:t>
      </w:r>
      <w:r w:rsidRPr="00031A85">
        <w:t>2007</w:t>
      </w:r>
      <w:r>
        <w:t>-</w:t>
      </w:r>
      <w:r w:rsidRPr="00031A85">
        <w:t>2013</w:t>
      </w:r>
      <w:r>
        <w:t xml:space="preserve"> est en phase de clôture et que, par conséquent, les montants venant à échéance dans les douze mois sont en augmentation. En ce qui concerne la période de programmation </w:t>
      </w:r>
      <w:r w:rsidRPr="00031A85">
        <w:t>2014</w:t>
      </w:r>
      <w:r>
        <w:t>-</w:t>
      </w:r>
      <w:r w:rsidRPr="00031A85">
        <w:t>2020</w:t>
      </w:r>
      <w:r>
        <w:t>, les préfinancements initiaux versés sont comptabilisés comme non courants, tandis que les préfinancements annuels sont comptabilisés comme courants.</w:t>
      </w:r>
    </w:p>
    <w:p w:rsidR="00FB0C75" w:rsidRPr="003B2F0B" w:rsidRDefault="00525E53" w:rsidP="00FB0C75">
      <w:pPr>
        <w:pStyle w:val="HEADER5"/>
        <w:rPr>
          <w:b w:val="0"/>
        </w:rPr>
      </w:pPr>
      <w:r>
        <w:rPr>
          <w:b w:val="0"/>
        </w:rPr>
        <w:t>INSTRUMENTS FINANCIERS</w:t>
      </w:r>
    </w:p>
    <w:p w:rsidR="00FB0C75" w:rsidRDefault="00525E53" w:rsidP="00FB0C75">
      <w:pPr>
        <w:pStyle w:val="DGTextstand-alone"/>
        <w:spacing w:after="0"/>
      </w:pPr>
      <w:r>
        <w:t>Les éléments suivants sont présentés, sous l'angle comptable, en tant qu’instruments financiers dans les états financiers consolidés de l’UE:</w:t>
      </w:r>
    </w:p>
    <w:p w:rsidR="00FB0C75" w:rsidRDefault="00525E53" w:rsidP="00FB0C75">
      <w:pPr>
        <w:pStyle w:val="DGTextstand-alone"/>
        <w:numPr>
          <w:ilvl w:val="0"/>
          <w:numId w:val="19"/>
        </w:numPr>
        <w:spacing w:before="120" w:after="0"/>
      </w:pPr>
      <w:r>
        <w:t>les instruments financiers relevant du budget de l’UE;</w:t>
      </w:r>
    </w:p>
    <w:p w:rsidR="00FB0C75" w:rsidRDefault="00525E53" w:rsidP="00FB0C75">
      <w:pPr>
        <w:pStyle w:val="DGTextstand-alone"/>
        <w:numPr>
          <w:ilvl w:val="0"/>
          <w:numId w:val="19"/>
        </w:numPr>
        <w:spacing w:before="120" w:after="0"/>
      </w:pPr>
      <w:r>
        <w:t>les actifs financiers détenus dans des fonds de garantie relatifs aux garanties budgétaires et</w:t>
      </w:r>
    </w:p>
    <w:p w:rsidR="00FB0C75" w:rsidRPr="00796959" w:rsidRDefault="00525E53" w:rsidP="00FB0C75">
      <w:pPr>
        <w:pStyle w:val="DGTextstand-alone"/>
        <w:numPr>
          <w:ilvl w:val="0"/>
          <w:numId w:val="19"/>
        </w:numPr>
        <w:spacing w:before="120"/>
      </w:pPr>
      <w:r>
        <w:t>les prêts et emprunts correspondants relatifs aux programmes d’assistance financière.</w:t>
      </w:r>
    </w:p>
    <w:p w:rsidR="00FB0C75" w:rsidRPr="00796959" w:rsidRDefault="00525E53" w:rsidP="00FB0C75">
      <w:pPr>
        <w:pStyle w:val="HEADER5"/>
        <w:rPr>
          <w:b w:val="0"/>
        </w:rPr>
      </w:pPr>
      <w:r>
        <w:rPr>
          <w:b w:val="0"/>
        </w:rPr>
        <w:t>Instruments financiers relevant du budget de l’UE</w:t>
      </w:r>
    </w:p>
    <w:p w:rsidR="00FB0C75" w:rsidRPr="00796959" w:rsidRDefault="00525E53" w:rsidP="00FB0C75">
      <w:pPr>
        <w:pStyle w:val="DGTextstand-alone"/>
        <w:spacing w:after="0"/>
      </w:pPr>
      <w:r>
        <w:t>L’importance et le volume des instruments financiers relevant du budget de l’UE au titre de la gestion directe et indirecte augmentent d’année en année. Cette stratégie repose - à la différence de la méthode traditionnelle d’exécution budgétaire qui consiste à accorder des aides et des subventions - sur le principe fondamental selon lequel, pour chaque euro du budget versé au titre d'instruments financiers, le bénéficiaire final reçoit plus d'un euro de soutien financier, grâce à l’effet de levier. Cet usage du budget de l’UE vise à accroître autant que possible l'incidence des fonds disponibles. Les instruments financiers relevant du budget de l’UE peuvent prendre la forme d’instruments de garantie, de fonds propres et de prêts - voir ci-après la vue d'ensemble par CFP. Les actifs détenus dans ces instruments le sont en trésorerie et équivalents de trésorerie ou sont investis dans des instruments de fonds propres et des titres de créance indiqués comme actifs financiers disponibles à la vente dans les états financiers consolidés de l’UE.</w:t>
      </w:r>
    </w:p>
    <w:p w:rsidR="00FB0C75" w:rsidRDefault="00FB0C75">
      <w:pPr>
        <w:rPr>
          <w:rFonts w:ascii="Verdana" w:hAnsi="Verdana"/>
          <w:color w:val="016794"/>
          <w:sz w:val="18"/>
          <w:szCs w:val="18"/>
        </w:rPr>
      </w:pPr>
    </w:p>
    <w:p w:rsidR="00FB0C75" w:rsidRPr="00796959" w:rsidRDefault="00525E53" w:rsidP="00FB0C75">
      <w:pPr>
        <w:pStyle w:val="HEADER5"/>
        <w:jc w:val="center"/>
        <w:rPr>
          <w:b w:val="0"/>
          <w:color w:val="000000" w:themeColor="text1"/>
        </w:rPr>
      </w:pPr>
      <w:r>
        <w:rPr>
          <w:b w:val="0"/>
          <w:color w:val="000000" w:themeColor="text1"/>
        </w:rPr>
        <w:t>Actifs financiers disponibles à la vente détenus dans des instruments financiers relevant du budget de l’UE (valeur en fin d’exercice).</w:t>
      </w:r>
    </w:p>
    <w:p w:rsidR="00FB0C75" w:rsidRDefault="00AD5494" w:rsidP="00FB0C75">
      <w:pPr>
        <w:pStyle w:val="Textstand-alone"/>
        <w:jc w:val="center"/>
      </w:pPr>
      <w:r w:rsidRPr="00AD5494">
        <w:rPr>
          <w:lang w:val="en-GB" w:eastAsia="en-GB" w:bidi="ar-SA"/>
        </w:rPr>
        <w:drawing>
          <wp:inline distT="0" distB="0" distL="0" distR="0" wp14:anchorId="38B98FBB" wp14:editId="41CBD086">
            <wp:extent cx="4584700" cy="2635250"/>
            <wp:effectExtent l="0" t="0" r="6350" b="0"/>
            <wp:docPr id="1900576" name="Picture 19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584700" cy="2635250"/>
                    </a:xfrm>
                    <a:prstGeom prst="rect">
                      <a:avLst/>
                    </a:prstGeom>
                    <a:noFill/>
                    <a:ln>
                      <a:noFill/>
                    </a:ln>
                  </pic:spPr>
                </pic:pic>
              </a:graphicData>
            </a:graphic>
          </wp:inline>
        </w:drawing>
      </w:r>
    </w:p>
    <w:p w:rsidR="00FB0C75" w:rsidRDefault="00525E53" w:rsidP="00FB0C75">
      <w:pPr>
        <w:pStyle w:val="HEADER5"/>
        <w:jc w:val="both"/>
        <w:rPr>
          <w:b w:val="0"/>
          <w:color w:val="000000" w:themeColor="text1"/>
        </w:rPr>
      </w:pPr>
      <w:r>
        <w:rPr>
          <w:b w:val="0"/>
          <w:color w:val="000000" w:themeColor="text1"/>
        </w:rPr>
        <w:t xml:space="preserve">Les tableaux suivants procurent une vue d'ensemble des instruments financiers relevant du budget de l’UE par CFP et de leur valeur au </w:t>
      </w:r>
      <w:r w:rsidRPr="00031A85">
        <w:rPr>
          <w:b w:val="0"/>
          <w:color w:val="000000" w:themeColor="text1"/>
        </w:rPr>
        <w:t>31</w:t>
      </w:r>
      <w:r>
        <w:rPr>
          <w:b w:val="0"/>
          <w:color w:val="000000" w:themeColor="text1"/>
        </w:rPr>
        <w:t> décembre </w:t>
      </w:r>
      <w:r w:rsidRPr="00031A85">
        <w:rPr>
          <w:b w:val="0"/>
          <w:color w:val="000000" w:themeColor="text1"/>
        </w:rPr>
        <w:t>2016</w:t>
      </w:r>
      <w:r>
        <w:rPr>
          <w:b w:val="0"/>
          <w:color w:val="000000" w:themeColor="text1"/>
        </w:rPr>
        <w:t>:</w:t>
      </w:r>
    </w:p>
    <w:tbl>
      <w:tblPr>
        <w:tblW w:w="9861" w:type="dxa"/>
        <w:tblInd w:w="108" w:type="dxa"/>
        <w:tblLook w:val="04A0" w:firstRow="1" w:lastRow="0" w:firstColumn="1" w:lastColumn="0" w:noHBand="0" w:noVBand="1"/>
      </w:tblPr>
      <w:tblGrid>
        <w:gridCol w:w="5948"/>
        <w:gridCol w:w="1188"/>
        <w:gridCol w:w="1348"/>
        <w:gridCol w:w="1377"/>
      </w:tblGrid>
      <w:tr w:rsidR="005B4EEC" w:rsidTr="00FB0C75">
        <w:trPr>
          <w:trHeight w:val="315"/>
        </w:trPr>
        <w:tc>
          <w:tcPr>
            <w:tcW w:w="594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18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4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77" w:type="dxa"/>
            <w:tcBorders>
              <w:top w:val="nil"/>
              <w:left w:val="nil"/>
              <w:bottom w:val="nil"/>
              <w:right w:val="nil"/>
            </w:tcBorders>
            <w:shd w:val="clear" w:color="auto" w:fill="auto"/>
            <w:noWrap/>
            <w:vAlign w:val="bottom"/>
            <w:hideMark/>
          </w:tcPr>
          <w:p w:rsidR="00FB0C75" w:rsidRPr="00F03343" w:rsidRDefault="00525E53" w:rsidP="00FB0C75">
            <w:pPr>
              <w:rPr>
                <w:rFonts w:ascii="Verdana" w:hAnsi="Verdana"/>
                <w:i/>
                <w:color w:val="000000"/>
                <w:sz w:val="16"/>
                <w:szCs w:val="18"/>
              </w:rPr>
            </w:pPr>
            <w:r>
              <w:rPr>
                <w:rFonts w:ascii="Verdana" w:hAnsi="Verdana"/>
                <w:i/>
                <w:color w:val="000000"/>
                <w:sz w:val="16"/>
              </w:rPr>
              <w:t>en Mio EUR</w:t>
            </w: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68324B" w:rsidRDefault="00525E53" w:rsidP="00FB0C75">
            <w:pPr>
              <w:rPr>
                <w:rFonts w:ascii="Verdana" w:hAnsi="Verdana"/>
                <w:b/>
                <w:bCs/>
                <w:color w:val="FFFFFF"/>
                <w:sz w:val="16"/>
                <w:szCs w:val="16"/>
              </w:rPr>
            </w:pPr>
            <w:r>
              <w:rPr>
                <w:rFonts w:ascii="Verdana" w:hAnsi="Verdana"/>
                <w:b/>
                <w:color w:val="FFFFFF"/>
                <w:sz w:val="16"/>
              </w:rPr>
              <w:t>Se rapportant à plusieurs CFP</w:t>
            </w:r>
          </w:p>
        </w:tc>
        <w:tc>
          <w:tcPr>
            <w:tcW w:w="1188"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Actifs</w:t>
            </w:r>
          </w:p>
        </w:tc>
        <w:tc>
          <w:tcPr>
            <w:tcW w:w="1348"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Passifs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Garanties</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Instruments de garantie et de partage des risques:</w:t>
            </w:r>
          </w:p>
        </w:tc>
        <w:tc>
          <w:tcPr>
            <w:tcW w:w="1188"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Mécanisme de garantie dans les Balkans occidentaux (EDIF)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29</w:t>
            </w:r>
          </w:p>
        </w:tc>
        <w:tc>
          <w:tcPr>
            <w:tcW w:w="134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17</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031A85">
              <w:rPr>
                <w:rFonts w:ascii="Verdana" w:hAnsi="Verdana"/>
                <w:b/>
                <w:color w:val="000000"/>
                <w:sz w:val="16"/>
              </w:rPr>
              <w:t>29</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17</w:t>
            </w: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 xml:space="preserve">-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Instruments de fonds propres:</w:t>
            </w:r>
          </w:p>
        </w:tc>
        <w:tc>
          <w:tcPr>
            <w:tcW w:w="1188"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xml:space="preserve">Fonds européen pour l’Europe du Sud-Est (EFSE) </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119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Fonds pour le développement des entreprises (ENEF)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10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Fonds pour l’innovation des entreprises (ENIF)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20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Fonds pour une croissance verte de la région du voisinage oriental</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51</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Fonds d’investissement «</w:t>
            </w:r>
            <w:r>
              <w:rPr>
                <w:rFonts w:ascii="Verdana" w:hAnsi="Verdana"/>
                <w:i/>
                <w:color w:val="000000"/>
                <w:sz w:val="16"/>
              </w:rPr>
              <w:t>Microfinance Initiative for Asia</w:t>
            </w:r>
            <w:r>
              <w:rPr>
                <w:rFonts w:ascii="Verdana" w:hAnsi="Verdana"/>
                <w:color w:val="000000"/>
                <w:sz w:val="16"/>
              </w:rPr>
              <w:t>»</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Fonds MENA pour micro, petites et moyennes entreprises (SANAD)</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031A85">
              <w:rPr>
                <w:rFonts w:ascii="Verdana" w:hAnsi="Verdana"/>
                <w:color w:val="000000"/>
                <w:sz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031A85">
              <w:rPr>
                <w:rFonts w:ascii="Verdana" w:hAnsi="Verdana"/>
                <w:b/>
                <w:color w:val="000000"/>
                <w:sz w:val="16"/>
              </w:rPr>
              <w:t>218</w:t>
            </w:r>
          </w:p>
        </w:tc>
        <w:tc>
          <w:tcPr>
            <w:tcW w:w="1348" w:type="dxa"/>
            <w:tcBorders>
              <w:top w:val="single" w:sz="8" w:space="0" w:color="auto"/>
              <w:left w:val="nil"/>
              <w:bottom w:val="single" w:sz="8" w:space="0" w:color="auto"/>
              <w:right w:val="nil"/>
            </w:tcBorders>
            <w:shd w:val="clear" w:color="000000" w:fill="FFFFFF"/>
            <w:noWrap/>
            <w:vAlign w:val="center"/>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r>
      <w:tr w:rsidR="005B4EEC" w:rsidTr="00FB0C75">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sidRPr="00031A85">
              <w:rPr>
                <w:rFonts w:ascii="Verdana" w:hAnsi="Verdana"/>
                <w:b/>
                <w:color w:val="000000"/>
                <w:sz w:val="16"/>
              </w:rPr>
              <w:t>247</w:t>
            </w:r>
          </w:p>
        </w:tc>
        <w:tc>
          <w:tcPr>
            <w:tcW w:w="134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17</w:t>
            </w:r>
            <w:r>
              <w:rPr>
                <w:rFonts w:ascii="Verdana" w:hAnsi="Verdana"/>
                <w:b/>
                <w:color w:val="000000"/>
                <w:sz w:val="16"/>
              </w:rPr>
              <w:t>)</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r>
    </w:tbl>
    <w:p w:rsidR="00FB0C75" w:rsidRDefault="00FB0C75" w:rsidP="00FB0C75">
      <w:pPr>
        <w:pStyle w:val="HEADER5"/>
        <w:spacing w:after="300"/>
        <w:rPr>
          <w:color w:val="000000" w:themeColor="text1"/>
        </w:rPr>
        <w:sectPr w:rsidR="00FB0C75" w:rsidSect="00FB0C75">
          <w:headerReference w:type="even" r:id="rId472"/>
          <w:headerReference w:type="default" r:id="rId473"/>
          <w:footerReference w:type="even" r:id="rId474"/>
          <w:footerReference w:type="default" r:id="rId475"/>
          <w:headerReference w:type="first" r:id="rId476"/>
          <w:footerReference w:type="first" r:id="rId477"/>
          <w:pgSz w:w="11907" w:h="16840"/>
          <w:pgMar w:top="1134" w:right="1134" w:bottom="1134" w:left="1134" w:header="709" w:footer="709" w:gutter="0"/>
          <w:cols w:space="708"/>
          <w:docGrid w:linePitch="360"/>
        </w:sectPr>
      </w:pPr>
    </w:p>
    <w:tbl>
      <w:tblPr>
        <w:tblW w:w="9861" w:type="dxa"/>
        <w:tblInd w:w="108" w:type="dxa"/>
        <w:tblLook w:val="04A0" w:firstRow="1" w:lastRow="0" w:firstColumn="1" w:lastColumn="0" w:noHBand="0" w:noVBand="1"/>
      </w:tblPr>
      <w:tblGrid>
        <w:gridCol w:w="5948"/>
        <w:gridCol w:w="1188"/>
        <w:gridCol w:w="1348"/>
        <w:gridCol w:w="1377"/>
      </w:tblGrid>
      <w:tr w:rsidR="005B4EEC" w:rsidTr="00FB0C75">
        <w:trPr>
          <w:trHeight w:hRule="exact" w:val="170"/>
        </w:trPr>
        <w:tc>
          <w:tcPr>
            <w:tcW w:w="594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18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4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77"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i/>
                <w:iCs/>
                <w:color w:val="000000"/>
                <w:sz w:val="16"/>
                <w:szCs w:val="18"/>
              </w:rPr>
            </w:pPr>
            <w:r>
              <w:rPr>
                <w:rFonts w:ascii="Verdana" w:hAnsi="Verdana"/>
                <w:i/>
                <w:color w:val="000000"/>
                <w:sz w:val="16"/>
              </w:rPr>
              <w:t>en Mio EUR</w:t>
            </w: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9B07B6" w:rsidRDefault="00525E53" w:rsidP="00FB0C75">
            <w:pPr>
              <w:rPr>
                <w:rFonts w:ascii="Verdana" w:hAnsi="Verdana"/>
                <w:b/>
                <w:bCs/>
                <w:color w:val="FFFFFF"/>
                <w:sz w:val="16"/>
                <w:szCs w:val="16"/>
              </w:rPr>
            </w:pPr>
            <w:r>
              <w:rPr>
                <w:rFonts w:ascii="Verdana" w:hAnsi="Verdana"/>
                <w:b/>
                <w:color w:val="FFFFFF"/>
                <w:sz w:val="16"/>
              </w:rPr>
              <w:t xml:space="preserve"> CFP </w:t>
            </w:r>
            <w:r w:rsidRPr="00031A85">
              <w:rPr>
                <w:rFonts w:ascii="Verdana" w:hAnsi="Verdana"/>
                <w:b/>
                <w:color w:val="FFFFFF"/>
                <w:sz w:val="16"/>
              </w:rPr>
              <w:t>2014</w:t>
            </w:r>
            <w:r>
              <w:rPr>
                <w:rFonts w:ascii="Verdana" w:hAnsi="Verdana"/>
                <w:b/>
                <w:color w:val="FFFFFF"/>
                <w:sz w:val="16"/>
              </w:rPr>
              <w:t>-</w:t>
            </w:r>
            <w:r w:rsidRPr="00031A85">
              <w:rPr>
                <w:rFonts w:ascii="Verdana" w:hAnsi="Verdana"/>
                <w:b/>
                <w:color w:val="FFFFFF"/>
                <w:sz w:val="16"/>
              </w:rPr>
              <w:t>2020</w:t>
            </w:r>
          </w:p>
        </w:tc>
        <w:tc>
          <w:tcPr>
            <w:tcW w:w="118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Actifs</w:t>
            </w:r>
          </w:p>
        </w:tc>
        <w:tc>
          <w:tcPr>
            <w:tcW w:w="134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Passifs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Garanties</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Instruments de garantie et de partage des risques: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Horizon </w:t>
            </w:r>
            <w:r w:rsidRPr="00031A85">
              <w:rPr>
                <w:rFonts w:ascii="Verdana" w:hAnsi="Verdana"/>
                <w:color w:val="000000"/>
                <w:sz w:val="16"/>
              </w:rPr>
              <w:t>2020</w:t>
            </w:r>
            <w:r>
              <w:rPr>
                <w:rFonts w:ascii="Verdana" w:hAnsi="Verdana"/>
                <w:color w:val="000000"/>
                <w:sz w:val="16"/>
              </w:rPr>
              <w:t xml:space="preserve"> – Service de prêts et de garanties InnovFin pour la R&amp;I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698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8</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550</w:t>
            </w: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Horizon </w:t>
            </w:r>
            <w:r w:rsidRPr="00031A85">
              <w:rPr>
                <w:rFonts w:ascii="Verdana" w:hAnsi="Verdana"/>
                <w:color w:val="000000"/>
                <w:sz w:val="16"/>
              </w:rPr>
              <w:t>2020</w:t>
            </w:r>
            <w:r>
              <w:rPr>
                <w:rFonts w:ascii="Verdana" w:hAnsi="Verdana"/>
                <w:color w:val="000000"/>
                <w:sz w:val="16"/>
              </w:rPr>
              <w:t xml:space="preserve"> – Mécanisme de garantie InnovFin pour les PME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467</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99</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371</w:t>
            </w:r>
            <w:r>
              <w:rPr>
                <w:rFonts w:ascii="Verdana" w:hAnsi="Verdana"/>
                <w:color w:val="000000"/>
                <w:sz w:val="16"/>
              </w:rPr>
              <w:t>)</w:t>
            </w:r>
          </w:p>
        </w:tc>
      </w:tr>
      <w:tr w:rsidR="005B4EEC" w:rsidTr="00770061">
        <w:trPr>
          <w:trHeight w:hRule="exact" w:val="450"/>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Instrument de prêt du mécanisme pour l’interconnexion en Europe (CEF DI)**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493</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465</w:t>
            </w: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COSME – Facilité de garantie de prêts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160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156</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Emploi et innovation sociale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50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16</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sz w:val="16"/>
                <w:szCs w:val="16"/>
              </w:rPr>
            </w:pPr>
            <w:r>
              <w:rPr>
                <w:rFonts w:ascii="Verdana" w:hAnsi="Verdana"/>
                <w:sz w:val="16"/>
              </w:rPr>
              <w:t>ElectriFI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sz w:val="16"/>
                <w:szCs w:val="16"/>
              </w:rPr>
            </w:pPr>
            <w:r w:rsidRPr="00031A85">
              <w:rPr>
                <w:rFonts w:ascii="Verdana" w:hAnsi="Verdana"/>
                <w:sz w:val="16"/>
              </w:rPr>
              <w:t>30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sz w:val="16"/>
                <w:szCs w:val="16"/>
              </w:rPr>
            </w:pPr>
            <w:r>
              <w:rPr>
                <w:rFonts w:ascii="Verdana" w:hAnsi="Verdana"/>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770061">
        <w:trPr>
          <w:trHeight w:hRule="exact" w:val="47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garantie en faveur des secteurs de la culture et de la création (CCS LGF)</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l’UE zone de libre-échange approfondi et complet)</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garantie des prêts aux étudiants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2</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Mécanisme de financement du capital naturel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Programme d’inclusion financière pour MPME du SEMED</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0</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capital-risque pour les pays du voisinage méridional</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770061">
        <w:trPr>
          <w:trHeight w:hRule="exact" w:val="378"/>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Programme «Women in Business» dans le cadre du partenariat oriental</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Financement privé pour l’instrument d’efficacité énergétique (PF</w:t>
            </w:r>
            <w:r w:rsidRPr="00031A85">
              <w:rPr>
                <w:rFonts w:ascii="Verdana" w:hAnsi="Verdana"/>
                <w:color w:val="000000"/>
                <w:sz w:val="16"/>
              </w:rPr>
              <w:t>4</w:t>
            </w:r>
            <w:r>
              <w:rPr>
                <w:rFonts w:ascii="Verdana" w:hAnsi="Verdana"/>
                <w:color w:val="000000"/>
                <w:sz w:val="16"/>
              </w:rPr>
              <w:t>EE)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3</w:t>
            </w: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Soutien à la diversification économique en Mongolie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031A85">
              <w:rPr>
                <w:rFonts w:ascii="Verdana" w:hAnsi="Verdana"/>
                <w:b/>
                <w:color w:val="000000"/>
                <w:sz w:val="16"/>
              </w:rPr>
              <w:t>1</w:t>
            </w:r>
            <w:r>
              <w:rPr>
                <w:rFonts w:ascii="Verdana" w:hAnsi="Verdana"/>
                <w:b/>
                <w:color w:val="000000"/>
                <w:sz w:val="16"/>
              </w:rPr>
              <w:t xml:space="preserve"> </w:t>
            </w:r>
            <w:r w:rsidRPr="00031A85">
              <w:rPr>
                <w:rFonts w:ascii="Verdana" w:hAnsi="Verdana"/>
                <w:b/>
                <w:color w:val="000000"/>
                <w:sz w:val="16"/>
              </w:rPr>
              <w:t>999</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285</w:t>
            </w: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1</w:t>
            </w:r>
            <w:r>
              <w:rPr>
                <w:rFonts w:ascii="Verdana" w:hAnsi="Verdana"/>
                <w:b/>
                <w:color w:val="000000"/>
                <w:sz w:val="16"/>
              </w:rPr>
              <w:t xml:space="preserve"> </w:t>
            </w:r>
            <w:r w:rsidRPr="00031A85">
              <w:rPr>
                <w:rFonts w:ascii="Verdana" w:hAnsi="Verdana"/>
                <w:b/>
                <w:color w:val="000000"/>
                <w:sz w:val="16"/>
              </w:rPr>
              <w:t>389</w:t>
            </w:r>
            <w:r>
              <w:rPr>
                <w:rFonts w:ascii="Verdana" w:hAnsi="Verdana"/>
                <w:b/>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Instruments de fonds propres: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Horizon </w:t>
            </w:r>
            <w:r w:rsidRPr="00031A85">
              <w:rPr>
                <w:rFonts w:ascii="Verdana" w:hAnsi="Verdana"/>
                <w:color w:val="000000"/>
                <w:sz w:val="16"/>
              </w:rPr>
              <w:t>2020</w:t>
            </w:r>
            <w:r>
              <w:rPr>
                <w:rFonts w:ascii="Verdana" w:hAnsi="Verdana"/>
                <w:color w:val="000000"/>
                <w:sz w:val="16"/>
              </w:rPr>
              <w:t xml:space="preserve"> – Mécanisme de fonds propres InnovFin pour la R&amp;I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229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4</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COSME – Mécanisme de fonds propres pour la croissance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51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3</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031A85">
              <w:rPr>
                <w:rFonts w:ascii="Verdana" w:hAnsi="Verdana"/>
                <w:b/>
                <w:color w:val="000000"/>
                <w:sz w:val="16"/>
              </w:rPr>
              <w:t>280</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7</w:t>
            </w: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p>
        </w:tc>
      </w:tr>
      <w:tr w:rsidR="005B4EEC" w:rsidTr="00FB0C75">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sidRPr="00031A85">
              <w:rPr>
                <w:rFonts w:ascii="Verdana" w:hAnsi="Verdana"/>
                <w:b/>
                <w:color w:val="000000"/>
                <w:sz w:val="16"/>
              </w:rPr>
              <w:t>2</w:t>
            </w:r>
            <w:r>
              <w:rPr>
                <w:rFonts w:ascii="Verdana" w:hAnsi="Verdana"/>
                <w:b/>
                <w:color w:val="000000"/>
                <w:sz w:val="16"/>
              </w:rPr>
              <w:t xml:space="preserve"> </w:t>
            </w:r>
            <w:r w:rsidRPr="00031A85">
              <w:rPr>
                <w:rFonts w:ascii="Verdana" w:hAnsi="Verdana"/>
                <w:b/>
                <w:color w:val="000000"/>
                <w:sz w:val="16"/>
              </w:rPr>
              <w:t>279</w:t>
            </w:r>
          </w:p>
        </w:tc>
        <w:tc>
          <w:tcPr>
            <w:tcW w:w="1348" w:type="dxa"/>
            <w:tcBorders>
              <w:top w:val="nil"/>
              <w:left w:val="nil"/>
              <w:bottom w:val="single" w:sz="8" w:space="0" w:color="auto"/>
              <w:right w:val="nil"/>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292</w:t>
            </w:r>
            <w:r>
              <w:rPr>
                <w:rFonts w:ascii="Verdana" w:hAnsi="Verdana"/>
                <w:b/>
                <w:color w:val="000000"/>
                <w:sz w:val="16"/>
              </w:rPr>
              <w:t>)</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1</w:t>
            </w:r>
            <w:r>
              <w:rPr>
                <w:rFonts w:ascii="Verdana" w:hAnsi="Verdana"/>
                <w:b/>
                <w:color w:val="000000"/>
                <w:sz w:val="16"/>
              </w:rPr>
              <w:t xml:space="preserve"> </w:t>
            </w:r>
            <w:r w:rsidRPr="00031A85">
              <w:rPr>
                <w:rFonts w:ascii="Verdana" w:hAnsi="Verdana"/>
                <w:b/>
                <w:color w:val="000000"/>
                <w:sz w:val="16"/>
              </w:rPr>
              <w:t>389</w:t>
            </w:r>
            <w:r>
              <w:rPr>
                <w:rFonts w:ascii="Verdana" w:hAnsi="Verdana"/>
                <w:b/>
                <w:color w:val="000000"/>
                <w:sz w:val="16"/>
              </w:rPr>
              <w:t>)</w:t>
            </w:r>
          </w:p>
        </w:tc>
      </w:tr>
      <w:tr w:rsidR="005B4EEC" w:rsidTr="00FB0C75">
        <w:trPr>
          <w:trHeight w:hRule="exact" w:val="57"/>
        </w:trPr>
        <w:tc>
          <w:tcPr>
            <w:tcW w:w="594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18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34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377"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9B07B6" w:rsidRDefault="00525E53" w:rsidP="00FB0C75">
            <w:pPr>
              <w:rPr>
                <w:rFonts w:ascii="Verdana" w:hAnsi="Verdana"/>
                <w:b/>
                <w:bCs/>
                <w:color w:val="FFFFFF"/>
                <w:sz w:val="16"/>
                <w:szCs w:val="16"/>
              </w:rPr>
            </w:pPr>
            <w:r>
              <w:rPr>
                <w:rFonts w:ascii="Verdana" w:hAnsi="Verdana"/>
                <w:b/>
                <w:color w:val="FFFFFF"/>
                <w:sz w:val="16"/>
              </w:rPr>
              <w:t xml:space="preserve">CFP avant </w:t>
            </w:r>
            <w:r w:rsidRPr="00031A85">
              <w:rPr>
                <w:rFonts w:ascii="Verdana" w:hAnsi="Verdana"/>
                <w:b/>
                <w:color w:val="FFFFFF"/>
                <w:sz w:val="16"/>
              </w:rPr>
              <w:t>2014</w:t>
            </w:r>
          </w:p>
        </w:tc>
        <w:tc>
          <w:tcPr>
            <w:tcW w:w="118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Actifs</w:t>
            </w:r>
          </w:p>
        </w:tc>
        <w:tc>
          <w:tcPr>
            <w:tcW w:w="134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Passifs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Garanties</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Instruments de garantie et de partage des risques: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financement avec partage des risques (MFPR)</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839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88</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711</w:t>
            </w: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garantie des PME du PIC</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100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190</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Programme pluriannuel pour les entreprises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34</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Instrument européen de microfinancement Progress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7</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garantie PME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17</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14</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031A85">
              <w:rPr>
                <w:rFonts w:ascii="Verdana" w:hAnsi="Verdana"/>
                <w:b/>
                <w:color w:val="000000"/>
                <w:sz w:val="16"/>
              </w:rPr>
              <w:t>991</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333</w:t>
            </w: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auto" w:fill="auto"/>
            <w:noWrap/>
            <w:vAlign w:val="center"/>
            <w:hideMark/>
          </w:tcPr>
          <w:p w:rsidR="00FB0C75" w:rsidRPr="009B07B6" w:rsidRDefault="00525E53" w:rsidP="00FB0C75">
            <w:pPr>
              <w:jc w:val="right"/>
              <w:rPr>
                <w:rFonts w:ascii="Verdana" w:hAnsi="Verdana"/>
                <w:b/>
                <w:bCs/>
                <w:sz w:val="16"/>
                <w:szCs w:val="16"/>
              </w:rPr>
            </w:pPr>
            <w:r>
              <w:rPr>
                <w:rFonts w:ascii="Verdana" w:hAnsi="Verdana"/>
                <w:b/>
                <w:sz w:val="16"/>
              </w:rPr>
              <w:t>(</w:t>
            </w:r>
            <w:r w:rsidRPr="00031A85">
              <w:rPr>
                <w:rFonts w:ascii="Verdana" w:hAnsi="Verdana"/>
                <w:b/>
                <w:sz w:val="16"/>
              </w:rPr>
              <w:t>711</w:t>
            </w:r>
            <w:r>
              <w:rPr>
                <w:rFonts w:ascii="Verdana" w:hAnsi="Verdana"/>
                <w:b/>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 xml:space="preserve">Instruments de fonds propres: </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en faveur des PME innovantes et à forte croissance du PIC</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423</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3</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Mécanisme de fonds propres du programme-cadre pluriannuel</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196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0</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Fonds européen pour l’efficacité énergétique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100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770061">
        <w:trPr>
          <w:trHeight w:hRule="exact" w:val="47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Instrument européen de microfinancement Progress (PMF) en faveur de l’emploi et de l’inclusion sociale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75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770061">
        <w:trPr>
          <w:trHeight w:hRule="exact" w:val="47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Fonds mondial pour la promotion de l’efficacité énergétique et des énergies renouvelables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74</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Fonds Marguerite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54</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770061">
        <w:trPr>
          <w:trHeight w:hRule="exact" w:val="438"/>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xml:space="preserve">Aide au démarrage du mécanisme européen pour les technologies (MET) </w:t>
            </w:r>
            <w:r w:rsidRPr="00031A85">
              <w:rPr>
                <w:rFonts w:ascii="Verdana" w:hAnsi="Verdana"/>
                <w:color w:val="000000"/>
                <w:sz w:val="16"/>
              </w:rPr>
              <w:t>1998</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0</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Projets pilotes de transfert de technologie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r w:rsidRPr="00031A85">
              <w:rPr>
                <w:rFonts w:ascii="Verdana" w:hAnsi="Verdana"/>
                <w:color w:val="000000"/>
                <w:sz w:val="16"/>
              </w:rPr>
              <w:t>0</w:t>
            </w: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031A85">
              <w:rPr>
                <w:rFonts w:ascii="Verdana" w:hAnsi="Verdana"/>
                <w:b/>
                <w:color w:val="000000"/>
                <w:sz w:val="16"/>
              </w:rPr>
              <w:t>933</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r w:rsidRPr="00031A85">
              <w:rPr>
                <w:rFonts w:ascii="Verdana" w:hAnsi="Verdana"/>
                <w:b/>
                <w:color w:val="000000"/>
                <w:sz w:val="16"/>
              </w:rPr>
              <w:t>3</w:t>
            </w: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Pr>
                <w:rFonts w:ascii="Verdana" w:hAnsi="Verdana"/>
                <w:b/>
                <w:color w:val="000000"/>
                <w:sz w:val="16"/>
              </w:rPr>
              <w:t>Instruments de prêt/de capitaux propres/d’assistance technique:</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center"/>
              <w:rPr>
                <w:rFonts w:ascii="Verdana" w:hAnsi="Verdana"/>
                <w:b/>
                <w:bCs/>
                <w:color w:val="FFFFFF"/>
                <w:sz w:val="16"/>
                <w:szCs w:val="16"/>
              </w:rPr>
            </w:pPr>
            <w:r>
              <w:rPr>
                <w:rFonts w:ascii="Verdana" w:hAnsi="Verdana"/>
                <w:b/>
                <w:color w:val="FFFFFF"/>
                <w:sz w:val="16"/>
              </w:rPr>
              <w:t> </w:t>
            </w:r>
          </w:p>
        </w:tc>
      </w:tr>
      <w:tr w:rsidR="005B4EEC" w:rsidTr="00770061">
        <w:trPr>
          <w:trHeight w:hRule="exact" w:val="35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Instrument de coopération économique et financière dans le cadre du MEDA</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202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2</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Instrument européen de voisinage et de partenariat (IEVP)</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142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6</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Pr>
                <w:rFonts w:ascii="Verdana" w:hAnsi="Verdana"/>
                <w:color w:val="000000"/>
                <w:sz w:val="16"/>
              </w:rPr>
              <w:t>Prêts d’appui aux PME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031A85">
              <w:rPr>
                <w:rFonts w:ascii="Verdana" w:hAnsi="Verdana"/>
                <w:color w:val="000000"/>
                <w:sz w:val="16"/>
              </w:rPr>
              <w:t>18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single" w:sz="8" w:space="0" w:color="auto"/>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sidRPr="00031A85">
              <w:rPr>
                <w:rFonts w:ascii="Verdana" w:hAnsi="Verdana"/>
                <w:b/>
                <w:color w:val="000000"/>
                <w:sz w:val="16"/>
              </w:rPr>
              <w:t>363</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r w:rsidRPr="00031A85">
              <w:rPr>
                <w:rFonts w:ascii="Verdana" w:hAnsi="Verdana"/>
                <w:b/>
                <w:color w:val="000000"/>
                <w:sz w:val="16"/>
              </w:rPr>
              <w:t>8</w:t>
            </w:r>
            <w:r>
              <w:rPr>
                <w:rFonts w:ascii="Verdana" w:hAnsi="Verdana"/>
                <w:b/>
                <w:color w:val="000000"/>
                <w:sz w:val="16"/>
              </w:rPr>
              <w:t>)</w:t>
            </w:r>
          </w:p>
        </w:tc>
        <w:tc>
          <w:tcPr>
            <w:tcW w:w="1377" w:type="dxa"/>
            <w:tcBorders>
              <w:top w:val="nil"/>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p>
        </w:tc>
      </w:tr>
      <w:tr w:rsidR="005B4EEC" w:rsidTr="00FB0C75">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8"/>
              </w:rPr>
            </w:pPr>
            <w:r>
              <w:rPr>
                <w:rFonts w:ascii="Verdana" w:hAnsi="Verdana"/>
                <w:b/>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031A85">
              <w:rPr>
                <w:rFonts w:ascii="Verdana" w:hAnsi="Verdana"/>
                <w:b/>
                <w:color w:val="000000"/>
                <w:sz w:val="16"/>
              </w:rPr>
              <w:t>2</w:t>
            </w:r>
            <w:r>
              <w:rPr>
                <w:rFonts w:ascii="Verdana" w:hAnsi="Verdana"/>
                <w:b/>
                <w:color w:val="000000"/>
                <w:sz w:val="16"/>
              </w:rPr>
              <w:t xml:space="preserve"> </w:t>
            </w:r>
            <w:r w:rsidRPr="00031A85">
              <w:rPr>
                <w:rFonts w:ascii="Verdana" w:hAnsi="Verdana"/>
                <w:b/>
                <w:color w:val="000000"/>
                <w:sz w:val="16"/>
              </w:rPr>
              <w:t>286</w:t>
            </w:r>
          </w:p>
        </w:tc>
        <w:tc>
          <w:tcPr>
            <w:tcW w:w="134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r w:rsidRPr="00031A85">
              <w:rPr>
                <w:rFonts w:ascii="Verdana" w:hAnsi="Verdana"/>
                <w:b/>
                <w:color w:val="000000"/>
                <w:sz w:val="16"/>
              </w:rPr>
              <w:t>344</w:t>
            </w:r>
            <w:r>
              <w:rPr>
                <w:rFonts w:ascii="Verdana" w:hAnsi="Verdana"/>
                <w:b/>
                <w:color w:val="000000"/>
                <w:sz w:val="16"/>
              </w:rPr>
              <w:t>)</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r w:rsidRPr="00031A85">
              <w:rPr>
                <w:rFonts w:ascii="Verdana" w:hAnsi="Verdana"/>
                <w:b/>
                <w:color w:val="000000"/>
                <w:sz w:val="16"/>
              </w:rPr>
              <w:t>711</w:t>
            </w:r>
            <w:r>
              <w:rPr>
                <w:rFonts w:ascii="Verdana" w:hAnsi="Verdana"/>
                <w:b/>
                <w:color w:val="000000"/>
                <w:sz w:val="16"/>
              </w:rPr>
              <w:t>)</w:t>
            </w:r>
          </w:p>
        </w:tc>
      </w:tr>
      <w:tr w:rsidR="005B4EEC" w:rsidTr="00FB0C75">
        <w:trPr>
          <w:trHeight w:hRule="exact" w:val="57"/>
        </w:trPr>
        <w:tc>
          <w:tcPr>
            <w:tcW w:w="594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77"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r>
      <w:tr w:rsidR="005B4EEC" w:rsidTr="00FB0C75">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8"/>
              </w:rPr>
            </w:pPr>
            <w:r>
              <w:rPr>
                <w:rFonts w:ascii="Verdana" w:hAnsi="Verdana"/>
                <w:b/>
                <w:color w:val="000000"/>
                <w:sz w:val="16"/>
              </w:rPr>
              <w:t>Total général</w:t>
            </w:r>
          </w:p>
        </w:tc>
        <w:tc>
          <w:tcPr>
            <w:tcW w:w="1188" w:type="dxa"/>
            <w:tcBorders>
              <w:top w:val="single" w:sz="12" w:space="0" w:color="auto"/>
              <w:left w:val="nil"/>
              <w:bottom w:val="single" w:sz="12"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031A85">
              <w:rPr>
                <w:rFonts w:ascii="Verdana" w:hAnsi="Verdana"/>
                <w:b/>
                <w:color w:val="000000"/>
                <w:sz w:val="16"/>
              </w:rPr>
              <w:t>4</w:t>
            </w:r>
            <w:r>
              <w:rPr>
                <w:rFonts w:ascii="Verdana" w:hAnsi="Verdana"/>
                <w:b/>
                <w:color w:val="000000"/>
                <w:sz w:val="16"/>
              </w:rPr>
              <w:t xml:space="preserve"> </w:t>
            </w:r>
            <w:r w:rsidRPr="00031A85">
              <w:rPr>
                <w:rFonts w:ascii="Verdana" w:hAnsi="Verdana"/>
                <w:b/>
                <w:color w:val="000000"/>
                <w:sz w:val="16"/>
              </w:rPr>
              <w:t>812</w:t>
            </w:r>
          </w:p>
        </w:tc>
        <w:tc>
          <w:tcPr>
            <w:tcW w:w="1348" w:type="dxa"/>
            <w:tcBorders>
              <w:top w:val="single" w:sz="12" w:space="0" w:color="auto"/>
              <w:left w:val="nil"/>
              <w:bottom w:val="single" w:sz="12"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r w:rsidRPr="00031A85">
              <w:rPr>
                <w:rFonts w:ascii="Verdana" w:hAnsi="Verdana"/>
                <w:b/>
                <w:color w:val="000000"/>
                <w:sz w:val="16"/>
              </w:rPr>
              <w:t>652</w:t>
            </w:r>
            <w:r>
              <w:rPr>
                <w:rFonts w:ascii="Verdana" w:hAnsi="Verdana"/>
                <w:b/>
                <w:color w:val="000000"/>
                <w:sz w:val="16"/>
              </w:rPr>
              <w:t>)</w:t>
            </w:r>
          </w:p>
        </w:tc>
        <w:tc>
          <w:tcPr>
            <w:tcW w:w="1377" w:type="dxa"/>
            <w:tcBorders>
              <w:top w:val="single" w:sz="12" w:space="0" w:color="auto"/>
              <w:left w:val="nil"/>
              <w:bottom w:val="single" w:sz="12" w:space="0" w:color="auto"/>
              <w:right w:val="single" w:sz="12"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color w:val="000000"/>
                <w:sz w:val="16"/>
              </w:rPr>
              <w:t>(</w:t>
            </w:r>
            <w:r w:rsidRPr="00031A85">
              <w:rPr>
                <w:rFonts w:ascii="Verdana" w:hAnsi="Verdana"/>
                <w:b/>
                <w:color w:val="000000"/>
                <w:sz w:val="16"/>
              </w:rPr>
              <w:t>2</w:t>
            </w:r>
            <w:r>
              <w:rPr>
                <w:rFonts w:ascii="Verdana" w:hAnsi="Verdana"/>
                <w:b/>
                <w:color w:val="000000"/>
                <w:sz w:val="16"/>
              </w:rPr>
              <w:t xml:space="preserve"> </w:t>
            </w:r>
            <w:r w:rsidRPr="00031A85">
              <w:rPr>
                <w:rFonts w:ascii="Verdana" w:hAnsi="Verdana"/>
                <w:b/>
                <w:color w:val="000000"/>
                <w:sz w:val="16"/>
              </w:rPr>
              <w:t>101</w:t>
            </w:r>
            <w:r>
              <w:rPr>
                <w:rFonts w:ascii="Verdana" w:hAnsi="Verdana"/>
                <w:b/>
                <w:color w:val="000000"/>
                <w:sz w:val="16"/>
              </w:rPr>
              <w:t>)</w:t>
            </w:r>
          </w:p>
        </w:tc>
      </w:tr>
      <w:tr w:rsidR="005B4EEC" w:rsidTr="00FB0C75">
        <w:trPr>
          <w:trHeight w:val="300"/>
        </w:trPr>
        <w:tc>
          <w:tcPr>
            <w:tcW w:w="9861" w:type="dxa"/>
            <w:gridSpan w:val="4"/>
            <w:tcBorders>
              <w:top w:val="single" w:sz="12" w:space="0" w:color="auto"/>
              <w:left w:val="nil"/>
              <w:bottom w:val="nil"/>
              <w:right w:val="nil"/>
            </w:tcBorders>
            <w:shd w:val="clear" w:color="auto" w:fill="auto"/>
            <w:noWrap/>
            <w:vAlign w:val="center"/>
            <w:hideMark/>
          </w:tcPr>
          <w:p w:rsidR="00FB0C75" w:rsidRPr="009B07B6" w:rsidRDefault="00525E53" w:rsidP="00233AA8">
            <w:pPr>
              <w:rPr>
                <w:rFonts w:ascii="Verdana" w:hAnsi="Verdana"/>
                <w:i/>
                <w:iCs/>
                <w:color w:val="000000"/>
                <w:sz w:val="14"/>
                <w:szCs w:val="18"/>
              </w:rPr>
            </w:pPr>
            <w:r>
              <w:rPr>
                <w:rFonts w:ascii="Verdana" w:hAnsi="Verdana"/>
                <w:i/>
                <w:color w:val="000000"/>
                <w:sz w:val="14"/>
              </w:rPr>
              <w:t xml:space="preserve">* Le risque pris par l’UE est entièrement couvert par les provisions constituées. </w:t>
            </w:r>
            <w:r>
              <w:rPr>
                <w:rFonts w:ascii="Verdana" w:hAnsi="Verdana"/>
                <w:i/>
                <w:iCs/>
                <w:color w:val="000000"/>
                <w:sz w:val="14"/>
                <w:szCs w:val="18"/>
              </w:rPr>
              <w:br/>
            </w:r>
            <w:r>
              <w:rPr>
                <w:rFonts w:ascii="Verdana" w:hAnsi="Verdana"/>
                <w:i/>
                <w:color w:val="000000"/>
                <w:sz w:val="14"/>
              </w:rPr>
              <w:t>** Comprend la fusion de l’instrument de garantie de prêts pour les projets RTE-T et de l’initiative d’emprunts obligataires pour des projets.</w:t>
            </w:r>
          </w:p>
        </w:tc>
      </w:tr>
    </w:tbl>
    <w:p w:rsidR="00FB0C75" w:rsidRPr="00796959" w:rsidRDefault="00525E53" w:rsidP="00FB0C75">
      <w:pPr>
        <w:pStyle w:val="HEADER5"/>
        <w:rPr>
          <w:b w:val="0"/>
        </w:rPr>
      </w:pPr>
      <w:r>
        <w:rPr>
          <w:b w:val="0"/>
        </w:rPr>
        <w:t>Actifs financiers détenus dans des fonds de garantie relatifs aux garanties budgétaires</w:t>
      </w:r>
    </w:p>
    <w:p w:rsidR="00FB0C75" w:rsidRDefault="00525E53" w:rsidP="00FB0C75">
      <w:pPr>
        <w:pStyle w:val="DGTextstand-alone"/>
        <w:spacing w:before="120"/>
      </w:pPr>
      <w:r>
        <w:t>La Commission a créé des fonds de garantie afin de couvrir les garanties budgétaires (voir la note </w:t>
      </w:r>
      <w:r w:rsidRPr="00031A85">
        <w:rPr>
          <w:b/>
        </w:rPr>
        <w:t>4</w:t>
      </w:r>
      <w:r>
        <w:rPr>
          <w:b/>
        </w:rPr>
        <w:t>.</w:t>
      </w:r>
      <w:r w:rsidRPr="00031A85">
        <w:rPr>
          <w:b/>
        </w:rPr>
        <w:t>1</w:t>
      </w:r>
      <w:r>
        <w:rPr>
          <w:b/>
        </w:rPr>
        <w:t>.</w:t>
      </w:r>
      <w:r w:rsidRPr="00031A85">
        <w:rPr>
          <w:b/>
        </w:rPr>
        <w:t>1</w:t>
      </w:r>
      <w:r>
        <w:t xml:space="preserve"> des états financiers consolidés) données au groupe BEI. Ces fonds de garantie sont provisionnés par des versements à partir du budget de l’UE de manière à fournir une réserve de liquidité en cas de pertes éventuelles dans le cadre d’opérations garanties. Les sommes versées dans les fonds de garantie sont investies dans des instruments financiers, notamment des titres de créance, des liquidités et des dépôts à terme. Au </w:t>
      </w:r>
      <w:r w:rsidRPr="00031A85">
        <w:t>31</w:t>
      </w:r>
      <w:r>
        <w:t> décembre </w:t>
      </w:r>
      <w:r w:rsidRPr="00031A85">
        <w:t>2016</w:t>
      </w:r>
      <w:r>
        <w:t>, la Commission détenait des actifs financiers dans:</w:t>
      </w:r>
    </w:p>
    <w:p w:rsidR="00FB0C75" w:rsidRPr="00B402C0" w:rsidRDefault="00525E53" w:rsidP="00FB0C75">
      <w:pPr>
        <w:pStyle w:val="DGTextstand-alone"/>
        <w:numPr>
          <w:ilvl w:val="0"/>
          <w:numId w:val="20"/>
        </w:numPr>
        <w:spacing w:before="120"/>
      </w:pPr>
      <w:r>
        <w:rPr>
          <w:noProof w:val="0"/>
          <w:color w:val="000000" w:themeColor="text1"/>
        </w:rPr>
        <w:t xml:space="preserve">le Fonds de garantie relatif aux actions extérieures, à hauteur de </w:t>
      </w:r>
      <w:r w:rsidRPr="00031A85">
        <w:rPr>
          <w:noProof w:val="0"/>
          <w:color w:val="000000" w:themeColor="text1"/>
        </w:rPr>
        <w:t>2</w:t>
      </w:r>
      <w:r>
        <w:rPr>
          <w:noProof w:val="0"/>
          <w:color w:val="000000" w:themeColor="text1"/>
        </w:rPr>
        <w:t>,</w:t>
      </w:r>
      <w:r w:rsidRPr="00031A85">
        <w:rPr>
          <w:noProof w:val="0"/>
          <w:color w:val="000000" w:themeColor="text1"/>
        </w:rPr>
        <w:t>3</w:t>
      </w:r>
      <w:r>
        <w:rPr>
          <w:noProof w:val="0"/>
          <w:color w:val="000000" w:themeColor="text1"/>
        </w:rPr>
        <w:t> milliards d’EUR et</w:t>
      </w:r>
    </w:p>
    <w:p w:rsidR="00FB0C75" w:rsidRPr="002337D9" w:rsidRDefault="00525E53" w:rsidP="00FB0C75">
      <w:pPr>
        <w:pStyle w:val="DGTextstand-alone"/>
        <w:numPr>
          <w:ilvl w:val="0"/>
          <w:numId w:val="20"/>
        </w:numPr>
        <w:spacing w:before="120"/>
      </w:pPr>
      <w:r>
        <w:rPr>
          <w:noProof w:val="0"/>
          <w:color w:val="000000" w:themeColor="text1"/>
        </w:rPr>
        <w:t xml:space="preserve">le Fonds de garantie de l’EFSI, pour un montant de </w:t>
      </w:r>
      <w:r w:rsidRPr="00031A85">
        <w:rPr>
          <w:noProof w:val="0"/>
          <w:color w:val="000000" w:themeColor="text1"/>
        </w:rPr>
        <w:t>1</w:t>
      </w:r>
      <w:r>
        <w:rPr>
          <w:noProof w:val="0"/>
          <w:color w:val="000000" w:themeColor="text1"/>
        </w:rPr>
        <w:t> milliard d’EUR.</w:t>
      </w:r>
    </w:p>
    <w:p w:rsidR="00FB0C75" w:rsidRDefault="00525E53" w:rsidP="00FB0C75">
      <w:pPr>
        <w:pStyle w:val="DGTextstand-alone"/>
        <w:spacing w:before="120"/>
      </w:pPr>
      <w:r>
        <w:rPr>
          <w:noProof w:val="0"/>
          <w:color w:val="000000" w:themeColor="text1"/>
        </w:rPr>
        <w:t>Le Fonds de garantie de l’EFSI est devenu opérationnel en </w:t>
      </w:r>
      <w:r w:rsidRPr="00031A85">
        <w:rPr>
          <w:noProof w:val="0"/>
          <w:color w:val="000000" w:themeColor="text1"/>
        </w:rPr>
        <w:t>2016</w:t>
      </w:r>
      <w:r>
        <w:rPr>
          <w:noProof w:val="0"/>
          <w:color w:val="000000" w:themeColor="text1"/>
        </w:rPr>
        <w:t>.</w:t>
      </w:r>
    </w:p>
    <w:p w:rsidR="00FB0C75" w:rsidRPr="003A281B" w:rsidRDefault="00525E53" w:rsidP="00FB0C75">
      <w:pPr>
        <w:pStyle w:val="DGTextstand-alone"/>
        <w:spacing w:before="480"/>
        <w:rPr>
          <w:noProof w:val="0"/>
          <w:color w:val="016794"/>
        </w:rPr>
      </w:pPr>
      <w:r>
        <w:rPr>
          <w:noProof w:val="0"/>
          <w:color w:val="016794"/>
        </w:rPr>
        <w:t>Prêts et emprunts correspondants relatifs aux programmes d’assistance financière</w:t>
      </w:r>
    </w:p>
    <w:p w:rsidR="00FB0C75" w:rsidRDefault="00525E53" w:rsidP="00FB0C75">
      <w:pPr>
        <w:pStyle w:val="Textstand-alone"/>
        <w:rPr>
          <w:rFonts w:eastAsia="Calibri"/>
        </w:rPr>
      </w:pPr>
      <w:r>
        <w:t xml:space="preserve">L’UE est habilitée par le traité sur l'Union européenne à entreprendre des opérations d’emprunt pour mobiliser les ressources financières nécessaires pour accomplir ses mandats spécifiques. La Commission, agissant au nom de l’Union européenne, gère actuellement trois programmes principaux, à savoir le mécanisme européen de stabilisation financière (MESF), l’aide à la balance des paiements (BDP) et l’assistance macrofinancière (AMF), dans le cadre desquels elle peut accorder des prêts. Le capital nécessaire pour financer les activités de prêt de l’UE est levé sur les marchés de capitaux ou auprès d’institutions financières </w:t>
      </w:r>
    </w:p>
    <w:p w:rsidR="00FB0C75" w:rsidRDefault="00525E53" w:rsidP="00FB0C75">
      <w:pPr>
        <w:pStyle w:val="Textstand-alone"/>
        <w:rPr>
          <w:rFonts w:eastAsia="Calibri"/>
        </w:rPr>
      </w:pPr>
      <w:r>
        <w:t xml:space="preserve">Les prêts AMF sont accordés à des pays partenaires extérieurs à l’UE; au </w:t>
      </w:r>
      <w:r w:rsidRPr="00031A85">
        <w:t>31</w:t>
      </w:r>
      <w:r>
        <w:t> décembre </w:t>
      </w:r>
      <w:r w:rsidRPr="00031A85">
        <w:t>2016</w:t>
      </w:r>
      <w:r>
        <w:t xml:space="preserve">, l'encours des prêts s'élevait à </w:t>
      </w:r>
      <w:r w:rsidRPr="00031A85">
        <w:t>2</w:t>
      </w:r>
      <w:r>
        <w:t>,</w:t>
      </w:r>
      <w:r w:rsidRPr="00031A85">
        <w:t>947</w:t>
      </w:r>
      <w:r>
        <w:t xml:space="preserve"> milliards d’EUR en montants nominaux. </w:t>
      </w:r>
    </w:p>
    <w:p w:rsidR="00FB0C75" w:rsidRDefault="00525E53" w:rsidP="00FB0C75">
      <w:pPr>
        <w:pStyle w:val="Textstand-alone"/>
        <w:spacing w:after="0"/>
        <w:rPr>
          <w:i/>
        </w:rPr>
      </w:pPr>
      <w:r>
        <w:rPr>
          <w:i/>
        </w:rPr>
        <w:t>MESF</w:t>
      </w:r>
    </w:p>
    <w:p w:rsidR="00FB0C75" w:rsidRPr="00611AA1" w:rsidRDefault="00FB0C75" w:rsidP="00FB0C75">
      <w:pPr>
        <w:pStyle w:val="Textstand-alone"/>
        <w:spacing w:before="0" w:after="0"/>
        <w:rPr>
          <w:i/>
        </w:rPr>
      </w:pPr>
    </w:p>
    <w:p w:rsidR="00FB0C75" w:rsidRDefault="00525E53" w:rsidP="00FB0C75">
      <w:pPr>
        <w:pStyle w:val="Textstand-alone"/>
        <w:spacing w:before="0"/>
        <w:rPr>
          <w:rFonts w:eastAsia="Calibri"/>
        </w:rPr>
      </w:pPr>
      <w:r>
        <w:t>En </w:t>
      </w:r>
      <w:r w:rsidRPr="00031A85">
        <w:t>2014</w:t>
      </w:r>
      <w:r>
        <w:t xml:space="preserve">, les programmes d’assistance financière en faveur de l’Irlande et du Portugal au titre du MESF ont pris fin, et aucun prêt supplémentaire ne peut donc être demandé. En janvier </w:t>
      </w:r>
      <w:r w:rsidRPr="00031A85">
        <w:t>2016</w:t>
      </w:r>
      <w:r>
        <w:t xml:space="preserve">, le Portugal a officiellement demandé la prorogation de la première échéance de remboursement à l’UE de son prêt au titre du MESF, laquelle était fixée au </w:t>
      </w:r>
      <w:r w:rsidRPr="00031A85">
        <w:t>3</w:t>
      </w:r>
      <w:r>
        <w:t> juin </w:t>
      </w:r>
      <w:r w:rsidRPr="00031A85">
        <w:t>2016</w:t>
      </w:r>
      <w:r>
        <w:t xml:space="preserve">. La tranche de </w:t>
      </w:r>
      <w:r w:rsidRPr="00031A85">
        <w:t>4</w:t>
      </w:r>
      <w:r>
        <w:t>,</w:t>
      </w:r>
      <w:r w:rsidRPr="00031A85">
        <w:t>75</w:t>
      </w:r>
      <w:r>
        <w:t xml:space="preserve"> milliards d’EUR a été refinancée en trois nouvelles tranches de </w:t>
      </w:r>
      <w:r w:rsidRPr="00031A85">
        <w:t>1</w:t>
      </w:r>
      <w:r>
        <w:t>,</w:t>
      </w:r>
      <w:r w:rsidRPr="00031A85">
        <w:t>5</w:t>
      </w:r>
      <w:r>
        <w:t xml:space="preserve"> milliard, </w:t>
      </w:r>
      <w:r w:rsidRPr="00031A85">
        <w:t>2</w:t>
      </w:r>
      <w:r>
        <w:t>,</w:t>
      </w:r>
      <w:r w:rsidRPr="00031A85">
        <w:t>25</w:t>
      </w:r>
      <w:r>
        <w:t xml:space="preserve"> milliards et </w:t>
      </w:r>
      <w:r w:rsidRPr="00031A85">
        <w:t>1</w:t>
      </w:r>
      <w:r>
        <w:t xml:space="preserve"> milliard d’EUR, avec des échéances fixées respectivement à </w:t>
      </w:r>
      <w:r w:rsidRPr="00031A85">
        <w:t>2023</w:t>
      </w:r>
      <w:r>
        <w:t xml:space="preserve">, </w:t>
      </w:r>
      <w:r w:rsidRPr="00031A85">
        <w:t>2031</w:t>
      </w:r>
      <w:r>
        <w:t xml:space="preserve"> et </w:t>
      </w:r>
      <w:r w:rsidRPr="00031A85">
        <w:t>2036</w:t>
      </w:r>
      <w:r>
        <w:t>. Cela explique en grande partie la diminution des prêts/emprunts à court terme et l’augmentation des prêts/emprunts à long terme dans le bilan </w:t>
      </w:r>
      <w:r w:rsidRPr="00031A85">
        <w:t>2016</w:t>
      </w:r>
      <w:r>
        <w:t>.</w:t>
      </w:r>
    </w:p>
    <w:p w:rsidR="00FB0C75" w:rsidRDefault="00525E53" w:rsidP="00FB0C75">
      <w:pPr>
        <w:pStyle w:val="Textstand-alone"/>
        <w:spacing w:after="0"/>
        <w:rPr>
          <w:rFonts w:eastAsia="Calibri"/>
          <w:i/>
        </w:rPr>
      </w:pPr>
      <w:r>
        <w:rPr>
          <w:i/>
        </w:rPr>
        <w:t>BDP</w:t>
      </w:r>
    </w:p>
    <w:p w:rsidR="00FB0C75" w:rsidRPr="00611AA1" w:rsidRDefault="00FB0C75" w:rsidP="00FB0C75">
      <w:pPr>
        <w:pStyle w:val="Textstand-alone"/>
        <w:spacing w:before="0" w:after="0"/>
        <w:rPr>
          <w:rFonts w:eastAsia="Calibri"/>
          <w:i/>
        </w:rPr>
      </w:pPr>
    </w:p>
    <w:p w:rsidR="00FB0C75" w:rsidRDefault="00525E53" w:rsidP="00FB0C75">
      <w:pPr>
        <w:pStyle w:val="Textstand-alone"/>
        <w:spacing w:before="0"/>
        <w:rPr>
          <w:rFonts w:eastAsia="Calibri"/>
        </w:rPr>
      </w:pPr>
      <w:r>
        <w:t>Le programme d’aide à la BDP en faveur de la Hongrie a pris fin en </w:t>
      </w:r>
      <w:r w:rsidRPr="00031A85">
        <w:t>2010</w:t>
      </w:r>
      <w:r>
        <w:t xml:space="preserve"> et les programmes d’aide en faveur de la Lettonie et de la Roumanie en </w:t>
      </w:r>
      <w:r w:rsidRPr="00031A85">
        <w:t>2012</w:t>
      </w:r>
      <w:r>
        <w:t>. Par ailleurs, deux programmes d’assistance à titre de précaution en faveur de la Roumanie ont pris fin en </w:t>
      </w:r>
      <w:r w:rsidRPr="00031A85">
        <w:t>2013</w:t>
      </w:r>
      <w:r>
        <w:t xml:space="preserve"> et </w:t>
      </w:r>
      <w:r w:rsidRPr="00031A85">
        <w:t>2015</w:t>
      </w:r>
      <w:r>
        <w:t xml:space="preserve"> respectivement, sans avoir été entièrement utilisés. En avril </w:t>
      </w:r>
      <w:r w:rsidRPr="00031A85">
        <w:t>2016</w:t>
      </w:r>
      <w:r>
        <w:t xml:space="preserve">, la Hongrie a remboursé sa dernière tranche de </w:t>
      </w:r>
      <w:r w:rsidRPr="00031A85">
        <w:t>1</w:t>
      </w:r>
      <w:r>
        <w:t>,</w:t>
      </w:r>
      <w:r w:rsidRPr="00031A85">
        <w:t>5</w:t>
      </w:r>
      <w:r>
        <w:t> milliard d’EUR.</w:t>
      </w:r>
    </w:p>
    <w:p w:rsidR="00FB0C75" w:rsidRPr="00796959" w:rsidRDefault="00525E53" w:rsidP="00FB0C75">
      <w:pPr>
        <w:pStyle w:val="HEADER5"/>
        <w:spacing w:after="120"/>
        <w:rPr>
          <w:b w:val="0"/>
          <w:color w:val="000000" w:themeColor="text1"/>
        </w:rPr>
      </w:pPr>
      <w:r>
        <w:rPr>
          <w:b w:val="0"/>
          <w:color w:val="000000" w:themeColor="text1"/>
        </w:rPr>
        <w:t>Vue d’ensemble des prêts accordés au titre de l’assistance financière à des montants nominaux:</w:t>
      </w:r>
    </w:p>
    <w:tbl>
      <w:tblPr>
        <w:tblW w:w="10207" w:type="dxa"/>
        <w:tblInd w:w="-34" w:type="dxa"/>
        <w:tblLayout w:type="fixed"/>
        <w:tblLook w:val="04A0" w:firstRow="1" w:lastRow="0" w:firstColumn="1" w:lastColumn="0" w:noHBand="0" w:noVBand="1"/>
      </w:tblPr>
      <w:tblGrid>
        <w:gridCol w:w="2782"/>
        <w:gridCol w:w="573"/>
        <w:gridCol w:w="387"/>
        <w:gridCol w:w="422"/>
        <w:gridCol w:w="538"/>
        <w:gridCol w:w="496"/>
        <w:gridCol w:w="584"/>
        <w:gridCol w:w="716"/>
        <w:gridCol w:w="378"/>
        <w:gridCol w:w="236"/>
        <w:gridCol w:w="236"/>
        <w:gridCol w:w="756"/>
        <w:gridCol w:w="232"/>
        <w:gridCol w:w="591"/>
        <w:gridCol w:w="232"/>
        <w:gridCol w:w="1048"/>
      </w:tblGrid>
      <w:tr w:rsidR="005B4EEC" w:rsidTr="001D393A">
        <w:trPr>
          <w:trHeight w:val="300"/>
        </w:trPr>
        <w:tc>
          <w:tcPr>
            <w:tcW w:w="2782"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73"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809"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034"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678" w:type="dxa"/>
            <w:gridSpan w:val="3"/>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36"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992"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823" w:type="dxa"/>
            <w:gridSpan w:val="2"/>
            <w:tcBorders>
              <w:top w:val="nil"/>
              <w:left w:val="nil"/>
              <w:bottom w:val="nil"/>
              <w:right w:val="nil"/>
            </w:tcBorders>
          </w:tcPr>
          <w:p w:rsidR="00FB0C75" w:rsidRPr="00B93DF4" w:rsidRDefault="00FB0C75" w:rsidP="00FB0C75">
            <w:pPr>
              <w:rPr>
                <w:rFonts w:ascii="Calibri" w:hAnsi="Calibri"/>
                <w:color w:val="000000"/>
                <w:sz w:val="22"/>
                <w:szCs w:val="22"/>
              </w:rPr>
            </w:pPr>
          </w:p>
        </w:tc>
        <w:tc>
          <w:tcPr>
            <w:tcW w:w="1280" w:type="dxa"/>
            <w:gridSpan w:val="2"/>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Pr>
                <w:rFonts w:ascii="Verdana" w:hAnsi="Verdana"/>
                <w:i/>
                <w:color w:val="000000"/>
                <w:sz w:val="18"/>
              </w:rPr>
              <w:t>en Mrd EUR</w:t>
            </w:r>
          </w:p>
        </w:tc>
      </w:tr>
      <w:tr w:rsidR="005B4EEC" w:rsidTr="001D393A">
        <w:trPr>
          <w:trHeight w:val="375"/>
        </w:trPr>
        <w:tc>
          <w:tcPr>
            <w:tcW w:w="2782"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3716" w:type="dxa"/>
            <w:gridSpan w:val="7"/>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BDP</w:t>
            </w:r>
          </w:p>
        </w:tc>
        <w:tc>
          <w:tcPr>
            <w:tcW w:w="2661" w:type="dxa"/>
            <w:gridSpan w:val="7"/>
            <w:tcBorders>
              <w:top w:val="nil"/>
              <w:left w:val="nil"/>
              <w:bottom w:val="nil"/>
              <w:right w:val="nil"/>
            </w:tcBorders>
            <w:shd w:val="clear" w:color="000000" w:fill="92D050"/>
            <w:vAlign w:val="bottom"/>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MESF*</w:t>
            </w:r>
          </w:p>
        </w:tc>
        <w:tc>
          <w:tcPr>
            <w:tcW w:w="1048" w:type="dxa"/>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TOTAL</w:t>
            </w:r>
          </w:p>
        </w:tc>
      </w:tr>
      <w:tr w:rsidR="005B4EEC" w:rsidTr="001D393A">
        <w:trPr>
          <w:trHeight w:val="375"/>
        </w:trPr>
        <w:tc>
          <w:tcPr>
            <w:tcW w:w="2782"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960"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Hongrie</w:t>
            </w:r>
          </w:p>
        </w:tc>
        <w:tc>
          <w:tcPr>
            <w:tcW w:w="960"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Lettonie</w:t>
            </w:r>
          </w:p>
        </w:tc>
        <w:tc>
          <w:tcPr>
            <w:tcW w:w="1080"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Roumanie</w:t>
            </w:r>
          </w:p>
        </w:tc>
        <w:tc>
          <w:tcPr>
            <w:tcW w:w="716" w:type="dxa"/>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Total</w:t>
            </w:r>
          </w:p>
        </w:tc>
        <w:tc>
          <w:tcPr>
            <w:tcW w:w="850" w:type="dxa"/>
            <w:gridSpan w:val="3"/>
            <w:tcBorders>
              <w:top w:val="nil"/>
              <w:left w:val="nil"/>
              <w:bottom w:val="single" w:sz="4" w:space="0" w:color="auto"/>
              <w:right w:val="nil"/>
            </w:tcBorders>
            <w:shd w:val="clear" w:color="auto" w:fill="auto"/>
            <w:noWrap/>
            <w:vAlign w:val="bottom"/>
          </w:tcPr>
          <w:p w:rsidR="00FB0C75" w:rsidRPr="00B93DF4" w:rsidRDefault="00525E53" w:rsidP="00FB0C75">
            <w:pPr>
              <w:jc w:val="right"/>
              <w:rPr>
                <w:rFonts w:ascii="Verdana" w:hAnsi="Verdana"/>
                <w:bCs/>
                <w:color w:val="92D050"/>
                <w:sz w:val="16"/>
                <w:szCs w:val="18"/>
              </w:rPr>
            </w:pPr>
            <w:r>
              <w:rPr>
                <w:rFonts w:ascii="Verdana" w:hAnsi="Verdana"/>
                <w:color w:val="92D050"/>
                <w:sz w:val="16"/>
              </w:rPr>
              <w:t>Irlande</w:t>
            </w:r>
          </w:p>
        </w:tc>
        <w:tc>
          <w:tcPr>
            <w:tcW w:w="988" w:type="dxa"/>
            <w:gridSpan w:val="2"/>
            <w:tcBorders>
              <w:top w:val="nil"/>
              <w:left w:val="nil"/>
              <w:bottom w:val="single" w:sz="4" w:space="0" w:color="auto"/>
              <w:right w:val="nil"/>
            </w:tcBorders>
            <w:vAlign w:val="bottom"/>
          </w:tcPr>
          <w:p w:rsidR="00FB0C75" w:rsidRPr="00B93DF4" w:rsidRDefault="00525E53" w:rsidP="00FB0C75">
            <w:pPr>
              <w:jc w:val="right"/>
              <w:rPr>
                <w:rFonts w:ascii="Verdana" w:hAnsi="Verdana"/>
                <w:bCs/>
                <w:color w:val="92D050"/>
                <w:sz w:val="16"/>
                <w:szCs w:val="18"/>
              </w:rPr>
            </w:pPr>
            <w:r>
              <w:rPr>
                <w:rFonts w:ascii="Verdana" w:hAnsi="Verdana"/>
                <w:color w:val="92D050"/>
                <w:sz w:val="16"/>
              </w:rPr>
              <w:t>Portugal</w:t>
            </w:r>
          </w:p>
        </w:tc>
        <w:tc>
          <w:tcPr>
            <w:tcW w:w="823" w:type="dxa"/>
            <w:gridSpan w:val="2"/>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Cs/>
                <w:color w:val="92D050"/>
                <w:sz w:val="16"/>
                <w:szCs w:val="18"/>
              </w:rPr>
            </w:pPr>
            <w:r>
              <w:rPr>
                <w:rFonts w:ascii="Verdana" w:hAnsi="Verdana"/>
                <w:color w:val="92D050"/>
                <w:sz w:val="16"/>
              </w:rPr>
              <w:t>Total</w:t>
            </w:r>
          </w:p>
        </w:tc>
        <w:tc>
          <w:tcPr>
            <w:tcW w:w="1048" w:type="dxa"/>
            <w:vMerge/>
            <w:tcBorders>
              <w:top w:val="nil"/>
              <w:left w:val="nil"/>
              <w:bottom w:val="single" w:sz="4" w:space="0" w:color="000000"/>
              <w:right w:val="nil"/>
            </w:tcBorders>
            <w:vAlign w:val="center"/>
            <w:hideMark/>
          </w:tcPr>
          <w:p w:rsidR="00FB0C75" w:rsidRPr="00B93DF4" w:rsidRDefault="00FB0C75" w:rsidP="00FB0C75">
            <w:pPr>
              <w:rPr>
                <w:rFonts w:ascii="Verdana" w:hAnsi="Verdana"/>
                <w:b/>
                <w:bCs/>
                <w:color w:val="FFFFFF"/>
                <w:sz w:val="18"/>
                <w:szCs w:val="18"/>
              </w:rPr>
            </w:pPr>
          </w:p>
        </w:tc>
      </w:tr>
      <w:tr w:rsidR="005B4EEC" w:rsidTr="001D393A">
        <w:trPr>
          <w:trHeight w:val="300"/>
        </w:trPr>
        <w:tc>
          <w:tcPr>
            <w:tcW w:w="2782"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Total accordés</w:t>
            </w:r>
          </w:p>
        </w:tc>
        <w:tc>
          <w:tcPr>
            <w:tcW w:w="960"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6</w:t>
            </w:r>
            <w:r>
              <w:rPr>
                <w:rFonts w:ascii="Verdana" w:hAnsi="Verdana"/>
                <w:color w:val="000000"/>
                <w:sz w:val="18"/>
              </w:rPr>
              <w:t>,</w:t>
            </w:r>
            <w:r w:rsidRPr="00031A85">
              <w:rPr>
                <w:rFonts w:ascii="Verdana" w:hAnsi="Verdana"/>
                <w:color w:val="000000"/>
                <w:sz w:val="18"/>
              </w:rPr>
              <w:t>5</w:t>
            </w:r>
          </w:p>
        </w:tc>
        <w:tc>
          <w:tcPr>
            <w:tcW w:w="960"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1</w:t>
            </w:r>
          </w:p>
        </w:tc>
        <w:tc>
          <w:tcPr>
            <w:tcW w:w="1080"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5</w:t>
            </w:r>
            <w:r>
              <w:rPr>
                <w:rFonts w:ascii="Verdana" w:hAnsi="Verdana"/>
                <w:color w:val="000000"/>
                <w:sz w:val="18"/>
              </w:rPr>
              <w:t>,</w:t>
            </w:r>
            <w:r w:rsidRPr="00031A85">
              <w:rPr>
                <w:rFonts w:ascii="Verdana" w:hAnsi="Verdana"/>
                <w:color w:val="000000"/>
                <w:sz w:val="18"/>
              </w:rPr>
              <w:t>0</w:t>
            </w:r>
            <w:r>
              <w:rPr>
                <w:rFonts w:ascii="Verdana" w:hAnsi="Verdana"/>
                <w:color w:val="000000"/>
                <w:sz w:val="18"/>
                <w:vertAlign w:val="superscript"/>
              </w:rPr>
              <w:t>**</w:t>
            </w:r>
          </w:p>
        </w:tc>
        <w:tc>
          <w:tcPr>
            <w:tcW w:w="716" w:type="dxa"/>
            <w:tcBorders>
              <w:top w:val="nil"/>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14</w:t>
            </w:r>
            <w:r>
              <w:rPr>
                <w:rFonts w:ascii="Verdana" w:hAnsi="Verdana"/>
                <w:color w:val="000000"/>
                <w:sz w:val="18"/>
              </w:rPr>
              <w:t>,</w:t>
            </w:r>
            <w:r w:rsidRPr="00031A85">
              <w:rPr>
                <w:rFonts w:ascii="Verdana" w:hAnsi="Verdana"/>
                <w:color w:val="000000"/>
                <w:sz w:val="18"/>
              </w:rPr>
              <w:t>6</w:t>
            </w:r>
          </w:p>
        </w:tc>
        <w:tc>
          <w:tcPr>
            <w:tcW w:w="850" w:type="dxa"/>
            <w:gridSpan w:val="3"/>
            <w:tcBorders>
              <w:top w:val="nil"/>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22</w:t>
            </w:r>
            <w:r>
              <w:rPr>
                <w:rFonts w:ascii="Verdana" w:hAnsi="Verdana"/>
                <w:color w:val="000000"/>
                <w:sz w:val="18"/>
              </w:rPr>
              <w:t>,</w:t>
            </w:r>
            <w:r w:rsidRPr="00031A85">
              <w:rPr>
                <w:rFonts w:ascii="Verdana" w:hAnsi="Verdana"/>
                <w:color w:val="000000"/>
                <w:sz w:val="18"/>
              </w:rPr>
              <w:t>5</w:t>
            </w:r>
          </w:p>
        </w:tc>
        <w:tc>
          <w:tcPr>
            <w:tcW w:w="988" w:type="dxa"/>
            <w:gridSpan w:val="2"/>
            <w:tcBorders>
              <w:top w:val="nil"/>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26</w:t>
            </w:r>
            <w:r>
              <w:rPr>
                <w:rFonts w:ascii="Verdana" w:hAnsi="Verdana"/>
                <w:color w:val="000000"/>
                <w:sz w:val="18"/>
              </w:rPr>
              <w:t>,</w:t>
            </w:r>
            <w:r w:rsidRPr="00031A85">
              <w:rPr>
                <w:rFonts w:ascii="Verdana" w:hAnsi="Verdana"/>
                <w:color w:val="000000"/>
                <w:sz w:val="18"/>
              </w:rPr>
              <w:t>0</w:t>
            </w:r>
          </w:p>
        </w:tc>
        <w:tc>
          <w:tcPr>
            <w:tcW w:w="823" w:type="dxa"/>
            <w:gridSpan w:val="2"/>
            <w:tcBorders>
              <w:top w:val="nil"/>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48</w:t>
            </w:r>
            <w:r>
              <w:rPr>
                <w:rFonts w:ascii="Verdana" w:hAnsi="Verdana"/>
                <w:color w:val="000000"/>
                <w:sz w:val="18"/>
              </w:rPr>
              <w:t>,</w:t>
            </w:r>
            <w:r w:rsidRPr="00031A85">
              <w:rPr>
                <w:rFonts w:ascii="Verdana" w:hAnsi="Verdana"/>
                <w:color w:val="000000"/>
                <w:sz w:val="18"/>
              </w:rPr>
              <w:t>5</w:t>
            </w:r>
          </w:p>
        </w:tc>
        <w:tc>
          <w:tcPr>
            <w:tcW w:w="1048" w:type="dxa"/>
            <w:tcBorders>
              <w:top w:val="nil"/>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63</w:t>
            </w:r>
            <w:r>
              <w:rPr>
                <w:rFonts w:ascii="Verdana" w:hAnsi="Verdana"/>
                <w:color w:val="000000"/>
                <w:sz w:val="18"/>
              </w:rPr>
              <w:t>,</w:t>
            </w:r>
            <w:r w:rsidRPr="00031A85">
              <w:rPr>
                <w:rFonts w:ascii="Verdana" w:hAnsi="Verdana"/>
                <w:color w:val="000000"/>
                <w:sz w:val="18"/>
              </w:rPr>
              <w:t>1</w:t>
            </w:r>
          </w:p>
        </w:tc>
      </w:tr>
      <w:tr w:rsidR="005B4EEC" w:rsidTr="001D393A">
        <w:trPr>
          <w:trHeight w:val="300"/>
        </w:trPr>
        <w:tc>
          <w:tcPr>
            <w:tcW w:w="2782"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 xml:space="preserve">Total décaissés au </w:t>
            </w:r>
            <w:r w:rsidRPr="00031A85">
              <w:rPr>
                <w:rFonts w:ascii="Verdana" w:hAnsi="Verdana"/>
                <w:color w:val="000000"/>
                <w:sz w:val="18"/>
              </w:rPr>
              <w:t>31</w:t>
            </w:r>
            <w:r>
              <w:rPr>
                <w:rFonts w:ascii="Verdana" w:hAnsi="Verdana"/>
                <w:color w:val="000000"/>
                <w:sz w:val="18"/>
              </w:rPr>
              <w:t>.</w:t>
            </w:r>
            <w:r w:rsidRPr="00031A85">
              <w:rPr>
                <w:rFonts w:ascii="Verdana" w:hAnsi="Verdana"/>
                <w:color w:val="000000"/>
                <w:sz w:val="18"/>
              </w:rPr>
              <w:t>12</w:t>
            </w:r>
            <w:r>
              <w:rPr>
                <w:rFonts w:ascii="Verdana" w:hAnsi="Verdana"/>
                <w:color w:val="000000"/>
                <w:sz w:val="18"/>
              </w:rPr>
              <w:t>.</w:t>
            </w:r>
            <w:r w:rsidRPr="00031A85">
              <w:rPr>
                <w:rFonts w:ascii="Verdana" w:hAnsi="Verdana"/>
                <w:color w:val="000000"/>
                <w:sz w:val="18"/>
              </w:rPr>
              <w:t>2016</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5</w:t>
            </w:r>
            <w:r>
              <w:rPr>
                <w:rFonts w:ascii="Verdana" w:hAnsi="Verdana"/>
                <w:color w:val="000000"/>
                <w:sz w:val="18"/>
              </w:rPr>
              <w:t>,</w:t>
            </w:r>
            <w:r w:rsidRPr="00031A85">
              <w:rPr>
                <w:rFonts w:ascii="Verdana" w:hAnsi="Verdana"/>
                <w:color w:val="000000"/>
                <w:sz w:val="18"/>
              </w:rPr>
              <w:t>5</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9</w:t>
            </w:r>
          </w:p>
        </w:tc>
        <w:tc>
          <w:tcPr>
            <w:tcW w:w="108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5</w:t>
            </w:r>
            <w:r>
              <w:rPr>
                <w:rFonts w:ascii="Verdana" w:hAnsi="Verdana"/>
                <w:color w:val="000000"/>
                <w:sz w:val="18"/>
              </w:rPr>
              <w:t>,</w:t>
            </w:r>
            <w:r w:rsidRPr="00031A85">
              <w:rPr>
                <w:rFonts w:ascii="Verdana" w:hAnsi="Verdana"/>
                <w:color w:val="000000"/>
                <w:sz w:val="18"/>
              </w:rPr>
              <w:t>0</w:t>
            </w:r>
          </w:p>
        </w:tc>
        <w:tc>
          <w:tcPr>
            <w:tcW w:w="716"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13</w:t>
            </w:r>
            <w:r>
              <w:rPr>
                <w:rFonts w:ascii="Verdana" w:hAnsi="Verdana"/>
                <w:color w:val="000000"/>
                <w:sz w:val="18"/>
              </w:rPr>
              <w:t>,</w:t>
            </w:r>
            <w:r w:rsidRPr="00031A85">
              <w:rPr>
                <w:rFonts w:ascii="Verdana" w:hAnsi="Verdana"/>
                <w:color w:val="000000"/>
                <w:sz w:val="18"/>
              </w:rPr>
              <w:t>4</w:t>
            </w:r>
          </w:p>
        </w:tc>
        <w:tc>
          <w:tcPr>
            <w:tcW w:w="85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22</w:t>
            </w:r>
            <w:r>
              <w:rPr>
                <w:rFonts w:ascii="Verdana" w:hAnsi="Verdana"/>
                <w:color w:val="000000"/>
                <w:sz w:val="18"/>
              </w:rPr>
              <w:t>,</w:t>
            </w:r>
            <w:r w:rsidRPr="00031A85">
              <w:rPr>
                <w:rFonts w:ascii="Verdana" w:hAnsi="Verdana"/>
                <w:color w:val="000000"/>
                <w:sz w:val="18"/>
              </w:rPr>
              <w:t>5</w:t>
            </w:r>
          </w:p>
        </w:tc>
        <w:tc>
          <w:tcPr>
            <w:tcW w:w="988"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24</w:t>
            </w:r>
            <w:r>
              <w:rPr>
                <w:rFonts w:ascii="Verdana" w:hAnsi="Verdana"/>
                <w:color w:val="000000"/>
                <w:sz w:val="18"/>
              </w:rPr>
              <w:t>,</w:t>
            </w:r>
            <w:r w:rsidRPr="00031A85">
              <w:rPr>
                <w:rFonts w:ascii="Verdana" w:hAnsi="Verdana"/>
                <w:color w:val="000000"/>
                <w:sz w:val="18"/>
              </w:rPr>
              <w:t>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46</w:t>
            </w:r>
            <w:r>
              <w:rPr>
                <w:rFonts w:ascii="Verdana" w:hAnsi="Verdana"/>
                <w:color w:val="000000"/>
                <w:sz w:val="18"/>
              </w:rPr>
              <w:t>,</w:t>
            </w:r>
            <w:r w:rsidRPr="00031A85">
              <w:rPr>
                <w:rFonts w:ascii="Verdana" w:hAnsi="Verdana"/>
                <w:color w:val="000000"/>
                <w:sz w:val="18"/>
              </w:rPr>
              <w:t>8</w:t>
            </w:r>
          </w:p>
        </w:tc>
        <w:tc>
          <w:tcPr>
            <w:tcW w:w="1048"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60</w:t>
            </w:r>
            <w:r>
              <w:rPr>
                <w:rFonts w:ascii="Verdana" w:hAnsi="Verdana"/>
                <w:color w:val="000000"/>
                <w:sz w:val="18"/>
              </w:rPr>
              <w:t>,</w:t>
            </w:r>
            <w:r w:rsidRPr="00031A85">
              <w:rPr>
                <w:rFonts w:ascii="Verdana" w:hAnsi="Verdana"/>
                <w:color w:val="000000"/>
                <w:sz w:val="18"/>
              </w:rPr>
              <w:t>2</w:t>
            </w:r>
          </w:p>
        </w:tc>
      </w:tr>
      <w:tr w:rsidR="005B4EEC" w:rsidTr="001D393A">
        <w:trPr>
          <w:trHeight w:val="300"/>
        </w:trPr>
        <w:tc>
          <w:tcPr>
            <w:tcW w:w="2782" w:type="dxa"/>
            <w:tcBorders>
              <w:top w:val="nil"/>
              <w:left w:val="nil"/>
              <w:bottom w:val="nil"/>
              <w:right w:val="nil"/>
            </w:tcBorders>
            <w:shd w:val="clear" w:color="auto" w:fill="auto"/>
            <w:noWrap/>
            <w:vAlign w:val="bottom"/>
            <w:hideMark/>
          </w:tcPr>
          <w:p w:rsidR="00FB0C75" w:rsidRPr="00CB7DA8" w:rsidRDefault="00525E53" w:rsidP="00FB0C75">
            <w:pPr>
              <w:rPr>
                <w:rFonts w:ascii="Verdana" w:hAnsi="Verdana"/>
                <w:color w:val="000000"/>
                <w:sz w:val="18"/>
                <w:szCs w:val="18"/>
              </w:rPr>
            </w:pPr>
            <w:r>
              <w:rPr>
                <w:rFonts w:ascii="Verdana" w:hAnsi="Verdana"/>
                <w:color w:val="000000"/>
                <w:sz w:val="18"/>
              </w:rPr>
              <w:t xml:space="preserve">Total remboursés au </w:t>
            </w:r>
            <w:r w:rsidRPr="00031A85">
              <w:rPr>
                <w:rFonts w:ascii="Verdana" w:hAnsi="Verdana"/>
                <w:color w:val="000000"/>
                <w:sz w:val="18"/>
              </w:rPr>
              <w:t>31</w:t>
            </w:r>
            <w:r>
              <w:rPr>
                <w:rFonts w:ascii="Verdana" w:hAnsi="Verdana"/>
                <w:color w:val="000000"/>
                <w:sz w:val="18"/>
              </w:rPr>
              <w:t>.</w:t>
            </w:r>
            <w:r w:rsidRPr="00031A85">
              <w:rPr>
                <w:rFonts w:ascii="Verdana" w:hAnsi="Verdana"/>
                <w:color w:val="000000"/>
                <w:sz w:val="18"/>
              </w:rPr>
              <w:t>12</w:t>
            </w:r>
            <w:r>
              <w:rPr>
                <w:rFonts w:ascii="Verdana" w:hAnsi="Verdana"/>
                <w:color w:val="000000"/>
                <w:sz w:val="18"/>
              </w:rPr>
              <w:t>.</w:t>
            </w:r>
            <w:r w:rsidRPr="00031A85">
              <w:rPr>
                <w:rFonts w:ascii="Verdana" w:hAnsi="Verdana"/>
                <w:color w:val="000000"/>
                <w:sz w:val="18"/>
              </w:rPr>
              <w:t>2016</w:t>
            </w:r>
          </w:p>
        </w:tc>
        <w:tc>
          <w:tcPr>
            <w:tcW w:w="960"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r w:rsidRPr="00031A85">
              <w:rPr>
                <w:rFonts w:ascii="Verdana" w:hAnsi="Verdana"/>
                <w:color w:val="000000"/>
                <w:sz w:val="18"/>
              </w:rPr>
              <w:t>5</w:t>
            </w:r>
            <w:r>
              <w:rPr>
                <w:rFonts w:ascii="Verdana" w:hAnsi="Verdana"/>
                <w:color w:val="000000"/>
                <w:sz w:val="18"/>
              </w:rPr>
              <w:t>,</w:t>
            </w:r>
            <w:r w:rsidRPr="00031A85">
              <w:rPr>
                <w:rFonts w:ascii="Verdana" w:hAnsi="Verdana"/>
                <w:color w:val="000000"/>
                <w:sz w:val="18"/>
              </w:rPr>
              <w:t>5</w:t>
            </w:r>
            <w:r>
              <w:rPr>
                <w:rFonts w:ascii="Verdana" w:hAnsi="Verdana"/>
                <w:color w:val="000000"/>
                <w:sz w:val="18"/>
              </w:rPr>
              <w:t>)</w:t>
            </w:r>
          </w:p>
        </w:tc>
        <w:tc>
          <w:tcPr>
            <w:tcW w:w="960"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2</w:t>
            </w:r>
            <w:r>
              <w:rPr>
                <w:rFonts w:ascii="Verdana" w:hAnsi="Verdana"/>
                <w:color w:val="000000"/>
                <w:sz w:val="18"/>
              </w:rPr>
              <w:t>)</w:t>
            </w:r>
          </w:p>
        </w:tc>
        <w:tc>
          <w:tcPr>
            <w:tcW w:w="1080"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r>
              <w:rPr>
                <w:rFonts w:ascii="Verdana" w:hAnsi="Verdana"/>
                <w:color w:val="000000"/>
                <w:sz w:val="18"/>
              </w:rPr>
              <w:t>)</w:t>
            </w:r>
          </w:p>
        </w:tc>
        <w:tc>
          <w:tcPr>
            <w:tcW w:w="716" w:type="dxa"/>
            <w:tcBorders>
              <w:top w:val="nil"/>
              <w:left w:val="nil"/>
              <w:bottom w:val="nil"/>
              <w:right w:val="nil"/>
            </w:tcBorders>
            <w:shd w:val="clear" w:color="000000" w:fill="DCE6F1"/>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r w:rsidRPr="00031A85">
              <w:rPr>
                <w:rFonts w:ascii="Verdana" w:hAnsi="Verdana"/>
                <w:color w:val="000000"/>
                <w:sz w:val="18"/>
              </w:rPr>
              <w:t>9</w:t>
            </w:r>
            <w:r>
              <w:rPr>
                <w:rFonts w:ascii="Verdana" w:hAnsi="Verdana"/>
                <w:color w:val="000000"/>
                <w:sz w:val="18"/>
              </w:rPr>
              <w:t>,</w:t>
            </w:r>
            <w:r w:rsidRPr="00031A85">
              <w:rPr>
                <w:rFonts w:ascii="Verdana" w:hAnsi="Verdana"/>
                <w:color w:val="000000"/>
                <w:sz w:val="18"/>
              </w:rPr>
              <w:t>2</w:t>
            </w:r>
            <w:r>
              <w:rPr>
                <w:rFonts w:ascii="Verdana" w:hAnsi="Verdana"/>
                <w:color w:val="000000"/>
                <w:sz w:val="18"/>
              </w:rPr>
              <w:t>)</w:t>
            </w:r>
          </w:p>
        </w:tc>
        <w:tc>
          <w:tcPr>
            <w:tcW w:w="850" w:type="dxa"/>
            <w:gridSpan w:val="3"/>
            <w:tcBorders>
              <w:top w:val="nil"/>
              <w:left w:val="nil"/>
              <w:bottom w:val="nil"/>
              <w:right w:val="nil"/>
            </w:tcBorders>
            <w:shd w:val="clear" w:color="auto" w:fill="auto"/>
            <w:noWrap/>
            <w:vAlign w:val="bottom"/>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988" w:type="dxa"/>
            <w:gridSpan w:val="2"/>
            <w:tcBorders>
              <w:top w:val="nil"/>
              <w:left w:val="nil"/>
              <w:bottom w:val="nil"/>
              <w:right w:val="nil"/>
            </w:tcBorders>
            <w:vAlign w:val="bottom"/>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823" w:type="dxa"/>
            <w:gridSpan w:val="2"/>
            <w:tcBorders>
              <w:top w:val="nil"/>
              <w:left w:val="nil"/>
              <w:bottom w:val="nil"/>
              <w:right w:val="nil"/>
            </w:tcBorders>
            <w:shd w:val="clear" w:color="000000" w:fill="D8E4BC"/>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1048" w:type="dxa"/>
            <w:tcBorders>
              <w:top w:val="nil"/>
              <w:left w:val="nil"/>
              <w:bottom w:val="nil"/>
              <w:right w:val="nil"/>
            </w:tcBorders>
            <w:shd w:val="clear" w:color="000000" w:fill="F2DCDB"/>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r w:rsidRPr="00031A85">
              <w:rPr>
                <w:rFonts w:ascii="Verdana" w:hAnsi="Verdana"/>
                <w:color w:val="000000"/>
                <w:sz w:val="18"/>
              </w:rPr>
              <w:t>9</w:t>
            </w:r>
            <w:r>
              <w:rPr>
                <w:rFonts w:ascii="Verdana" w:hAnsi="Verdana"/>
                <w:color w:val="000000"/>
                <w:sz w:val="18"/>
              </w:rPr>
              <w:t>,</w:t>
            </w:r>
            <w:r w:rsidRPr="00031A85">
              <w:rPr>
                <w:rFonts w:ascii="Verdana" w:hAnsi="Verdana"/>
                <w:color w:val="000000"/>
                <w:sz w:val="18"/>
              </w:rPr>
              <w:t>2</w:t>
            </w:r>
            <w:r>
              <w:rPr>
                <w:rFonts w:ascii="Verdana" w:hAnsi="Verdana"/>
                <w:color w:val="000000"/>
                <w:sz w:val="18"/>
              </w:rPr>
              <w:t>)</w:t>
            </w:r>
          </w:p>
        </w:tc>
      </w:tr>
      <w:tr w:rsidR="005B4EEC" w:rsidTr="001D393A">
        <w:trPr>
          <w:trHeight w:val="300"/>
        </w:trPr>
        <w:tc>
          <w:tcPr>
            <w:tcW w:w="2782"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 xml:space="preserve">Encours au </w:t>
            </w:r>
            <w:r w:rsidRPr="00031A85">
              <w:rPr>
                <w:rFonts w:ascii="Verdana" w:hAnsi="Verdana"/>
                <w:color w:val="000000"/>
                <w:sz w:val="18"/>
              </w:rPr>
              <w:t>31</w:t>
            </w:r>
            <w:r>
              <w:rPr>
                <w:rFonts w:ascii="Verdana" w:hAnsi="Verdana"/>
                <w:color w:val="000000"/>
                <w:sz w:val="18"/>
              </w:rPr>
              <w:t>.</w:t>
            </w:r>
            <w:r w:rsidRPr="00031A85">
              <w:rPr>
                <w:rFonts w:ascii="Verdana" w:hAnsi="Verdana"/>
                <w:color w:val="000000"/>
                <w:sz w:val="18"/>
              </w:rPr>
              <w:t>12</w:t>
            </w:r>
            <w:r>
              <w:rPr>
                <w:rFonts w:ascii="Verdana" w:hAnsi="Verdana"/>
                <w:color w:val="000000"/>
                <w:sz w:val="18"/>
              </w:rPr>
              <w:t>.</w:t>
            </w:r>
            <w:r w:rsidRPr="00031A85">
              <w:rPr>
                <w:rFonts w:ascii="Verdana" w:hAnsi="Verdana"/>
                <w:color w:val="000000"/>
                <w:sz w:val="18"/>
              </w:rPr>
              <w:t>2016</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7</w:t>
            </w:r>
          </w:p>
        </w:tc>
        <w:tc>
          <w:tcPr>
            <w:tcW w:w="108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5</w:t>
            </w:r>
          </w:p>
        </w:tc>
        <w:tc>
          <w:tcPr>
            <w:tcW w:w="716"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4</w:t>
            </w:r>
            <w:r>
              <w:rPr>
                <w:rFonts w:ascii="Verdana" w:hAnsi="Verdana"/>
                <w:color w:val="000000"/>
                <w:sz w:val="18"/>
              </w:rPr>
              <w:t>,</w:t>
            </w:r>
            <w:r w:rsidRPr="00031A85">
              <w:rPr>
                <w:rFonts w:ascii="Verdana" w:hAnsi="Verdana"/>
                <w:color w:val="000000"/>
                <w:sz w:val="18"/>
              </w:rPr>
              <w:t>2</w:t>
            </w:r>
          </w:p>
        </w:tc>
        <w:tc>
          <w:tcPr>
            <w:tcW w:w="85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22</w:t>
            </w:r>
            <w:r>
              <w:rPr>
                <w:rFonts w:ascii="Verdana" w:hAnsi="Verdana"/>
                <w:color w:val="000000"/>
                <w:sz w:val="18"/>
              </w:rPr>
              <w:t>,</w:t>
            </w:r>
            <w:r w:rsidRPr="00031A85">
              <w:rPr>
                <w:rFonts w:ascii="Verdana" w:hAnsi="Verdana"/>
                <w:color w:val="000000"/>
                <w:sz w:val="18"/>
              </w:rPr>
              <w:t>5</w:t>
            </w:r>
          </w:p>
        </w:tc>
        <w:tc>
          <w:tcPr>
            <w:tcW w:w="988"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24</w:t>
            </w:r>
            <w:r>
              <w:rPr>
                <w:rFonts w:ascii="Verdana" w:hAnsi="Verdana"/>
                <w:color w:val="000000"/>
                <w:sz w:val="18"/>
              </w:rPr>
              <w:t>,</w:t>
            </w:r>
            <w:r w:rsidRPr="00031A85">
              <w:rPr>
                <w:rFonts w:ascii="Verdana" w:hAnsi="Verdana"/>
                <w:color w:val="000000"/>
                <w:sz w:val="18"/>
              </w:rPr>
              <w:t>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46</w:t>
            </w:r>
            <w:r>
              <w:rPr>
                <w:rFonts w:ascii="Verdana" w:hAnsi="Verdana"/>
                <w:color w:val="000000"/>
                <w:sz w:val="18"/>
              </w:rPr>
              <w:t>,</w:t>
            </w:r>
            <w:r w:rsidRPr="00031A85">
              <w:rPr>
                <w:rFonts w:ascii="Verdana" w:hAnsi="Verdana"/>
                <w:color w:val="000000"/>
                <w:sz w:val="18"/>
              </w:rPr>
              <w:t>8</w:t>
            </w:r>
          </w:p>
        </w:tc>
        <w:tc>
          <w:tcPr>
            <w:tcW w:w="1048"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sidRPr="00031A85">
              <w:rPr>
                <w:rFonts w:ascii="Verdana" w:hAnsi="Verdana"/>
                <w:color w:val="000000"/>
                <w:sz w:val="18"/>
              </w:rPr>
              <w:t>51</w:t>
            </w:r>
            <w:r>
              <w:rPr>
                <w:rFonts w:ascii="Verdana" w:hAnsi="Verdana"/>
                <w:color w:val="000000"/>
                <w:sz w:val="18"/>
              </w:rPr>
              <w:t>,</w:t>
            </w:r>
            <w:r w:rsidRPr="00031A85">
              <w:rPr>
                <w:rFonts w:ascii="Verdana" w:hAnsi="Verdana"/>
                <w:color w:val="000000"/>
                <w:sz w:val="18"/>
              </w:rPr>
              <w:t>0</w:t>
            </w:r>
          </w:p>
        </w:tc>
      </w:tr>
    </w:tbl>
    <w:p w:rsidR="00FB0C75" w:rsidRDefault="00525E53" w:rsidP="00FB0C75">
      <w:pPr>
        <w:pStyle w:val="DGTextstand-alone"/>
        <w:tabs>
          <w:tab w:val="left" w:pos="426"/>
        </w:tabs>
        <w:spacing w:before="0" w:after="0"/>
        <w:rPr>
          <w:i/>
          <w:sz w:val="14"/>
        </w:rPr>
      </w:pPr>
      <w:r>
        <w:rPr>
          <w:i/>
          <w:sz w:val="14"/>
        </w:rPr>
        <w:t xml:space="preserve">* </w:t>
      </w:r>
      <w:r>
        <w:tab/>
      </w:r>
      <w:r>
        <w:rPr>
          <w:i/>
          <w:sz w:val="14"/>
        </w:rPr>
        <w:t xml:space="preserve">Sans opération de refinancement. </w:t>
      </w:r>
    </w:p>
    <w:p w:rsidR="00FB0C75" w:rsidRDefault="00525E53" w:rsidP="00FB0C75">
      <w:pPr>
        <w:pStyle w:val="DGTextstand-alone"/>
        <w:tabs>
          <w:tab w:val="left" w:pos="426"/>
        </w:tabs>
        <w:spacing w:before="0"/>
        <w:rPr>
          <w:i/>
          <w:sz w:val="14"/>
        </w:rPr>
      </w:pPr>
      <w:r>
        <w:rPr>
          <w:i/>
          <w:sz w:val="14"/>
        </w:rPr>
        <w:t xml:space="preserve">** </w:t>
      </w:r>
      <w:r>
        <w:tab/>
      </w:r>
      <w:r>
        <w:rPr>
          <w:i/>
          <w:sz w:val="14"/>
        </w:rPr>
        <w:t>Hors assistance à titre de précaution.</w:t>
      </w:r>
    </w:p>
    <w:p w:rsidR="00FB0C75" w:rsidRPr="005A556E" w:rsidRDefault="00FB0C75" w:rsidP="00FB0C75">
      <w:pPr>
        <w:pStyle w:val="DGTextstand-alone"/>
        <w:tabs>
          <w:tab w:val="left" w:pos="426"/>
        </w:tabs>
        <w:spacing w:before="0" w:after="0"/>
        <w:rPr>
          <w:i/>
          <w:sz w:val="14"/>
        </w:rPr>
      </w:pPr>
    </w:p>
    <w:p w:rsidR="00FB0C75" w:rsidRPr="002F27C6" w:rsidRDefault="00525E53" w:rsidP="00FB0C75">
      <w:pPr>
        <w:pStyle w:val="HEADER2Part3"/>
        <w:numPr>
          <w:ilvl w:val="0"/>
          <w:numId w:val="23"/>
        </w:numPr>
      </w:pPr>
      <w:bookmarkStart w:id="600" w:name="_Toc485733346"/>
      <w:bookmarkStart w:id="601" w:name="_Toc491681430"/>
      <w:r>
        <w:t>PASSIF</w:t>
      </w:r>
      <w:bookmarkEnd w:id="600"/>
      <w:bookmarkEnd w:id="601"/>
    </w:p>
    <w:p w:rsidR="00FB0C75" w:rsidRPr="003A281B" w:rsidRDefault="00525E53" w:rsidP="00FB0C75">
      <w:pPr>
        <w:pStyle w:val="HEADER5"/>
        <w:spacing w:after="240"/>
        <w:rPr>
          <w:b w:val="0"/>
        </w:rPr>
      </w:pPr>
      <w:r>
        <w:rPr>
          <w:b w:val="0"/>
        </w:rPr>
        <w:t xml:space="preserve">Passif de </w:t>
      </w:r>
      <w:r w:rsidRPr="00031A85">
        <w:rPr>
          <w:b w:val="0"/>
        </w:rPr>
        <w:t>235</w:t>
      </w:r>
      <w:r>
        <w:rPr>
          <w:b w:val="0"/>
        </w:rPr>
        <w:t> milliards d’EUR au bilan consolidé de l’UE</w:t>
      </w:r>
    </w:p>
    <w:p w:rsidR="00FB0C75" w:rsidRDefault="008F34B0" w:rsidP="00FB0C75">
      <w:pPr>
        <w:pStyle w:val="HEADER5"/>
        <w:spacing w:after="240"/>
        <w:jc w:val="center"/>
      </w:pPr>
      <w:r w:rsidRPr="008F34B0">
        <w:rPr>
          <w:noProof/>
          <w:lang w:val="en-GB" w:eastAsia="en-GB" w:bidi="ar-SA"/>
        </w:rPr>
        <w:drawing>
          <wp:inline distT="0" distB="0" distL="0" distR="0" wp14:anchorId="430B8B7B" wp14:editId="2CF2CF9E">
            <wp:extent cx="4927600" cy="3435350"/>
            <wp:effectExtent l="0" t="0" r="6350" b="0"/>
            <wp:docPr id="622592" name="Picture 6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927600" cy="3435350"/>
                    </a:xfrm>
                    <a:prstGeom prst="rect">
                      <a:avLst/>
                    </a:prstGeom>
                    <a:noFill/>
                    <a:ln>
                      <a:noFill/>
                    </a:ln>
                  </pic:spPr>
                </pic:pic>
              </a:graphicData>
            </a:graphic>
          </wp:inline>
        </w:drawing>
      </w:r>
    </w:p>
    <w:p w:rsidR="00FB0C75" w:rsidRDefault="00525E53" w:rsidP="00FB0C75">
      <w:pPr>
        <w:pStyle w:val="DGTextstand-alone"/>
        <w:spacing w:before="120" w:after="120"/>
      </w:pPr>
      <w:r>
        <w:t>Le passif se compose principalement de quatre éléments: les charges liées aux retraites et autres avantages du personnel, les emprunts, les sommes à payer et les charges à payer. La principale évolution par rapport à </w:t>
      </w:r>
      <w:r w:rsidRPr="00031A85">
        <w:t>2015</w:t>
      </w:r>
      <w:r>
        <w:t xml:space="preserve"> réside dans l’augmentation, de près de </w:t>
      </w:r>
      <w:r w:rsidRPr="00031A85">
        <w:t>8</w:t>
      </w:r>
      <w:r>
        <w:t> milliards d’EUR, des sommes à payer, qui est essentiellement due à une meilleure exécution du FEAGA (c'est-à-dire des paiements au niveau des États membres) en </w:t>
      </w:r>
      <w:r w:rsidRPr="00031A85">
        <w:t>2016</w:t>
      </w:r>
      <w:r>
        <w:t xml:space="preserve"> par rapport à </w:t>
      </w:r>
      <w:r w:rsidRPr="00031A85">
        <w:t>2015</w:t>
      </w:r>
      <w:r>
        <w:t> - voir la note </w:t>
      </w:r>
      <w:r w:rsidRPr="00031A85">
        <w:rPr>
          <w:b/>
        </w:rPr>
        <w:t>2</w:t>
      </w:r>
      <w:r>
        <w:rPr>
          <w:b/>
        </w:rPr>
        <w:t>.</w:t>
      </w:r>
      <w:r w:rsidRPr="00031A85">
        <w:rPr>
          <w:b/>
        </w:rPr>
        <w:t>12</w:t>
      </w:r>
      <w:r>
        <w:t xml:space="preserve"> des états financiers consolidés.</w:t>
      </w:r>
    </w:p>
    <w:p w:rsidR="00FB0C75" w:rsidRPr="00421EBA" w:rsidRDefault="00525E53" w:rsidP="00FB0C75">
      <w:pPr>
        <w:pStyle w:val="DGTextstand-alone"/>
        <w:rPr>
          <w:noProof w:val="0"/>
          <w:color w:val="016794"/>
        </w:rPr>
      </w:pPr>
      <w:r>
        <w:rPr>
          <w:noProof w:val="0"/>
          <w:color w:val="016794"/>
        </w:rPr>
        <w:t>Total des déclarations de dépenses et des factures reçues et comptabilisées dans la rubrique des sommes à payer dans le bilan</w:t>
      </w:r>
    </w:p>
    <w:p w:rsidR="00FB0C75" w:rsidRDefault="008D1615" w:rsidP="00FB0C75">
      <w:pPr>
        <w:pStyle w:val="HEADER5"/>
        <w:spacing w:after="240"/>
        <w:jc w:val="center"/>
      </w:pPr>
      <w:r w:rsidRPr="008D1615">
        <w:rPr>
          <w:noProof/>
          <w:lang w:val="en-GB" w:eastAsia="en-GB" w:bidi="ar-SA"/>
        </w:rPr>
        <w:drawing>
          <wp:inline distT="0" distB="0" distL="0" distR="0" wp14:anchorId="7A13A362" wp14:editId="5E6FCF46">
            <wp:extent cx="4584700" cy="2641600"/>
            <wp:effectExtent l="0" t="0" r="6350" b="6350"/>
            <wp:docPr id="1900579" name="Picture 190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584700" cy="2641600"/>
                    </a:xfrm>
                    <a:prstGeom prst="rect">
                      <a:avLst/>
                    </a:prstGeom>
                    <a:noFill/>
                    <a:ln>
                      <a:noFill/>
                    </a:ln>
                  </pic:spPr>
                </pic:pic>
              </a:graphicData>
            </a:graphic>
          </wp:inline>
        </w:drawing>
      </w:r>
    </w:p>
    <w:p w:rsidR="00FB0C75" w:rsidRPr="001B7584" w:rsidRDefault="00525E53" w:rsidP="00FB0C75">
      <w:pPr>
        <w:pStyle w:val="DGTextstand-alone"/>
        <w:rPr>
          <w:noProof w:val="0"/>
          <w:color w:val="016794"/>
        </w:rPr>
      </w:pPr>
      <w:r>
        <w:rPr>
          <w:noProof w:val="0"/>
          <w:color w:val="016794"/>
        </w:rPr>
        <w:t>Actifs nets</w:t>
      </w:r>
    </w:p>
    <w:p w:rsidR="00FB0C75" w:rsidRPr="00501C34" w:rsidRDefault="00525E53" w:rsidP="00FB0C75">
      <w:pPr>
        <w:pStyle w:val="DGTextstand-alone"/>
      </w:pPr>
      <w:r>
        <w:t>Le fait que le passif l’emporte sur l’actif ne signifie pas que les institutions et organes de l’UE sont en difficulté financière. Cela indique plutôt que certaines charges seront financées par les budgets annuels à venir. Bon nombre de dépenses sont comptabilisées conformément aux règles de comptabilité d’exercice au cours de l’exercice </w:t>
      </w:r>
      <w:r w:rsidRPr="00031A85">
        <w:t>2016</w:t>
      </w:r>
      <w:r>
        <w:t>, alors qu’il se peut qu'elles soient en réalité payées au cours de l’exercice </w:t>
      </w:r>
      <w:r w:rsidRPr="00031A85">
        <w:t>2017</w:t>
      </w:r>
      <w:r>
        <w:t xml:space="preserve"> (ou plus tard) et financées sur des budgets à venir, et que les recettes y afférentes ne seront comptabilisées que dans le futur. Les montants les plus significatifs à mettre en évidence concernent les activités du FEAGA (qui seront versés en </w:t>
      </w:r>
      <w:r w:rsidRPr="00031A85">
        <w:t>2017</w:t>
      </w:r>
      <w:r>
        <w:t xml:space="preserve">) et le passif lié aux avantages du personnel (à payer sur les </w:t>
      </w:r>
      <w:r w:rsidRPr="00031A85">
        <w:t>30</w:t>
      </w:r>
      <w:r>
        <w:t> prochaines années au moins).</w:t>
      </w:r>
      <w:bookmarkStart w:id="602" w:name="_Toc424652044"/>
    </w:p>
    <w:p w:rsidR="00FB0C75" w:rsidRPr="002D6DF1" w:rsidRDefault="00525E53" w:rsidP="00FB0C75">
      <w:pPr>
        <w:pStyle w:val="HEADER1Part3"/>
        <w:numPr>
          <w:ilvl w:val="0"/>
          <w:numId w:val="21"/>
        </w:numPr>
        <w:tabs>
          <w:tab w:val="clear" w:pos="907"/>
          <w:tab w:val="left" w:pos="993"/>
        </w:tabs>
        <w:ind w:left="993" w:hanging="993"/>
      </w:pPr>
      <w:bookmarkStart w:id="603" w:name="_Toc485733347"/>
      <w:bookmarkStart w:id="604" w:name="_Toc491681431"/>
      <w:r>
        <w:t>PROTECTION DU BUDGET DE L’UE</w:t>
      </w:r>
      <w:bookmarkEnd w:id="602"/>
      <w:bookmarkEnd w:id="603"/>
      <w:bookmarkEnd w:id="604"/>
    </w:p>
    <w:p w:rsidR="00FB0C75" w:rsidRPr="00544A13" w:rsidRDefault="00525E53" w:rsidP="00FB0C75">
      <w:pPr>
        <w:pStyle w:val="DGTextstand-alone"/>
        <w:rPr>
          <w:noProof w:val="0"/>
          <w:color w:val="016794"/>
        </w:rPr>
      </w:pPr>
      <w:r>
        <w:rPr>
          <w:noProof w:val="0"/>
          <w:color w:val="016794"/>
        </w:rPr>
        <w:t xml:space="preserve">Aperçu des corrections financières et recouvrements pour </w:t>
      </w:r>
      <w:r w:rsidRPr="00031A85">
        <w:rPr>
          <w:noProof w:val="0"/>
          <w:color w:val="016794"/>
        </w:rPr>
        <w:t>2016</w:t>
      </w:r>
    </w:p>
    <w:p w:rsidR="00FB0C75" w:rsidRDefault="00525E53" w:rsidP="00FB0C75">
      <w:pPr>
        <w:pStyle w:val="Textstand-alone"/>
        <w:spacing w:after="200"/>
      </w:pPr>
      <w:r>
        <w:t>Une considération importante dans l’exécution du budget de l’UE a trait à la nécessité de garantir une prévention ou détection adéquate et, ultérieurement, une correction des lacunes du système conduisant à des erreurs, irrégularités et fraudes. Dans son rapport annuel, la Cour des comptes européenne fournit une déclaration d’assurance sur la légalité et la régularité des opérations sous-jacentes à ces comptes annuels, ainsi que sur les niveaux significatifs d’erreur dans les paiements. La déclaration d’assurance est jointe aux comptes annuels de l’UE et publiée au Journal officiel.</w:t>
      </w:r>
    </w:p>
    <w:p w:rsidR="00FB0C75" w:rsidRDefault="00525E53" w:rsidP="00FB0C75">
      <w:pPr>
        <w:pStyle w:val="Textstand-alone"/>
        <w:spacing w:before="120" w:after="0"/>
      </w:pPr>
      <w:r>
        <w:t>Les mesures de protection de la Commission atténuent les effets de ces erreurs par l’intermédiaire de deux mécanismes principaux:</w:t>
      </w:r>
    </w:p>
    <w:p w:rsidR="00FB0C75" w:rsidRDefault="00525E53" w:rsidP="00FB0C75">
      <w:pPr>
        <w:pStyle w:val="Textstand-alone"/>
        <w:tabs>
          <w:tab w:val="left" w:pos="993"/>
        </w:tabs>
        <w:spacing w:before="0" w:after="0"/>
        <w:ind w:left="993" w:hanging="426"/>
      </w:pPr>
      <w:r w:rsidRPr="00031A85">
        <w:t>1</w:t>
      </w:r>
      <w:r>
        <w:t xml:space="preserve">) </w:t>
      </w:r>
      <w:r>
        <w:tab/>
        <w:t>des mécanismes préventifs (par exemple des contrôles ex ante, des interruptions et suspensions de paiements), et</w:t>
      </w:r>
    </w:p>
    <w:p w:rsidR="00FB0C75" w:rsidRDefault="00525E53" w:rsidP="00FB0C75">
      <w:pPr>
        <w:pStyle w:val="Textstand-alone"/>
        <w:tabs>
          <w:tab w:val="left" w:pos="993"/>
        </w:tabs>
        <w:spacing w:before="0" w:after="200"/>
        <w:ind w:left="992" w:hanging="425"/>
      </w:pPr>
      <w:r w:rsidRPr="00031A85">
        <w:t>2</w:t>
      </w:r>
      <w:r>
        <w:t xml:space="preserve">) </w:t>
      </w:r>
      <w:r>
        <w:tab/>
        <w:t>des mécanismes correctifs (essentiellement des corrections financières imposées aux États membres ou convenues avec ceux-ci et, dans une moindre mesure, le recouvrement auprès des bénéficiaires de sommes versées par l’UE).</w:t>
      </w:r>
    </w:p>
    <w:p w:rsidR="00FB0C75" w:rsidRDefault="00525E53" w:rsidP="00FB0C75">
      <w:pPr>
        <w:pStyle w:val="Textstand-alone"/>
        <w:spacing w:after="200"/>
      </w:pPr>
      <w:r>
        <w:t>Au titre de la gestion partagée (dépenses agricoles et actions structurelles), les États membres ont la responsabilité première, tout au long du cycle des dépenses, de veiller à la légalité et à la régularité des dépenses effectuées à partir du budget de l’UE.</w:t>
      </w:r>
    </w:p>
    <w:p w:rsidR="00FB0C75" w:rsidRDefault="00525E53" w:rsidP="00FB0C75">
      <w:pPr>
        <w:pStyle w:val="Textstand-alone"/>
      </w:pPr>
      <w:r>
        <w:t>Les mesures correctrices, à savoir les corrections financières et les recouvrements, sont prises à la suite de la surveillance et des contrôles exercés tant par la Commission que, dans le cas des dépenses en gestion partagée, par les États membres en ce qui concerne l’éligibilité des dépenses financées par le budget de l’UE. L</w:t>
      </w:r>
      <w:r>
        <w:rPr>
          <w:color w:val="000000"/>
        </w:rPr>
        <w:t>orsqu’elle décide du montant d’une correction financière</w:t>
      </w:r>
      <w:r>
        <w:t xml:space="preserve"> ou d’un recouvrement</w:t>
      </w:r>
      <w:r>
        <w:rPr>
          <w:color w:val="000000"/>
        </w:rPr>
        <w:t>, la Commission tient compte de la nature et de la gravité de la violation du droit applicable ainsi que des implications financières pour le budget de l’UE, y compris en cas d’insuffisances dans les systèmes de gestion et de contrôle. La plupart des corrections sont apportées après le paiement.</w:t>
      </w:r>
    </w:p>
    <w:p w:rsidR="00FB0C75" w:rsidRPr="00544A13" w:rsidRDefault="00525E53" w:rsidP="00FB0C75">
      <w:pPr>
        <w:pStyle w:val="DGTextstand-alone"/>
        <w:rPr>
          <w:noProof w:val="0"/>
          <w:color w:val="016794"/>
        </w:rPr>
      </w:pPr>
      <w:r>
        <w:rPr>
          <w:noProof w:val="0"/>
          <w:color w:val="016794"/>
        </w:rPr>
        <w:t>Processus relatif aux corrections financières et aux recouvrements</w:t>
      </w:r>
    </w:p>
    <w:p w:rsidR="00FB0C75" w:rsidRDefault="00525E53" w:rsidP="00FB0C75">
      <w:pPr>
        <w:pStyle w:val="Textstand-alone"/>
        <w:tabs>
          <w:tab w:val="left" w:pos="993"/>
        </w:tabs>
        <w:spacing w:before="0"/>
        <w:ind w:left="993" w:hanging="426"/>
      </w:pPr>
      <w:r>
        <w:rPr>
          <w:lang w:val="en-GB" w:eastAsia="en-GB" w:bidi="ar-SA"/>
        </w:rPr>
        <w:drawing>
          <wp:inline distT="0" distB="0" distL="0" distR="0" wp14:anchorId="026FA732" wp14:editId="106DD8D2">
            <wp:extent cx="5658928" cy="388188"/>
            <wp:effectExtent l="19050" t="19050" r="37465" b="50165"/>
            <wp:docPr id="155611843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0" r:lo="rId481" r:qs="rId482" r:cs="rId483"/>
              </a:graphicData>
            </a:graphic>
          </wp:inline>
        </w:drawing>
      </w:r>
    </w:p>
    <w:p w:rsidR="00FB0C75" w:rsidRDefault="00525E53" w:rsidP="00FB0C75">
      <w:pPr>
        <w:pStyle w:val="Textstand-alone"/>
        <w:spacing w:before="120" w:after="120"/>
      </w:pPr>
      <w:r>
        <w:t xml:space="preserve">Les </w:t>
      </w:r>
      <w:r>
        <w:rPr>
          <w:noProof w:val="0"/>
          <w:color w:val="016794"/>
        </w:rPr>
        <w:t>corrections financières et les recouvrements</w:t>
      </w:r>
      <w:r>
        <w:t xml:space="preserve"> sont présentés à deux stades principaux du processus, soit au cours de la même année ou d’années différentes:</w:t>
      </w:r>
    </w:p>
    <w:p w:rsidR="00FB0C75" w:rsidRDefault="00525E53" w:rsidP="00FB0C75">
      <w:pPr>
        <w:pStyle w:val="Textstand-alone"/>
        <w:spacing w:before="0"/>
        <w:ind w:left="567"/>
      </w:pPr>
      <w:r w:rsidRPr="00031A85">
        <w:t>1</w:t>
      </w:r>
      <w:r>
        <w:t xml:space="preserve">) Corrections financières et recouvrements au </w:t>
      </w:r>
      <w:r>
        <w:rPr>
          <w:noProof w:val="0"/>
          <w:color w:val="016794"/>
        </w:rPr>
        <w:t>stade de la confirmation</w:t>
      </w:r>
      <w:r>
        <w:t xml:space="preserve">: ces montants ont été soit acceptés par l’État membre concerné, soit arrêtés par une décision de la Commission. </w:t>
      </w:r>
      <w:r>
        <w:rPr>
          <w:noProof w:val="0"/>
          <w:color w:val="016794"/>
        </w:rPr>
        <w:t>En </w:t>
      </w:r>
      <w:r w:rsidRPr="00031A85">
        <w:rPr>
          <w:noProof w:val="0"/>
          <w:color w:val="016794"/>
        </w:rPr>
        <w:t>2016</w:t>
      </w:r>
      <w:r>
        <w:t xml:space="preserve">, le </w:t>
      </w:r>
      <w:r>
        <w:rPr>
          <w:noProof w:val="0"/>
          <w:color w:val="016794"/>
        </w:rPr>
        <w:t>total des corrections financières et des recouvrements confirmés</w:t>
      </w:r>
      <w:r>
        <w:t xml:space="preserve"> s’est élevé à </w:t>
      </w:r>
      <w:r w:rsidRPr="00031A85">
        <w:rPr>
          <w:noProof w:val="0"/>
          <w:color w:val="016794"/>
        </w:rPr>
        <w:t>3</w:t>
      </w:r>
      <w:r>
        <w:rPr>
          <w:noProof w:val="0"/>
          <w:color w:val="016794"/>
        </w:rPr>
        <w:t>,</w:t>
      </w:r>
      <w:r w:rsidRPr="00031A85">
        <w:rPr>
          <w:noProof w:val="0"/>
          <w:color w:val="016794"/>
        </w:rPr>
        <w:t>777</w:t>
      </w:r>
      <w:r>
        <w:rPr>
          <w:noProof w:val="0"/>
          <w:color w:val="016794"/>
        </w:rPr>
        <w:t> milliards d’EUR</w:t>
      </w:r>
      <w:r>
        <w:t xml:space="preserve"> (contre </w:t>
      </w:r>
      <w:r w:rsidRPr="00031A85">
        <w:t>3</w:t>
      </w:r>
      <w:r>
        <w:t>,</w:t>
      </w:r>
      <w:r w:rsidRPr="00031A85">
        <w:t>499</w:t>
      </w:r>
      <w:r>
        <w:t> milliards d’EUR en </w:t>
      </w:r>
      <w:r w:rsidRPr="00031A85">
        <w:t>2015</w:t>
      </w:r>
      <w:r>
        <w:t>).</w:t>
      </w:r>
    </w:p>
    <w:p w:rsidR="00FB0C75" w:rsidRPr="00544A13" w:rsidRDefault="00525E53" w:rsidP="00FB0C75">
      <w:pPr>
        <w:pStyle w:val="DGTextstand-alone"/>
        <w:rPr>
          <w:noProof w:val="0"/>
          <w:color w:val="016794"/>
        </w:rPr>
      </w:pPr>
      <w:r>
        <w:rPr>
          <w:noProof w:val="0"/>
          <w:color w:val="016794"/>
        </w:rPr>
        <w:t>Corrections financières et recouvrements confirmés en </w:t>
      </w:r>
      <w:r w:rsidRPr="00031A85">
        <w:rPr>
          <w:noProof w:val="0"/>
          <w:color w:val="016794"/>
        </w:rPr>
        <w:t>2016</w:t>
      </w:r>
      <w:r>
        <w:rPr>
          <w:noProof w:val="0"/>
          <w:color w:val="016794"/>
        </w:rPr>
        <w:t xml:space="preserve"> – ventilation par domaine politique</w:t>
      </w:r>
    </w:p>
    <w:p w:rsidR="00FB0C75" w:rsidRDefault="008D1615" w:rsidP="00FB0C75">
      <w:pPr>
        <w:pStyle w:val="Textstand-alone"/>
        <w:spacing w:after="200"/>
        <w:jc w:val="center"/>
      </w:pPr>
      <w:r w:rsidRPr="008D1615">
        <w:rPr>
          <w:lang w:val="en-GB" w:eastAsia="en-GB" w:bidi="ar-SA"/>
        </w:rPr>
        <w:drawing>
          <wp:inline distT="0" distB="0" distL="0" distR="0" wp14:anchorId="6123B7D9" wp14:editId="3250DC38">
            <wp:extent cx="4787900" cy="2578100"/>
            <wp:effectExtent l="0" t="0" r="0" b="0"/>
            <wp:docPr id="1900580" name="Picture 19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787900" cy="2578100"/>
                    </a:xfrm>
                    <a:prstGeom prst="rect">
                      <a:avLst/>
                    </a:prstGeom>
                    <a:noFill/>
                    <a:ln>
                      <a:noFill/>
                    </a:ln>
                  </pic:spPr>
                </pic:pic>
              </a:graphicData>
            </a:graphic>
          </wp:inline>
        </w:drawing>
      </w:r>
    </w:p>
    <w:p w:rsidR="00FB0C75" w:rsidRPr="00EF05B1" w:rsidRDefault="00FB0C75" w:rsidP="00FB0C75">
      <w:pPr>
        <w:pStyle w:val="Textstand-alone"/>
        <w:spacing w:after="200"/>
      </w:pPr>
    </w:p>
    <w:p w:rsidR="00FB0C75" w:rsidRDefault="00525E53" w:rsidP="00FB0C75">
      <w:pPr>
        <w:pStyle w:val="Textstand-alone"/>
        <w:spacing w:before="60" w:after="360"/>
        <w:ind w:left="567"/>
      </w:pPr>
      <w:r w:rsidRPr="00031A85">
        <w:t>2</w:t>
      </w:r>
      <w:r>
        <w:t xml:space="preserve">) Corrections financières et recouvrements au </w:t>
      </w:r>
      <w:r>
        <w:rPr>
          <w:noProof w:val="0"/>
          <w:color w:val="016794"/>
        </w:rPr>
        <w:t>stade de l’exécution</w:t>
      </w:r>
      <w:r>
        <w:t xml:space="preserve">: ces montants correspondent à la dernière étape du processus par lequel la situation observée d’une dépense indue est définitivement corrigée. Plusieurs mécanismes d’exécution sont prévus dans les cadres réglementaires sectoriels. </w:t>
      </w:r>
      <w:r>
        <w:rPr>
          <w:noProof w:val="0"/>
          <w:color w:val="016794"/>
        </w:rPr>
        <w:t>En </w:t>
      </w:r>
      <w:r w:rsidRPr="00031A85">
        <w:rPr>
          <w:noProof w:val="0"/>
          <w:color w:val="016794"/>
        </w:rPr>
        <w:t>2016</w:t>
      </w:r>
      <w:r>
        <w:t xml:space="preserve">, le </w:t>
      </w:r>
      <w:r>
        <w:rPr>
          <w:noProof w:val="0"/>
          <w:color w:val="016794"/>
        </w:rPr>
        <w:t>total des corrections financières et des recouvrements exécutés</w:t>
      </w:r>
      <w:r>
        <w:t xml:space="preserve"> s’est élevé à </w:t>
      </w:r>
      <w:r w:rsidRPr="00031A85">
        <w:rPr>
          <w:noProof w:val="0"/>
          <w:color w:val="016794"/>
        </w:rPr>
        <w:t>3</w:t>
      </w:r>
      <w:r>
        <w:rPr>
          <w:noProof w:val="0"/>
          <w:color w:val="016794"/>
        </w:rPr>
        <w:t>,</w:t>
      </w:r>
      <w:r w:rsidRPr="00031A85">
        <w:rPr>
          <w:noProof w:val="0"/>
          <w:color w:val="016794"/>
        </w:rPr>
        <w:t>389</w:t>
      </w:r>
      <w:r>
        <w:rPr>
          <w:noProof w:val="0"/>
          <w:color w:val="016794"/>
        </w:rPr>
        <w:t> milliards d’EUR</w:t>
      </w:r>
      <w:r>
        <w:t xml:space="preserve"> (contre </w:t>
      </w:r>
      <w:r w:rsidRPr="00031A85">
        <w:t>3</w:t>
      </w:r>
      <w:r>
        <w:t>,</w:t>
      </w:r>
      <w:r w:rsidRPr="00031A85">
        <w:t>853</w:t>
      </w:r>
      <w:r>
        <w:t> milliards d’EUR en </w:t>
      </w:r>
      <w:r w:rsidRPr="00031A85">
        <w:t>2015</w:t>
      </w:r>
      <w:r>
        <w:t xml:space="preserve">). L’exécution des corrections financières et des recouvrements peut prendre un certain nombre d’années, principalement en raison des décisions d'échelonnement ou de report accordées aux États membres dans le cadre de la politique agricole. Au titre de la politique de cohésion, le cadre juridique prévoit que l’exécution a lieu à la clôture de la période de programmation ou après celle-ci. </w:t>
      </w:r>
    </w:p>
    <w:p w:rsidR="00FB0C75" w:rsidRDefault="00525E53" w:rsidP="00FB0C75">
      <w:pPr>
        <w:pStyle w:val="DGTextstand-alone"/>
      </w:pPr>
      <w:r>
        <w:rPr>
          <w:noProof w:val="0"/>
          <w:color w:val="016794"/>
        </w:rPr>
        <w:t xml:space="preserve">Corrections financières et recouvrements exécutés en </w:t>
      </w:r>
      <w:r w:rsidRPr="00031A85">
        <w:rPr>
          <w:noProof w:val="0"/>
          <w:color w:val="016794"/>
        </w:rPr>
        <w:t>2016</w:t>
      </w:r>
      <w:r>
        <w:rPr>
          <w:noProof w:val="0"/>
          <w:color w:val="016794"/>
        </w:rPr>
        <w:t xml:space="preserve"> – ventilation par domaine politique</w:t>
      </w:r>
    </w:p>
    <w:p w:rsidR="00FB0C75" w:rsidRDefault="008D1615" w:rsidP="00FB0C75">
      <w:pPr>
        <w:pStyle w:val="Textstand-alone"/>
        <w:tabs>
          <w:tab w:val="left" w:pos="7088"/>
        </w:tabs>
        <w:spacing w:before="60" w:after="120"/>
        <w:ind w:left="567" w:firstLine="567"/>
      </w:pPr>
      <w:r w:rsidRPr="008D1615">
        <w:rPr>
          <w:lang w:val="en-GB" w:eastAsia="en-GB" w:bidi="ar-SA"/>
        </w:rPr>
        <w:drawing>
          <wp:inline distT="0" distB="0" distL="0" distR="0" wp14:anchorId="631D28C2" wp14:editId="70B18133">
            <wp:extent cx="4718050" cy="2635250"/>
            <wp:effectExtent l="0" t="0" r="6350" b="0"/>
            <wp:docPr id="1900581" name="Picture 19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718050" cy="2635250"/>
                    </a:xfrm>
                    <a:prstGeom prst="rect">
                      <a:avLst/>
                    </a:prstGeom>
                    <a:noFill/>
                    <a:ln>
                      <a:noFill/>
                    </a:ln>
                  </pic:spPr>
                </pic:pic>
              </a:graphicData>
            </a:graphic>
          </wp:inline>
        </w:drawing>
      </w:r>
    </w:p>
    <w:p w:rsidR="00FB0C75" w:rsidRDefault="00FB0C75" w:rsidP="00FB0C75">
      <w:pPr>
        <w:pStyle w:val="Textstand-alone"/>
        <w:spacing w:before="60" w:after="120"/>
        <w:ind w:left="567"/>
      </w:pPr>
    </w:p>
    <w:p w:rsidR="00FB0C75" w:rsidRPr="002D6DF1" w:rsidRDefault="00525E53" w:rsidP="00FB0C75">
      <w:pPr>
        <w:pStyle w:val="HEADER1Part3"/>
        <w:numPr>
          <w:ilvl w:val="0"/>
          <w:numId w:val="21"/>
        </w:numPr>
        <w:tabs>
          <w:tab w:val="clear" w:pos="907"/>
          <w:tab w:val="left" w:pos="993"/>
        </w:tabs>
        <w:ind w:left="993" w:hanging="993"/>
      </w:pPr>
      <w:bookmarkStart w:id="605" w:name="_Toc485733348"/>
      <w:bookmarkStart w:id="606" w:name="_Toc491681432"/>
      <w:r>
        <w:t>GESTION DES RISQUES ET DES INCERTITUDES DANS L’EXÉCUTION DU BUDGET DE L’UE</w:t>
      </w:r>
      <w:bookmarkEnd w:id="605"/>
      <w:bookmarkEnd w:id="606"/>
    </w:p>
    <w:p w:rsidR="00FB0C75" w:rsidRPr="002D6DF1" w:rsidRDefault="00525E53" w:rsidP="00FB0C75">
      <w:pPr>
        <w:pStyle w:val="HEADER2Part3"/>
        <w:numPr>
          <w:ilvl w:val="0"/>
          <w:numId w:val="24"/>
        </w:numPr>
        <w:ind w:left="709" w:hanging="283"/>
      </w:pPr>
      <w:bookmarkStart w:id="607" w:name="_Toc485733349"/>
      <w:bookmarkStart w:id="608" w:name="_Toc491681433"/>
      <w:r>
        <w:t>ENVIRONNEMENT MACROÉCONOMIQUE</w:t>
      </w:r>
      <w:bookmarkEnd w:id="607"/>
      <w:bookmarkEnd w:id="608"/>
    </w:p>
    <w:p w:rsidR="00FB0C75" w:rsidRPr="003368AF" w:rsidRDefault="00525E53" w:rsidP="00FB0C75">
      <w:pPr>
        <w:pStyle w:val="Textstand-alone"/>
        <w:rPr>
          <w:rFonts w:eastAsia="Calibri"/>
        </w:rPr>
      </w:pPr>
      <w:r>
        <w:t>L’environnement macroéconomique de l’UE</w:t>
      </w:r>
      <w:r>
        <w:rPr>
          <w:rStyle w:val="FootnoteReference"/>
        </w:rPr>
        <w:footnoteReference w:id="7"/>
      </w:r>
      <w:r>
        <w:t xml:space="preserve"> a une incidence sur la capacité des États membres à respecter leurs obligations de financement envers les institutions et organes de l’Union, et donc sur la capacité de l’UE à poursuivre la mise en œuvre de ses politiques. </w:t>
      </w:r>
    </w:p>
    <w:p w:rsidR="00FB0C75" w:rsidRPr="003368AF" w:rsidRDefault="00525E53" w:rsidP="00FB0C75">
      <w:pPr>
        <w:pStyle w:val="Textstand-alone"/>
        <w:rPr>
          <w:rFonts w:eastAsia="Calibri"/>
        </w:rPr>
      </w:pPr>
      <w:r>
        <w:t>Un degré élevé d'incertitude entoure actuellement les perspectives économiques mondiales. L’année </w:t>
      </w:r>
      <w:r w:rsidRPr="00031A85">
        <w:t>2016</w:t>
      </w:r>
      <w:r>
        <w:t xml:space="preserve"> avait déjà été difficile: l’économie européenne a dû faire face à de nombreux défis au sein de l’UE ainsi qu’au niveau international, notamment le ralentissement de la croissance mondiale et de la croissance des échanges depuis </w:t>
      </w:r>
      <w:r w:rsidRPr="00031A85">
        <w:t>2009</w:t>
      </w:r>
      <w:r>
        <w:t>, les tensions géopolitiques, les attentats terroristes perpétrés dans plusieurs États membres, les secteurs bancaires sous tension, la décision du Royaume-Uni de quitter l’UE et une hostilité croissance à l'égard de la mondialisation. Toutefois, jusqu’à présent, l'économie européenne s’est révélée apte à surmonter ces difficultés et a gardé le cap de la croissance économique et de la création d’emplois. La croissance du PIB de l’UE s'est renforcée à la fin de l’année </w:t>
      </w:r>
      <w:r w:rsidRPr="00031A85">
        <w:t>2016</w:t>
      </w:r>
      <w:r>
        <w:t xml:space="preserve"> et semble continuer sur sa lancée en </w:t>
      </w:r>
      <w:r w:rsidRPr="00031A85">
        <w:t>2017</w:t>
      </w:r>
      <w:r>
        <w:t>. Cette résilience a pu s'appuyer sur un certain nombre de facteurs favorables bien connus, notamment le prix relativement bas du pétrole, la dépréciation antérieure de l’euro, des politiques monétaires accommodantes et une politique budgétaire globalement neutre. La mise en œuvre de réformes structurelles dans certains États membres a également contribué à la relance, en particulier celle du marché du travail. La consommation privée est restée le principal moteur de la croissance économique, tandis que les investissements sont demeurés décevants. Cette faiblesse persistante au niveau des investissements fait planer le doute sur la pérennité de la relance et le potentiel de croissance de l’économie. L'incertitude a atteint des sommets, et elle est encore accentuée par l’issue incertaine de la décision prise par le Royaume-Uni de quitter l’Union.</w:t>
      </w:r>
    </w:p>
    <w:p w:rsidR="00FB0C75" w:rsidRDefault="00525E53" w:rsidP="00FB0C75">
      <w:pPr>
        <w:pStyle w:val="Textstand-alone"/>
        <w:rPr>
          <w:rFonts w:eastAsia="Calibri"/>
        </w:rPr>
      </w:pPr>
      <w:r>
        <w:t xml:space="preserve">Dans l’ensemble, après s’être établie à </w:t>
      </w:r>
      <w:r w:rsidRPr="00031A85">
        <w:t>1</w:t>
      </w:r>
      <w:r>
        <w:t>,</w:t>
      </w:r>
      <w:r w:rsidRPr="00031A85">
        <w:t>7</w:t>
      </w:r>
      <w:r>
        <w:t> % en </w:t>
      </w:r>
      <w:r w:rsidRPr="00031A85">
        <w:t>2016</w:t>
      </w:r>
      <w:r>
        <w:t xml:space="preserve">, la croissance du PIB de la zone euro devrait ralentir quelque peu cette année pour retomber à </w:t>
      </w:r>
      <w:r w:rsidRPr="00031A85">
        <w:t>1</w:t>
      </w:r>
      <w:r>
        <w:t>,</w:t>
      </w:r>
      <w:r w:rsidRPr="00031A85">
        <w:t>6</w:t>
      </w:r>
      <w:r>
        <w:t xml:space="preserve"> %, puis remonter à </w:t>
      </w:r>
      <w:r w:rsidRPr="00031A85">
        <w:t>1</w:t>
      </w:r>
      <w:r>
        <w:t>,</w:t>
      </w:r>
      <w:r w:rsidRPr="00031A85">
        <w:t>8</w:t>
      </w:r>
      <w:r>
        <w:t> % en </w:t>
      </w:r>
      <w:r w:rsidRPr="00031A85">
        <w:t>2018</w:t>
      </w:r>
      <w:r>
        <w:t>. Cette croissance stable mais modérée devrait encore être portée par la demande intérieure. La croissance du PIB mondial devait s'établir à un faible niveau en </w:t>
      </w:r>
      <w:r w:rsidRPr="00031A85">
        <w:t>2016</w:t>
      </w:r>
      <w:r>
        <w:t xml:space="preserve"> et devrait remonter en </w:t>
      </w:r>
      <w:r w:rsidRPr="00031A85">
        <w:t>2017</w:t>
      </w:r>
      <w:r>
        <w:t xml:space="preserve"> et l’année suivante. La croissance en dehors de l’UE devrait progressivement passer de </w:t>
      </w:r>
      <w:r w:rsidRPr="00031A85">
        <w:t>3</w:t>
      </w:r>
      <w:r>
        <w:t>,</w:t>
      </w:r>
      <w:r w:rsidRPr="00031A85">
        <w:t>2</w:t>
      </w:r>
      <w:r>
        <w:t> % en </w:t>
      </w:r>
      <w:r w:rsidRPr="00031A85">
        <w:t>2016</w:t>
      </w:r>
      <w:r>
        <w:t xml:space="preserve"> à </w:t>
      </w:r>
      <w:r w:rsidRPr="00031A85">
        <w:t>3</w:t>
      </w:r>
      <w:r>
        <w:t>,</w:t>
      </w:r>
      <w:r w:rsidRPr="00031A85">
        <w:t>7</w:t>
      </w:r>
      <w:r>
        <w:t xml:space="preserve"> % en </w:t>
      </w:r>
      <w:r w:rsidRPr="00031A85">
        <w:t>2017</w:t>
      </w:r>
      <w:r>
        <w:t xml:space="preserve"> et à </w:t>
      </w:r>
      <w:r w:rsidRPr="00031A85">
        <w:t>3</w:t>
      </w:r>
      <w:r>
        <w:t>,</w:t>
      </w:r>
      <w:r w:rsidRPr="00031A85">
        <w:t>9</w:t>
      </w:r>
      <w:r>
        <w:t> % en </w:t>
      </w:r>
      <w:r w:rsidRPr="00031A85">
        <w:t>2018</w:t>
      </w:r>
      <w:r>
        <w:t>.</w:t>
      </w:r>
    </w:p>
    <w:p w:rsidR="00FB0C75" w:rsidRDefault="00FB0C75" w:rsidP="00FB0C75">
      <w:pPr>
        <w:pStyle w:val="DGTextstand-alone"/>
      </w:pPr>
    </w:p>
    <w:p w:rsidR="00FB0C75" w:rsidRPr="006F3500" w:rsidRDefault="00525E53" w:rsidP="000F1A60">
      <w:pPr>
        <w:pStyle w:val="HEADER2Part3"/>
        <w:numPr>
          <w:ilvl w:val="0"/>
          <w:numId w:val="24"/>
        </w:numPr>
        <w:ind w:left="1418" w:hanging="992"/>
      </w:pPr>
      <w:bookmarkStart w:id="609" w:name="_Toc485733350"/>
      <w:bookmarkStart w:id="610" w:name="_Toc491681434"/>
      <w:r>
        <w:t>PASSIF ÉVENTUEL AU BUDGET DANS LE DOMAINE DE L’ASSISTANCE FINANCIÈRE</w:t>
      </w:r>
      <w:bookmarkEnd w:id="609"/>
      <w:bookmarkEnd w:id="610"/>
    </w:p>
    <w:p w:rsidR="00FB0C75" w:rsidRDefault="00525E53" w:rsidP="00FB0C75">
      <w:pPr>
        <w:pStyle w:val="Textstand-alone"/>
      </w:pPr>
      <w:r>
        <w:t>Les activités d’emprunt et de prêt de l’Union européenne liées aux programmes d’assistance financière sont des opérations hors budget. En général, les fonds collectés sont prêtés par des opérations réciproques au pays bénéficiaire, c’est-à-dire avec le même coupon, la même durée et le même montant. Malgré l’application de modalités similaires, le service de la dette des instruments de financement relève de la responsabilité juridique de l’UE, qui s’assure que tous les paiements sont effectués en temps utile et intégralement. La Commission a mis en place des procédures visant à assurer le remboursement des emprunts même en cas de défaut de paiement sur un prêt.</w:t>
      </w:r>
    </w:p>
    <w:p w:rsidR="00FB0C75" w:rsidRDefault="00525E53" w:rsidP="00FB0C75">
      <w:pPr>
        <w:pStyle w:val="Textstand-alone"/>
      </w:pPr>
      <w:r>
        <w:t xml:space="preserve">Les emprunts de l’UE sont des obligations directes et inconditionnelles de l’Union et sont garantis par les États membres (passifs éventuels au budget). Les emprunts contractés pour financer les prêts aux pays tiers sont couverts par le Fonds de garantie relatif aux actions extérieures. En cas de défaillance d’un pays bénéficiaire, le service de la dette sera prélevé, si possible, du solde de trésorerie disponible de la Commission. Si cela devait s’avérer impossible, la Commission procéderait au prélèvement des fonds nécessaires auprès des États membres. Les États membres de l’UE sont légalement tenus, conformément à la législation relative aux ressources propres de l’UE [article </w:t>
      </w:r>
      <w:r w:rsidRPr="00031A85">
        <w:t>14</w:t>
      </w:r>
      <w:r>
        <w:t xml:space="preserve"> du règlement (UE, Euratom) n° </w:t>
      </w:r>
      <w:r w:rsidRPr="00031A85">
        <w:t>609</w:t>
      </w:r>
      <w:r>
        <w:t>/</w:t>
      </w:r>
      <w:r w:rsidRPr="00031A85">
        <w:t>2014</w:t>
      </w:r>
      <w:r>
        <w:t xml:space="preserve"> du Conseil], de mettre à disposition des fonds suffisants pour répondre aux obligations de l’UE. Dès lors, les investisseurs sont uniquement exposés au risque de crédit de l’UE et non à celui du bénéficiaire des prêts financés. Les prêts «back-to-back» garantissent que le budget de l’UE n'est soumis à aucun risque de taux d’intérêt ou de change.</w:t>
      </w:r>
    </w:p>
    <w:p w:rsidR="00FB0C75" w:rsidRDefault="00525E53" w:rsidP="00FB0C75">
      <w:pPr>
        <w:pStyle w:val="Textstand-alone"/>
      </w:pPr>
      <w:r>
        <w:t xml:space="preserve">Pour chaque programme d'un pays, les décisions du PE, du Conseil et de la Commission déterminent le montant global accordé, le nombre de tranches à verser et l’échéance (moyenne) maximale de l’enveloppe de prêts. La Commission et le pays bénéficiaire conviennent ensuite des paramètres de prêt/de financement, en particulier de l’échéance des versements. Par ailleurs, toutes les tranches du prêt, hormis la première, sont subordonnées au respect de conditions politiques, dans le contexte d’une aide financière conjointe de l’UE et du Fonds monétaire international (FMI). Il s’agit là d’un autre facteur influençant le calendrier des opérations de financement, ce qui implique que le calendrier et les échéances des émissions dépendent de l’activité de prêt correspondante de l’UE. Le financement est libellé exclusivement en euros et les échéances vont de </w:t>
      </w:r>
      <w:r w:rsidRPr="00031A85">
        <w:t>3</w:t>
      </w:r>
      <w:r>
        <w:t xml:space="preserve"> à </w:t>
      </w:r>
      <w:r w:rsidRPr="00031A85">
        <w:t>30</w:t>
      </w:r>
      <w:r>
        <w:t> ans.</w:t>
      </w:r>
    </w:p>
    <w:p w:rsidR="00FB0C75" w:rsidRDefault="00525E53" w:rsidP="00FB0C75">
      <w:pPr>
        <w:pStyle w:val="DGTextstand-alone"/>
      </w:pPr>
      <w:r>
        <w:t>Le tableau ci-dessous procure une vue d'ensemble du calendrier des remboursements prévus, en valeur nominale, pour les montants de prêts MESF et BDP en cours à la date de clôture:</w:t>
      </w:r>
    </w:p>
    <w:tbl>
      <w:tblPr>
        <w:tblW w:w="5000" w:type="pct"/>
        <w:tblLook w:val="04A0" w:firstRow="1" w:lastRow="0" w:firstColumn="1" w:lastColumn="0" w:noHBand="0" w:noVBand="1"/>
      </w:tblPr>
      <w:tblGrid>
        <w:gridCol w:w="896"/>
        <w:gridCol w:w="1099"/>
        <w:gridCol w:w="1048"/>
        <w:gridCol w:w="1229"/>
        <w:gridCol w:w="1060"/>
        <w:gridCol w:w="1065"/>
        <w:gridCol w:w="1103"/>
        <w:gridCol w:w="1049"/>
        <w:gridCol w:w="1306"/>
      </w:tblGrid>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38"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66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Pr>
                <w:rFonts w:ascii="Verdana" w:hAnsi="Verdana"/>
                <w:i/>
                <w:color w:val="000000"/>
                <w:sz w:val="18"/>
              </w:rPr>
              <w:t>en Mrd EUR</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223" w:type="pct"/>
            <w:gridSpan w:val="4"/>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20"/>
                <w:szCs w:val="28"/>
              </w:rPr>
            </w:pPr>
            <w:r>
              <w:rPr>
                <w:rFonts w:ascii="Verdana" w:hAnsi="Verdana"/>
                <w:b/>
                <w:color w:val="FFFFFF"/>
                <w:sz w:val="20"/>
              </w:rPr>
              <w:t>BDP</w:t>
            </w:r>
          </w:p>
        </w:tc>
        <w:tc>
          <w:tcPr>
            <w:tcW w:w="1648" w:type="pct"/>
            <w:gridSpan w:val="3"/>
            <w:tcBorders>
              <w:top w:val="nil"/>
              <w:left w:val="nil"/>
              <w:bottom w:val="nil"/>
              <w:right w:val="nil"/>
            </w:tcBorders>
            <w:shd w:val="clear" w:color="000000" w:fill="92D050"/>
            <w:noWrap/>
            <w:vAlign w:val="bottom"/>
            <w:hideMark/>
          </w:tcPr>
          <w:p w:rsidR="00FB0C75" w:rsidRPr="00B93DF4" w:rsidRDefault="00525E53" w:rsidP="00FB0C75">
            <w:pPr>
              <w:jc w:val="center"/>
              <w:rPr>
                <w:rFonts w:ascii="Verdana" w:hAnsi="Verdana"/>
                <w:b/>
                <w:bCs/>
                <w:color w:val="FFFFFF"/>
                <w:sz w:val="20"/>
                <w:szCs w:val="28"/>
              </w:rPr>
            </w:pPr>
            <w:r>
              <w:rPr>
                <w:rFonts w:ascii="Verdana" w:hAnsi="Verdana"/>
                <w:b/>
                <w:color w:val="FFFFFF"/>
                <w:sz w:val="20"/>
              </w:rPr>
              <w:t>MESF</w:t>
            </w:r>
          </w:p>
        </w:tc>
        <w:tc>
          <w:tcPr>
            <w:tcW w:w="669" w:type="pct"/>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right"/>
              <w:rPr>
                <w:rFonts w:ascii="Verdana" w:hAnsi="Verdana"/>
                <w:b/>
                <w:bCs/>
                <w:color w:val="FFFFFF"/>
                <w:sz w:val="28"/>
                <w:szCs w:val="28"/>
              </w:rPr>
            </w:pPr>
            <w:r>
              <w:rPr>
                <w:rFonts w:ascii="Verdana" w:hAnsi="Verdana"/>
                <w:b/>
                <w:color w:val="FFFFFF"/>
                <w:sz w:val="20"/>
              </w:rPr>
              <w:t>TOTAL</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63"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Hongrie</w:t>
            </w:r>
          </w:p>
        </w:tc>
        <w:tc>
          <w:tcPr>
            <w:tcW w:w="535"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Lettonie</w:t>
            </w:r>
          </w:p>
        </w:tc>
        <w:tc>
          <w:tcPr>
            <w:tcW w:w="579"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Roumanie</w:t>
            </w:r>
          </w:p>
        </w:tc>
        <w:tc>
          <w:tcPr>
            <w:tcW w:w="546" w:type="pct"/>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Total</w:t>
            </w:r>
          </w:p>
        </w:tc>
        <w:tc>
          <w:tcPr>
            <w:tcW w:w="546"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Irlande</w:t>
            </w:r>
          </w:p>
        </w:tc>
        <w:tc>
          <w:tcPr>
            <w:tcW w:w="565"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Portugal</w:t>
            </w:r>
          </w:p>
        </w:tc>
        <w:tc>
          <w:tcPr>
            <w:tcW w:w="538" w:type="pct"/>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Total</w:t>
            </w:r>
          </w:p>
        </w:tc>
        <w:tc>
          <w:tcPr>
            <w:tcW w:w="669" w:type="pct"/>
            <w:vMerge/>
            <w:tcBorders>
              <w:top w:val="nil"/>
              <w:left w:val="nil"/>
              <w:bottom w:val="single" w:sz="4" w:space="0" w:color="000000"/>
              <w:right w:val="nil"/>
            </w:tcBorders>
            <w:vAlign w:val="center"/>
            <w:hideMark/>
          </w:tcPr>
          <w:p w:rsidR="00FB0C75" w:rsidRPr="00B93DF4" w:rsidRDefault="00FB0C75" w:rsidP="00FB0C75">
            <w:pPr>
              <w:rPr>
                <w:rFonts w:ascii="Calibri" w:hAnsi="Calibri"/>
                <w:b/>
                <w:bCs/>
                <w:color w:val="FFFFFF"/>
                <w:sz w:val="28"/>
                <w:szCs w:val="28"/>
              </w:rPr>
            </w:pP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2017</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15</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15</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15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2018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35</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35</w:t>
            </w: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9</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6</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4</w:t>
            </w:r>
            <w:r>
              <w:rPr>
                <w:rFonts w:ascii="Verdana" w:hAnsi="Verdana"/>
                <w:color w:val="000000"/>
                <w:sz w:val="18"/>
              </w:rPr>
              <w:t>,</w:t>
            </w:r>
            <w:r w:rsidRPr="00031A85">
              <w:rPr>
                <w:rFonts w:ascii="Verdana" w:hAnsi="Verdana"/>
                <w:color w:val="000000"/>
                <w:sz w:val="18"/>
              </w:rPr>
              <w:t>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5</w:t>
            </w:r>
            <w:r>
              <w:rPr>
                <w:rFonts w:ascii="Verdana" w:hAnsi="Verdana"/>
                <w:color w:val="000000"/>
                <w:sz w:val="18"/>
              </w:rPr>
              <w:t>,</w:t>
            </w:r>
            <w:r w:rsidRPr="00031A85">
              <w:rPr>
                <w:rFonts w:ascii="Verdana" w:hAnsi="Verdana"/>
                <w:color w:val="000000"/>
                <w:sz w:val="18"/>
              </w:rPr>
              <w:t>85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2019</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5</w:t>
            </w: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2021</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6</w:t>
            </w:r>
            <w:r>
              <w:rPr>
                <w:rFonts w:ascii="Verdana" w:hAnsi="Verdana"/>
                <w:color w:val="000000"/>
                <w:sz w:val="18"/>
              </w:rPr>
              <w:t>,</w:t>
            </w:r>
            <w:r w:rsidRPr="00031A85">
              <w:rPr>
                <w:rFonts w:ascii="Verdana" w:hAnsi="Verdana"/>
                <w:color w:val="000000"/>
                <w:sz w:val="18"/>
              </w:rPr>
              <w:t>75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9</w:t>
            </w:r>
            <w:r>
              <w:rPr>
                <w:rFonts w:ascii="Verdana" w:hAnsi="Verdana"/>
                <w:color w:val="000000"/>
                <w:sz w:val="18"/>
              </w:rPr>
              <w:t>,</w:t>
            </w:r>
            <w:r w:rsidRPr="00031A85">
              <w:rPr>
                <w:rFonts w:ascii="Verdana" w:hAnsi="Verdana"/>
                <w:color w:val="000000"/>
                <w:sz w:val="18"/>
              </w:rPr>
              <w:t>75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9</w:t>
            </w:r>
            <w:r>
              <w:rPr>
                <w:rFonts w:ascii="Verdana" w:hAnsi="Verdana"/>
                <w:color w:val="000000"/>
                <w:sz w:val="18"/>
              </w:rPr>
              <w:t>,</w:t>
            </w:r>
            <w:r w:rsidRPr="00031A85">
              <w:rPr>
                <w:rFonts w:ascii="Verdana" w:hAnsi="Verdana"/>
                <w:color w:val="000000"/>
                <w:sz w:val="18"/>
              </w:rPr>
              <w:t>75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7</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7</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7</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2023</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5</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2024</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8</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8</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6</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6</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2025</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2</w:t>
            </w: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2</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2</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2026</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4</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4</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2027</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3</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3</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3</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2029</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0</w:t>
            </w:r>
            <w:r>
              <w:rPr>
                <w:rFonts w:ascii="Verdana" w:hAnsi="Verdana"/>
                <w:color w:val="000000"/>
                <w:sz w:val="18"/>
              </w:rPr>
              <w:t>,</w:t>
            </w:r>
            <w:r w:rsidRPr="00031A85">
              <w:rPr>
                <w:rFonts w:ascii="Verdana" w:hAnsi="Verdana"/>
                <w:color w:val="000000"/>
                <w:sz w:val="18"/>
              </w:rPr>
              <w:t>4</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4</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4</w:t>
            </w:r>
          </w:p>
        </w:tc>
      </w:tr>
      <w:tr w:rsidR="005B4EEC" w:rsidTr="00FB0C75">
        <w:trPr>
          <w:trHeight w:val="300"/>
        </w:trPr>
        <w:tc>
          <w:tcPr>
            <w:tcW w:w="460"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2031</w:t>
            </w:r>
          </w:p>
        </w:tc>
        <w:tc>
          <w:tcPr>
            <w:tcW w:w="563"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25</w:t>
            </w:r>
          </w:p>
        </w:tc>
        <w:tc>
          <w:tcPr>
            <w:tcW w:w="538"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25</w:t>
            </w:r>
          </w:p>
        </w:tc>
        <w:tc>
          <w:tcPr>
            <w:tcW w:w="669"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25</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2032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2035</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2</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2036</w:t>
            </w:r>
          </w:p>
        </w:tc>
        <w:tc>
          <w:tcPr>
            <w:tcW w:w="563"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c>
          <w:tcPr>
            <w:tcW w:w="538"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2038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8</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8</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8</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031A85">
              <w:rPr>
                <w:rFonts w:ascii="Verdana" w:hAnsi="Verdana"/>
                <w:color w:val="000000"/>
                <w:sz w:val="18"/>
              </w:rPr>
              <w:t>2042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1</w:t>
            </w:r>
            <w:r>
              <w:rPr>
                <w:rFonts w:ascii="Verdana" w:hAnsi="Verdana"/>
                <w:color w:val="000000"/>
                <w:sz w:val="18"/>
              </w:rPr>
              <w:t>,</w:t>
            </w:r>
            <w:r w:rsidRPr="00031A85">
              <w:rPr>
                <w:rFonts w:ascii="Verdana" w:hAnsi="Verdana"/>
                <w:color w:val="000000"/>
                <w:sz w:val="18"/>
              </w:rPr>
              <w:t>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031A85">
              <w:rPr>
                <w:rFonts w:ascii="Verdana" w:hAnsi="Verdana"/>
                <w:color w:val="000000"/>
                <w:sz w:val="18"/>
              </w:rPr>
              <w:t>3</w:t>
            </w:r>
            <w:r>
              <w:rPr>
                <w:rFonts w:ascii="Verdana" w:hAnsi="Verdana"/>
                <w:color w:val="000000"/>
                <w:sz w:val="18"/>
              </w:rPr>
              <w:t>,</w:t>
            </w:r>
            <w:r w:rsidRPr="00031A85">
              <w:rPr>
                <w:rFonts w:ascii="Verdana" w:hAnsi="Verdana"/>
                <w:color w:val="000000"/>
                <w:sz w:val="18"/>
              </w:rPr>
              <w:t>0</w:t>
            </w:r>
          </w:p>
        </w:tc>
      </w:tr>
      <w:tr w:rsidR="005B4EEC" w:rsidTr="00FB0C75">
        <w:trPr>
          <w:trHeight w:val="300"/>
        </w:trPr>
        <w:tc>
          <w:tcPr>
            <w:tcW w:w="460"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Total</w:t>
            </w:r>
          </w:p>
        </w:tc>
        <w:tc>
          <w:tcPr>
            <w:tcW w:w="563"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0</w:t>
            </w:r>
          </w:p>
        </w:tc>
        <w:tc>
          <w:tcPr>
            <w:tcW w:w="535"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0</w:t>
            </w:r>
            <w:r>
              <w:rPr>
                <w:rFonts w:ascii="Verdana" w:hAnsi="Verdana"/>
                <w:b/>
                <w:color w:val="000000"/>
                <w:sz w:val="18"/>
              </w:rPr>
              <w:t>,</w:t>
            </w:r>
            <w:r w:rsidRPr="00031A85">
              <w:rPr>
                <w:rFonts w:ascii="Verdana" w:hAnsi="Verdana"/>
                <w:b/>
                <w:color w:val="000000"/>
                <w:sz w:val="18"/>
              </w:rPr>
              <w:t>7</w:t>
            </w:r>
          </w:p>
        </w:tc>
        <w:tc>
          <w:tcPr>
            <w:tcW w:w="579"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3</w:t>
            </w:r>
            <w:r>
              <w:rPr>
                <w:rFonts w:ascii="Verdana" w:hAnsi="Verdana"/>
                <w:b/>
                <w:color w:val="000000"/>
                <w:sz w:val="18"/>
              </w:rPr>
              <w:t>,</w:t>
            </w:r>
            <w:r w:rsidRPr="00031A85">
              <w:rPr>
                <w:rFonts w:ascii="Verdana" w:hAnsi="Verdana"/>
                <w:b/>
                <w:color w:val="000000"/>
                <w:sz w:val="18"/>
              </w:rPr>
              <w:t>5</w:t>
            </w:r>
          </w:p>
        </w:tc>
        <w:tc>
          <w:tcPr>
            <w:tcW w:w="546"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4</w:t>
            </w:r>
            <w:r>
              <w:rPr>
                <w:rFonts w:ascii="Verdana" w:hAnsi="Verdana"/>
                <w:b/>
                <w:color w:val="000000"/>
                <w:sz w:val="18"/>
              </w:rPr>
              <w:t>,</w:t>
            </w:r>
            <w:r w:rsidRPr="00031A85">
              <w:rPr>
                <w:rFonts w:ascii="Verdana" w:hAnsi="Verdana"/>
                <w:b/>
                <w:color w:val="000000"/>
                <w:sz w:val="18"/>
              </w:rPr>
              <w:t>2</w:t>
            </w:r>
          </w:p>
        </w:tc>
        <w:tc>
          <w:tcPr>
            <w:tcW w:w="546"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22</w:t>
            </w:r>
            <w:r>
              <w:rPr>
                <w:rFonts w:ascii="Verdana" w:hAnsi="Verdana"/>
                <w:b/>
                <w:color w:val="000000"/>
                <w:sz w:val="18"/>
              </w:rPr>
              <w:t>,</w:t>
            </w:r>
            <w:r w:rsidRPr="00031A85">
              <w:rPr>
                <w:rFonts w:ascii="Verdana" w:hAnsi="Verdana"/>
                <w:b/>
                <w:color w:val="000000"/>
                <w:sz w:val="18"/>
              </w:rPr>
              <w:t>5</w:t>
            </w:r>
          </w:p>
        </w:tc>
        <w:tc>
          <w:tcPr>
            <w:tcW w:w="565"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24</w:t>
            </w:r>
            <w:r>
              <w:rPr>
                <w:rFonts w:ascii="Verdana" w:hAnsi="Verdana"/>
                <w:b/>
                <w:color w:val="000000"/>
                <w:sz w:val="18"/>
              </w:rPr>
              <w:t>,</w:t>
            </w:r>
            <w:r w:rsidRPr="00031A85">
              <w:rPr>
                <w:rFonts w:ascii="Verdana" w:hAnsi="Verdana"/>
                <w:b/>
                <w:color w:val="000000"/>
                <w:sz w:val="18"/>
              </w:rPr>
              <w:t>3</w:t>
            </w:r>
          </w:p>
        </w:tc>
        <w:tc>
          <w:tcPr>
            <w:tcW w:w="538"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46</w:t>
            </w:r>
            <w:r>
              <w:rPr>
                <w:rFonts w:ascii="Verdana" w:hAnsi="Verdana"/>
                <w:b/>
                <w:color w:val="000000"/>
                <w:sz w:val="18"/>
              </w:rPr>
              <w:t>,</w:t>
            </w:r>
            <w:r w:rsidRPr="00031A85">
              <w:rPr>
                <w:rFonts w:ascii="Verdana" w:hAnsi="Verdana"/>
                <w:b/>
                <w:color w:val="000000"/>
                <w:sz w:val="18"/>
              </w:rPr>
              <w:t>8</w:t>
            </w:r>
          </w:p>
        </w:tc>
        <w:tc>
          <w:tcPr>
            <w:tcW w:w="669" w:type="pct"/>
            <w:tcBorders>
              <w:top w:val="single" w:sz="4" w:space="0" w:color="auto"/>
              <w:left w:val="nil"/>
              <w:bottom w:val="single" w:sz="4" w:space="0" w:color="auto"/>
              <w:right w:val="nil"/>
            </w:tcBorders>
            <w:shd w:val="clear" w:color="000000" w:fill="FFFFFF"/>
            <w:noWrap/>
            <w:vAlign w:val="bottom"/>
            <w:hideMark/>
          </w:tcPr>
          <w:p w:rsidR="00FB0C75" w:rsidRPr="00B93DF4" w:rsidRDefault="00525E53" w:rsidP="00FB0C75">
            <w:pPr>
              <w:jc w:val="right"/>
              <w:rPr>
                <w:rFonts w:ascii="Verdana" w:hAnsi="Verdana"/>
                <w:b/>
                <w:bCs/>
                <w:color w:val="000000"/>
                <w:sz w:val="18"/>
                <w:szCs w:val="20"/>
              </w:rPr>
            </w:pPr>
            <w:r w:rsidRPr="00031A85">
              <w:rPr>
                <w:rFonts w:ascii="Verdana" w:hAnsi="Verdana"/>
                <w:b/>
                <w:color w:val="000000"/>
                <w:sz w:val="18"/>
              </w:rPr>
              <w:t>51</w:t>
            </w:r>
            <w:r>
              <w:rPr>
                <w:rFonts w:ascii="Verdana" w:hAnsi="Verdana"/>
                <w:b/>
                <w:color w:val="000000"/>
                <w:sz w:val="18"/>
              </w:rPr>
              <w:t>,</w:t>
            </w:r>
            <w:r w:rsidRPr="00031A85">
              <w:rPr>
                <w:rFonts w:ascii="Verdana" w:hAnsi="Verdana"/>
                <w:b/>
                <w:color w:val="000000"/>
                <w:sz w:val="18"/>
              </w:rPr>
              <w:t>0</w:t>
            </w:r>
          </w:p>
        </w:tc>
      </w:tr>
    </w:tbl>
    <w:p w:rsidR="00FB0C75" w:rsidRDefault="00FB0C75" w:rsidP="00FB0C75">
      <w:pPr>
        <w:pStyle w:val="Textstand-alone"/>
      </w:pPr>
    </w:p>
    <w:p w:rsidR="00FB0C75" w:rsidRDefault="00525E53" w:rsidP="00FB0C75">
      <w:pPr>
        <w:pStyle w:val="Textstand-alone"/>
      </w:pPr>
      <w:r>
        <w:t>Les mécanismes intergouvernementaux de stabilité financière que sont le Fonds européen de stabilité financière (FESF) et le mécanisme européen de stabilité (MES) ne relèvent pas du cadre du traité UE et ne sont donc pas inclus dans les comptes annuels consolidés de l’Union.</w:t>
      </w:r>
    </w:p>
    <w:p w:rsidR="00FB0C75" w:rsidRPr="006F3500" w:rsidRDefault="00525E53" w:rsidP="000F1A60">
      <w:pPr>
        <w:pStyle w:val="HEADER2Part3"/>
        <w:numPr>
          <w:ilvl w:val="0"/>
          <w:numId w:val="24"/>
        </w:numPr>
        <w:ind w:left="1418" w:hanging="992"/>
      </w:pPr>
      <w:bookmarkStart w:id="611" w:name="_Toc485733351"/>
      <w:bookmarkStart w:id="612" w:name="_Toc491681435"/>
      <w:r>
        <w:t>PASSIF ÉVENTUEL LIÉ AUX GARANTIES BUDGÉTAIRES</w:t>
      </w:r>
      <w:bookmarkEnd w:id="611"/>
      <w:bookmarkEnd w:id="612"/>
    </w:p>
    <w:p w:rsidR="00FB0C75" w:rsidRDefault="00525E53" w:rsidP="00FB0C75">
      <w:pPr>
        <w:pStyle w:val="Textstand-alone"/>
      </w:pPr>
      <w:r>
        <w:t xml:space="preserve">L’UE a accordé des garanties au groupe BEI sur les prêts octroyés en dehors de l’UE et sur les opérations de dettes et de fonds propres couvertes par la garantie de l’EFSI. Au </w:t>
      </w:r>
      <w:r w:rsidRPr="00031A85">
        <w:t>31</w:t>
      </w:r>
      <w:r>
        <w:t> décembre </w:t>
      </w:r>
      <w:r w:rsidRPr="00031A85">
        <w:t>2016</w:t>
      </w:r>
      <w:r>
        <w:t>, l’UE présentait, dans les annexes aux états financiers consolidés (voir note </w:t>
      </w:r>
      <w:r w:rsidRPr="00031A85">
        <w:rPr>
          <w:b/>
          <w:color w:val="000000" w:themeColor="text1"/>
        </w:rPr>
        <w:t>4</w:t>
      </w:r>
      <w:r>
        <w:rPr>
          <w:b/>
          <w:color w:val="000000" w:themeColor="text1"/>
        </w:rPr>
        <w:t>.</w:t>
      </w:r>
      <w:r w:rsidRPr="00031A85">
        <w:rPr>
          <w:b/>
          <w:color w:val="000000" w:themeColor="text1"/>
        </w:rPr>
        <w:t>1</w:t>
      </w:r>
      <w:r>
        <w:rPr>
          <w:b/>
          <w:color w:val="000000" w:themeColor="text1"/>
        </w:rPr>
        <w:t>.</w:t>
      </w:r>
      <w:r w:rsidRPr="00031A85">
        <w:rPr>
          <w:b/>
          <w:color w:val="000000" w:themeColor="text1"/>
        </w:rPr>
        <w:t>1</w:t>
      </w:r>
      <w:r>
        <w:t>), des passifs éventuels pour les deux garanties. Afin d’atténuer le risque que les appels de garantie du groupe BEI pourraient faire peser sur le budget de l’Union, l’UE a créé des fonds de garantie spécifiques, à savoir le Fonds de garantie relatif aux actions extérieures et le Fonds de garantie EFSI.</w:t>
      </w:r>
    </w:p>
    <w:p w:rsidR="00FB0C75" w:rsidRDefault="00525E53" w:rsidP="00FB0C75">
      <w:pPr>
        <w:pStyle w:val="Textstand-alone"/>
      </w:pPr>
      <w:r>
        <w:t xml:space="preserve">Le Fonds de garantie relatif aux actions extérieures est provisionné par le budget de l’UE, de manière à couvrir </w:t>
      </w:r>
      <w:r w:rsidRPr="00031A85">
        <w:t>9</w:t>
      </w:r>
      <w:r>
        <w:t xml:space="preserve"> % de l’encours, en fin d’exercice, des prêts garantis pour les activités de prêt extérieur de la BEI en faveur de pays tiers. Au </w:t>
      </w:r>
      <w:r w:rsidRPr="00031A85">
        <w:t>31</w:t>
      </w:r>
      <w:r>
        <w:t> décembre </w:t>
      </w:r>
      <w:r w:rsidRPr="00031A85">
        <w:t>2016</w:t>
      </w:r>
      <w:r>
        <w:t xml:space="preserve">, la valeur totale des actifs, de </w:t>
      </w:r>
      <w:r w:rsidRPr="00031A85">
        <w:t>2</w:t>
      </w:r>
      <w:r>
        <w:t>,</w:t>
      </w:r>
      <w:r w:rsidRPr="00031A85">
        <w:t>3</w:t>
      </w:r>
      <w:r>
        <w:t xml:space="preserve"> milliards d’EUR, couvrait une exposition des montants décaissés à hauteur de </w:t>
      </w:r>
      <w:r w:rsidRPr="00031A85">
        <w:t>19</w:t>
      </w:r>
      <w:r>
        <w:t>,</w:t>
      </w:r>
      <w:r w:rsidR="00934840">
        <w:t>8</w:t>
      </w:r>
      <w:r>
        <w:t xml:space="preserve"> milliards d’EUR et des montants signés à hauteur de </w:t>
      </w:r>
      <w:r w:rsidRPr="00031A85">
        <w:t>28</w:t>
      </w:r>
      <w:r>
        <w:t>,</w:t>
      </w:r>
      <w:r w:rsidRPr="00031A85">
        <w:t>8</w:t>
      </w:r>
      <w:r>
        <w:t xml:space="preserve"> milliards d’EUR, pour un plafond de </w:t>
      </w:r>
      <w:r w:rsidRPr="00031A85">
        <w:t>39</w:t>
      </w:r>
      <w:r>
        <w:t>,</w:t>
      </w:r>
      <w:r w:rsidRPr="00031A85">
        <w:t>3</w:t>
      </w:r>
      <w:r>
        <w:t xml:space="preserve"> milliards d’EUR. </w:t>
      </w:r>
    </w:p>
    <w:p w:rsidR="00FB0C75" w:rsidRDefault="00525E53" w:rsidP="00FB0C75">
      <w:pPr>
        <w:pStyle w:val="Textstand-alone"/>
      </w:pPr>
      <w:r>
        <w:t>Le Fonds de garantie de l'EFSI, devenu opérationnel en </w:t>
      </w:r>
      <w:r w:rsidRPr="00031A85">
        <w:t>2016</w:t>
      </w:r>
      <w:r>
        <w:t xml:space="preserve">, atteindra progressivement le montant de </w:t>
      </w:r>
      <w:r w:rsidRPr="00031A85">
        <w:t>8</w:t>
      </w:r>
      <w:r>
        <w:t> milliards d’EUR en </w:t>
      </w:r>
      <w:r w:rsidRPr="00031A85">
        <w:t>2022</w:t>
      </w:r>
      <w:r>
        <w:t xml:space="preserve">, assurant ainsi le provisionnement de </w:t>
      </w:r>
      <w:r w:rsidRPr="00031A85">
        <w:t>50</w:t>
      </w:r>
      <w:r>
        <w:t xml:space="preserve"> % du risque maximal de la garantie de l’UE, à hauteur de </w:t>
      </w:r>
      <w:r w:rsidRPr="00031A85">
        <w:t>16</w:t>
      </w:r>
      <w:r>
        <w:t xml:space="preserve"> milliards d’EUR. Un montant de </w:t>
      </w:r>
      <w:r w:rsidRPr="00031A85">
        <w:t>1</w:t>
      </w:r>
      <w:r>
        <w:t> milliard d’EUR a été versé au Fonds de garantie de l’EFSI en </w:t>
      </w:r>
      <w:r w:rsidRPr="00031A85">
        <w:t>2016</w:t>
      </w:r>
      <w:r>
        <w:t xml:space="preserve">, </w:t>
      </w:r>
      <w:r w:rsidRPr="00031A85">
        <w:t>4</w:t>
      </w:r>
      <w:r>
        <w:t>,</w:t>
      </w:r>
      <w:r w:rsidRPr="00031A85">
        <w:t>4</w:t>
      </w:r>
      <w:r>
        <w:t xml:space="preserve"> milliards d’EUR de montants garantis ont été décaissés et </w:t>
      </w:r>
      <w:r w:rsidRPr="00031A85">
        <w:t>11</w:t>
      </w:r>
      <w:r>
        <w:t>,</w:t>
      </w:r>
      <w:r w:rsidRPr="00031A85">
        <w:t>2</w:t>
      </w:r>
      <w:r>
        <w:t> milliards d’EUR au total ont été signés (montants décaissés compris).</w:t>
      </w:r>
    </w:p>
    <w:p w:rsidR="00FB0C75" w:rsidRDefault="00FB0C75" w:rsidP="00FB0C75">
      <w:pPr>
        <w:pStyle w:val="Textstand-alone"/>
      </w:pPr>
    </w:p>
    <w:p w:rsidR="00FB0C75" w:rsidRPr="006F3500" w:rsidRDefault="00525E53" w:rsidP="000F1A60">
      <w:pPr>
        <w:pStyle w:val="HEADER2Part3"/>
        <w:numPr>
          <w:ilvl w:val="0"/>
          <w:numId w:val="24"/>
        </w:numPr>
        <w:tabs>
          <w:tab w:val="clear" w:pos="907"/>
          <w:tab w:val="left" w:pos="1560"/>
        </w:tabs>
        <w:ind w:left="1560" w:hanging="1134"/>
      </w:pPr>
      <w:bookmarkStart w:id="613" w:name="_Toc485733352"/>
      <w:bookmarkStart w:id="614" w:name="_Toc491681436"/>
      <w:r>
        <w:t>GESTION DE LA CRISE DES REFUGIÉS – FACILITÉ EN FAVEUR DES REFUGIÉS EN TURQUIE</w:t>
      </w:r>
      <w:bookmarkEnd w:id="613"/>
      <w:bookmarkEnd w:id="614"/>
    </w:p>
    <w:p w:rsidR="00FB0C75" w:rsidRDefault="00525E53" w:rsidP="00FB0C75">
      <w:pPr>
        <w:pStyle w:val="DGTextstand-alone"/>
      </w:pPr>
      <w:r>
        <w:t>L’Union européenne fait actuellement face à une crise des réfugiés sans précédent qui exige un effort de solidarité, de cohésion et d’efficience. Des défis communs sont à relever, qui appellent une action coordonnée. Compte tenu de sa situation géographique, la Turquie est un important pays d’accueil et de transit pour de nombreux réfugiés et migrants. À la suite de l’afflux migratoire sans précédent principalement dû au conflit syrien, le pays abrite aujourd'hui le nombre le plus élevé de réfugiés et de migrants au monde.</w:t>
      </w:r>
    </w:p>
    <w:p w:rsidR="00FB0C75" w:rsidRDefault="00525E53" w:rsidP="00FB0C75">
      <w:pPr>
        <w:pStyle w:val="DGTextstand-alone"/>
      </w:pPr>
      <w:r>
        <w:t>En </w:t>
      </w:r>
      <w:r w:rsidRPr="00031A85">
        <w:t>2015</w:t>
      </w:r>
      <w:r>
        <w:t xml:space="preserve">, l’Union européenne et ses États membres ont décidé de renforcer leur engagement politique et financier à l'appui des efforts déployés par la Turquie pour accueillir les réfugiés. L’Union européenne et la Turquie se sont accordées, dans le cadre de la déclaration UE-Turquie du </w:t>
      </w:r>
      <w:r w:rsidRPr="00031A85">
        <w:t>29</w:t>
      </w:r>
      <w:r>
        <w:t> novembre </w:t>
      </w:r>
      <w:r w:rsidRPr="00031A85">
        <w:t>2015</w:t>
      </w:r>
      <w:r>
        <w:t xml:space="preserve">, sur une coopération globale fondée sur une responsabilité commune ainsi que sur des engagements mutuels et leur concrétisation. Le sommet du </w:t>
      </w:r>
      <w:r w:rsidRPr="00031A85">
        <w:t>29</w:t>
      </w:r>
      <w:r>
        <w:t> novembre </w:t>
      </w:r>
      <w:r w:rsidRPr="00031A85">
        <w:t>2015</w:t>
      </w:r>
      <w:r>
        <w:t xml:space="preserve"> a donné le coup d'envoi au plan d'action commun UE-Turquie destiné à aider cette dernière à gérer les conséquences du conflit syrien.</w:t>
      </w:r>
    </w:p>
    <w:p w:rsidR="00FB0C75" w:rsidRPr="00961C5B" w:rsidRDefault="00525E53" w:rsidP="00FB0C75">
      <w:pPr>
        <w:pStyle w:val="DGTextstand-alone"/>
      </w:pPr>
      <w:r>
        <w:t xml:space="preserve">En réponse à l'appel à la mobilisation de fonds supplémentaires substantiels pour aider les réfugiés en Turquie lancé par les États membres, la Commission a mis sur pied la facilité en faveur des réfugiés en Turquie, au moyen d’une décision adoptée le </w:t>
      </w:r>
      <w:r w:rsidRPr="00031A85">
        <w:t>24</w:t>
      </w:r>
      <w:r>
        <w:t> novembre </w:t>
      </w:r>
      <w:r w:rsidRPr="00031A85">
        <w:t>2015</w:t>
      </w:r>
      <w:r>
        <w:t xml:space="preserve"> et modifiée le </w:t>
      </w:r>
      <w:r w:rsidRPr="00031A85">
        <w:t>10</w:t>
      </w:r>
      <w:r>
        <w:t> février </w:t>
      </w:r>
      <w:r w:rsidRPr="00031A85">
        <w:t>2016</w:t>
      </w:r>
      <w:r>
        <w:rPr>
          <w:rStyle w:val="FootnoteReference"/>
        </w:rPr>
        <w:footnoteReference w:id="8"/>
      </w:r>
      <w:r>
        <w:t xml:space="preserve">. La facilité est un mécanisme visant à coordonner la mobilisation de ressources provenant à la fois du budget de l’UE et de contributions supplémentaires des États membres intégrées dans ce dernier en tant que recettes affectées externes, soit un montant total de </w:t>
      </w:r>
      <w:r w:rsidRPr="00031A85">
        <w:t>3</w:t>
      </w:r>
      <w:r>
        <w:t> milliards d’EUR pour la période </w:t>
      </w:r>
      <w:r w:rsidRPr="00031A85">
        <w:t>2016</w:t>
      </w:r>
      <w:r>
        <w:t>-</w:t>
      </w:r>
      <w:r w:rsidRPr="00031A85">
        <w:t>2017</w:t>
      </w:r>
      <w:r>
        <w:t xml:space="preserve">. Les États membres ont pris l’engagement politique de fournir des contributions nationales dans le cadre de la convention d’entente entre les États membres de l’UE et la Commission européenne, adoptée par les représentants des gouvernements des États membres le </w:t>
      </w:r>
      <w:r w:rsidRPr="00031A85">
        <w:t>3</w:t>
      </w:r>
      <w:r>
        <w:t> février </w:t>
      </w:r>
      <w:r w:rsidRPr="00031A85">
        <w:t>2016</w:t>
      </w:r>
      <w:r>
        <w:t xml:space="preserve">. Cette convention d’entente établit également un cadre de conditionnalité. Ces </w:t>
      </w:r>
      <w:r w:rsidRPr="00031A85">
        <w:t>3</w:t>
      </w:r>
      <w:r>
        <w:t xml:space="preserve"> milliards d’EUR viennent s’ajouter aux </w:t>
      </w:r>
      <w:r w:rsidRPr="00031A85">
        <w:t>345</w:t>
      </w:r>
      <w:r>
        <w:t xml:space="preserve"> millions d’EUR déjà alloués par la Commission à la Turquie en réponse à la crise des réfugiés syriens avant le lancement de la facilité ainsi qu’à l’aide bilatérale accordée par les États membres. </w:t>
      </w:r>
    </w:p>
    <w:p w:rsidR="00FB0C75" w:rsidRPr="00961C5B" w:rsidRDefault="00525E53" w:rsidP="00FB0C75">
      <w:pPr>
        <w:pStyle w:val="DGTextstand-alone"/>
      </w:pPr>
      <w:r>
        <w:t xml:space="preserve">La facilité est devenue opérationnelle le </w:t>
      </w:r>
      <w:r w:rsidRPr="00031A85">
        <w:t>17</w:t>
      </w:r>
      <w:r>
        <w:t> février </w:t>
      </w:r>
      <w:r w:rsidRPr="00031A85">
        <w:t>2016</w:t>
      </w:r>
      <w:r>
        <w:t xml:space="preserve">, avec la première réunion de son comité directeur. La facilité en faveur des réfugiés en Turquie est un mécanisme de coordination qui permet une mobilisation rapide, efficace et efficiente de l'aide de l’UE en faveur des réfugiés en Turquie. Elle garantit la mobilisation optimale des instruments de financement dont l’UE dispose, que ce soit pour l’aide humanitaire ou non humanitaire, en vue de répondre de manière coordonnée et complète aux besoins des réfugiés et des communautés qui les accueillent. </w:t>
      </w:r>
    </w:p>
    <w:p w:rsidR="00FB0C75" w:rsidRDefault="00525E53" w:rsidP="00FB0C75">
      <w:pPr>
        <w:pStyle w:val="DGTextstand-alone"/>
      </w:pPr>
      <w:r>
        <w:t>Le comité directeur de la facilité fournit des orientations stratégiques sur les priorités générales, le type d'actions à soutenir, les montants à affecter et les instruments de financement à mobiliser, ainsi que, s'il y a lieu, sur les conditions relatives à la mise en œuvre, par la Turquie, de ses engagements au titre du plan d’action commun UE-Turquie. Le comité directeur est présidé par la Commission et composé de deux représentants de celle-ci et d'un représentant de chaque État membre, la Turquie siégeant à titre consultatif.</w:t>
      </w:r>
    </w:p>
    <w:p w:rsidR="00FB0C75" w:rsidRDefault="00525E53" w:rsidP="00FB0C75">
      <w:pPr>
        <w:pStyle w:val="DGTextstand-alone"/>
      </w:pPr>
      <w:r>
        <w:t xml:space="preserve">Lors de sa deuxième réunion, le </w:t>
      </w:r>
      <w:r w:rsidRPr="00031A85">
        <w:t>12</w:t>
      </w:r>
      <w:r>
        <w:t> mai </w:t>
      </w:r>
      <w:r w:rsidRPr="00031A85">
        <w:t>2016</w:t>
      </w:r>
      <w:r>
        <w:t>, le comité directeur, conformément à l’article </w:t>
      </w:r>
      <w:r w:rsidRPr="00031A85">
        <w:t>3</w:t>
      </w:r>
      <w:r>
        <w:t>, paragraphe </w:t>
      </w:r>
      <w:r w:rsidRPr="00031A85">
        <w:t>2</w:t>
      </w:r>
      <w:r>
        <w:t xml:space="preserve">, de la décision instituant la facilité, est convenu d'axer celle-ci sur six domaines prioritaires: </w:t>
      </w:r>
      <w:r w:rsidRPr="00031A85">
        <w:t>1</w:t>
      </w:r>
      <w:r>
        <w:t xml:space="preserve">) l’aide humanitaire, </w:t>
      </w:r>
      <w:r w:rsidRPr="00031A85">
        <w:t>2</w:t>
      </w:r>
      <w:r>
        <w:t xml:space="preserve">) la gestion des migrations, </w:t>
      </w:r>
      <w:r w:rsidRPr="00031A85">
        <w:t>3</w:t>
      </w:r>
      <w:r>
        <w:t xml:space="preserve">) l’éducation, </w:t>
      </w:r>
      <w:r w:rsidRPr="00031A85">
        <w:t>4</w:t>
      </w:r>
      <w:r>
        <w:t xml:space="preserve">) la santé, </w:t>
      </w:r>
      <w:r w:rsidRPr="00031A85">
        <w:t>5</w:t>
      </w:r>
      <w:r>
        <w:t xml:space="preserve">) les infrastructures municipales et </w:t>
      </w:r>
      <w:r w:rsidRPr="00031A85">
        <w:t>6</w:t>
      </w:r>
      <w:r>
        <w:t>) l’aide socioéconomique.</w:t>
      </w:r>
    </w:p>
    <w:p w:rsidR="00FB0C75" w:rsidRDefault="00525E53" w:rsidP="00FB0C75">
      <w:pPr>
        <w:pStyle w:val="DGTextstand-alone"/>
      </w:pPr>
      <w:r>
        <w:t xml:space="preserve">Le budget total coordonné par la facilité s’élève à </w:t>
      </w:r>
      <w:r w:rsidRPr="00031A85">
        <w:t>3</w:t>
      </w:r>
      <w:r>
        <w:t> milliards d’EUR pour lesquels les contrats devront être conclus sur la période </w:t>
      </w:r>
      <w:r w:rsidRPr="00031A85">
        <w:t>2016</w:t>
      </w:r>
      <w:r>
        <w:t>-</w:t>
      </w:r>
      <w:r w:rsidRPr="00031A85">
        <w:t>2017</w:t>
      </w:r>
      <w:r>
        <w:t xml:space="preserve">. Il comprend </w:t>
      </w:r>
      <w:r w:rsidRPr="00031A85">
        <w:t>1</w:t>
      </w:r>
      <w:r>
        <w:t xml:space="preserve"> milliard d’EUR provenant du budget de l’UE et </w:t>
      </w:r>
      <w:r w:rsidRPr="00031A85">
        <w:t>2</w:t>
      </w:r>
      <w:r>
        <w:t> milliards d’EUR correspondant à des fonds supplémentaires versés par les États membres de l’UE. Les contributions des États membres sont versées directement au budget de l’UE en tant que recettes affectées externes conformément à l’article </w:t>
      </w:r>
      <w:r w:rsidRPr="00031A85">
        <w:t>21</w:t>
      </w:r>
      <w:r>
        <w:t>, paragraphe </w:t>
      </w:r>
      <w:r w:rsidRPr="00031A85">
        <w:t>2</w:t>
      </w:r>
      <w:r>
        <w:t xml:space="preserve">, point b), du règlement financier et affectées aux lignes budgétaires concernant respectivement l’IAP II et l'aide humanitaire. Sur le milliard provenant du budget de l’UE, </w:t>
      </w:r>
      <w:r w:rsidRPr="00031A85">
        <w:t>250</w:t>
      </w:r>
      <w:r>
        <w:t xml:space="preserve"> millions d’EUR ont été mobilisés en </w:t>
      </w:r>
      <w:r w:rsidRPr="00031A85">
        <w:t>2016</w:t>
      </w:r>
      <w:r>
        <w:t xml:space="preserve"> et </w:t>
      </w:r>
      <w:r w:rsidRPr="00031A85">
        <w:t>750</w:t>
      </w:r>
      <w:r>
        <w:t> millions d’EUR sont réservés à la facilité dans le budget </w:t>
      </w:r>
      <w:r w:rsidRPr="00031A85">
        <w:t>2017</w:t>
      </w:r>
      <w:r>
        <w:t>.</w:t>
      </w:r>
    </w:p>
    <w:p w:rsidR="00FB0C75" w:rsidRDefault="00FB0C75" w:rsidP="00FB0C75">
      <w:pPr>
        <w:pStyle w:val="DGTextstand-alone"/>
      </w:pPr>
    </w:p>
    <w:p w:rsidR="00FB0C75" w:rsidRDefault="00FB0C75" w:rsidP="00FB0C75">
      <w:pPr>
        <w:pStyle w:val="DGTextstand-alone"/>
      </w:pPr>
    </w:p>
    <w:p w:rsidR="00FB0C75" w:rsidRDefault="00FB0C75" w:rsidP="00FB0C75">
      <w:pPr>
        <w:pStyle w:val="DGTextstand-alone"/>
      </w:pPr>
    </w:p>
    <w:p w:rsidR="00FB0C75" w:rsidRDefault="00525E53" w:rsidP="00FB0C75">
      <w:pPr>
        <w:pStyle w:val="DGTextstand-alone"/>
      </w:pPr>
      <w:r>
        <w:t>La facilité est financée par les sources suivantes:</w:t>
      </w:r>
    </w:p>
    <w:tbl>
      <w:tblPr>
        <w:tblW w:w="8160" w:type="dxa"/>
        <w:tblInd w:w="93" w:type="dxa"/>
        <w:tblLook w:val="04A0" w:firstRow="1" w:lastRow="0" w:firstColumn="1" w:lastColumn="0" w:noHBand="0" w:noVBand="1"/>
      </w:tblPr>
      <w:tblGrid>
        <w:gridCol w:w="4580"/>
        <w:gridCol w:w="1120"/>
        <w:gridCol w:w="1120"/>
        <w:gridCol w:w="1340"/>
      </w:tblGrid>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Verdana" w:hAnsi="Verdana"/>
                <w:i/>
                <w:iCs/>
                <w:color w:val="000000"/>
                <w:sz w:val="16"/>
                <w:szCs w:val="16"/>
              </w:rPr>
            </w:pPr>
            <w:r>
              <w:rPr>
                <w:rFonts w:ascii="Verdana" w:hAnsi="Verdana"/>
                <w:i/>
                <w:color w:val="000000"/>
                <w:sz w:val="16"/>
              </w:rPr>
              <w:t>en Mio EUR</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031A85">
              <w:rPr>
                <w:rFonts w:ascii="Verdana" w:hAnsi="Verdana"/>
                <w:b/>
                <w:color w:val="4BACC6"/>
                <w:sz w:val="18"/>
              </w:rPr>
              <w:t>2016</w:t>
            </w:r>
          </w:p>
        </w:tc>
        <w:tc>
          <w:tcPr>
            <w:tcW w:w="112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031A85">
              <w:rPr>
                <w:rFonts w:ascii="Verdana" w:hAnsi="Verdana"/>
                <w:b/>
                <w:color w:val="4BACC6"/>
                <w:sz w:val="18"/>
              </w:rPr>
              <w:t>2017</w:t>
            </w:r>
          </w:p>
        </w:tc>
        <w:tc>
          <w:tcPr>
            <w:tcW w:w="134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Total</w:t>
            </w:r>
          </w:p>
        </w:tc>
      </w:tr>
      <w:tr w:rsidR="005B4EEC" w:rsidTr="00FB0C75">
        <w:trPr>
          <w:trHeight w:val="300"/>
        </w:trPr>
        <w:tc>
          <w:tcPr>
            <w:tcW w:w="4580" w:type="dxa"/>
            <w:tcBorders>
              <w:top w:val="nil"/>
              <w:left w:val="nil"/>
              <w:bottom w:val="nil"/>
              <w:right w:val="nil"/>
            </w:tcBorders>
            <w:shd w:val="clear" w:color="000000" w:fill="16365C"/>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Budget de l’UE</w:t>
            </w: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4580" w:type="dxa"/>
            <w:tcBorders>
              <w:top w:val="nil"/>
              <w:left w:val="nil"/>
              <w:bottom w:val="nil"/>
              <w:right w:val="nil"/>
            </w:tcBorders>
            <w:shd w:val="clear" w:color="000000" w:fill="4BACC6"/>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Aide humanitaire</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165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145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310</w:t>
            </w:r>
          </w:p>
        </w:tc>
      </w:tr>
      <w:tr w:rsidR="005B4EEC" w:rsidTr="00FB0C75">
        <w:trPr>
          <w:trHeight w:val="300"/>
        </w:trPr>
        <w:tc>
          <w:tcPr>
            <w:tcW w:w="4580" w:type="dxa"/>
            <w:tcBorders>
              <w:top w:val="nil"/>
              <w:left w:val="nil"/>
              <w:bottom w:val="nil"/>
              <w:right w:val="nil"/>
            </w:tcBorders>
            <w:shd w:val="clear" w:color="000000" w:fill="95B3D7"/>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Aide non humanitaire</w:t>
            </w: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Instrument d'aide de préadhésion</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55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595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650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Instrument de financement de la coopération au développement</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10</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10</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20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Instrument contribuant à la stabilité et à la paix</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20</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0</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20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Sous-total aide non humanitaire</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85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605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031A85">
              <w:rPr>
                <w:rFonts w:ascii="Calibri" w:hAnsi="Calibri"/>
                <w:color w:val="000000"/>
                <w:sz w:val="22"/>
              </w:rPr>
              <w:t>690</w:t>
            </w:r>
          </w:p>
        </w:tc>
      </w:tr>
      <w:tr w:rsidR="005B4EEC" w:rsidTr="00FB0C75">
        <w:trPr>
          <w:trHeight w:val="300"/>
        </w:trPr>
        <w:tc>
          <w:tcPr>
            <w:tcW w:w="4580" w:type="dxa"/>
            <w:tcBorders>
              <w:top w:val="nil"/>
              <w:left w:val="nil"/>
              <w:bottom w:val="nil"/>
              <w:right w:val="nil"/>
            </w:tcBorders>
            <w:shd w:val="clear" w:color="000000" w:fill="DCE6F1"/>
            <w:noWrap/>
            <w:vAlign w:val="bottom"/>
            <w:hideMark/>
          </w:tcPr>
          <w:p w:rsidR="00FB0C75" w:rsidRPr="00A132C1" w:rsidRDefault="00525E53" w:rsidP="00FB0C75">
            <w:pPr>
              <w:rPr>
                <w:rFonts w:ascii="Verdana" w:hAnsi="Verdana"/>
                <w:b/>
                <w:bCs/>
                <w:color w:val="4BACC6"/>
                <w:sz w:val="18"/>
                <w:szCs w:val="18"/>
              </w:rPr>
            </w:pPr>
            <w:r>
              <w:rPr>
                <w:rFonts w:ascii="Verdana" w:hAnsi="Verdana"/>
                <w:b/>
                <w:color w:val="4BACC6"/>
                <w:sz w:val="18"/>
              </w:rPr>
              <w:t>Total</w:t>
            </w:r>
          </w:p>
        </w:tc>
        <w:tc>
          <w:tcPr>
            <w:tcW w:w="112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031A85">
              <w:rPr>
                <w:rFonts w:ascii="Verdana" w:hAnsi="Verdana"/>
                <w:b/>
                <w:color w:val="4BACC6"/>
                <w:sz w:val="18"/>
              </w:rPr>
              <w:t>250</w:t>
            </w:r>
          </w:p>
        </w:tc>
        <w:tc>
          <w:tcPr>
            <w:tcW w:w="112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031A85">
              <w:rPr>
                <w:rFonts w:ascii="Verdana" w:hAnsi="Verdana"/>
                <w:b/>
                <w:color w:val="4BACC6"/>
                <w:sz w:val="18"/>
              </w:rPr>
              <w:t>750</w:t>
            </w:r>
          </w:p>
        </w:tc>
        <w:tc>
          <w:tcPr>
            <w:tcW w:w="134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031A85">
              <w:rPr>
                <w:rFonts w:ascii="Verdana" w:hAnsi="Verdana"/>
                <w:b/>
                <w:color w:val="4BACC6"/>
                <w:sz w:val="18"/>
              </w:rPr>
              <w:t>1</w:t>
            </w:r>
            <w:r>
              <w:rPr>
                <w:rFonts w:ascii="Verdana" w:hAnsi="Verdana"/>
                <w:b/>
                <w:color w:val="4BACC6"/>
                <w:sz w:val="18"/>
              </w:rPr>
              <w:t xml:space="preserve"> </w:t>
            </w:r>
            <w:r w:rsidRPr="00031A85">
              <w:rPr>
                <w:rFonts w:ascii="Verdana" w:hAnsi="Verdana"/>
                <w:b/>
                <w:color w:val="4BACC6"/>
                <w:sz w:val="18"/>
              </w:rPr>
              <w:t>000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Verdana" w:hAnsi="Verdana"/>
                <w:color w:val="000000"/>
                <w:sz w:val="18"/>
                <w:szCs w:val="18"/>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6820" w:type="dxa"/>
            <w:gridSpan w:val="3"/>
            <w:tcBorders>
              <w:top w:val="nil"/>
              <w:left w:val="nil"/>
              <w:bottom w:val="nil"/>
              <w:right w:val="nil"/>
            </w:tcBorders>
            <w:shd w:val="clear" w:color="000000" w:fill="F79646"/>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Contributions des États membres</w:t>
            </w:r>
          </w:p>
        </w:tc>
        <w:tc>
          <w:tcPr>
            <w:tcW w:w="1340" w:type="dxa"/>
            <w:tcBorders>
              <w:top w:val="nil"/>
              <w:left w:val="nil"/>
              <w:bottom w:val="nil"/>
              <w:right w:val="nil"/>
            </w:tcBorders>
            <w:shd w:val="clear" w:color="000000" w:fill="FCD5B4"/>
            <w:noWrap/>
            <w:vAlign w:val="bottom"/>
            <w:hideMark/>
          </w:tcPr>
          <w:p w:rsidR="00FB0C75" w:rsidRPr="00A132C1" w:rsidRDefault="00525E53" w:rsidP="00FB0C75">
            <w:pPr>
              <w:jc w:val="right"/>
              <w:rPr>
                <w:rFonts w:ascii="Verdana" w:hAnsi="Verdana"/>
                <w:b/>
                <w:bCs/>
                <w:color w:val="F79646"/>
                <w:sz w:val="18"/>
                <w:szCs w:val="18"/>
              </w:rPr>
            </w:pPr>
            <w:r w:rsidRPr="00031A85">
              <w:rPr>
                <w:rFonts w:ascii="Verdana" w:hAnsi="Verdana"/>
                <w:b/>
                <w:color w:val="F79646"/>
                <w:sz w:val="18"/>
              </w:rPr>
              <w:t>2</w:t>
            </w:r>
            <w:r>
              <w:rPr>
                <w:rFonts w:ascii="Verdana" w:hAnsi="Verdana"/>
                <w:b/>
                <w:color w:val="F79646"/>
                <w:sz w:val="18"/>
              </w:rPr>
              <w:t xml:space="preserve"> </w:t>
            </w:r>
            <w:r w:rsidRPr="00031A85">
              <w:rPr>
                <w:rFonts w:ascii="Verdana" w:hAnsi="Verdana"/>
                <w:b/>
                <w:color w:val="F79646"/>
                <w:sz w:val="18"/>
              </w:rPr>
              <w:t>000</w:t>
            </w:r>
          </w:p>
        </w:tc>
      </w:tr>
    </w:tbl>
    <w:p w:rsidR="00FB0C75" w:rsidRDefault="00FB0C75" w:rsidP="00FB0C75">
      <w:pPr>
        <w:pStyle w:val="DGTextstand-alone"/>
      </w:pPr>
    </w:p>
    <w:p w:rsidR="00FB0C75" w:rsidRDefault="00525E53" w:rsidP="00FB0C75">
      <w:pPr>
        <w:pStyle w:val="DGTextstand-alone"/>
      </w:pPr>
      <w:r>
        <w:t>Conformément à l’article </w:t>
      </w:r>
      <w:r w:rsidRPr="00031A85">
        <w:t>7</w:t>
      </w:r>
      <w:r>
        <w:t>, paragraphe </w:t>
      </w:r>
      <w:r w:rsidRPr="00031A85">
        <w:t>2</w:t>
      </w:r>
      <w:r>
        <w:t xml:space="preserve">, des règles d'application du règlement financier, la Commission a conclu des conventions de contribution individuelles avec tous les États membres concernant leurs contributions nationales pour un total cumulé de </w:t>
      </w:r>
      <w:r w:rsidRPr="00031A85">
        <w:t>2</w:t>
      </w:r>
      <w:r>
        <w:t> milliards d’EUR.</w:t>
      </w:r>
    </w:p>
    <w:p w:rsidR="00FB0C75" w:rsidRDefault="00525E53" w:rsidP="00FB0C75">
      <w:pPr>
        <w:pStyle w:val="DGTextstand-alone"/>
      </w:pPr>
      <w:r>
        <w:t xml:space="preserve">La mise en œuvre de la facilité s’articule en deux volets, un volet «aide humanitaire» et un volet «aide non humanitaire», respectivement dotés d’un budget de </w:t>
      </w:r>
      <w:r w:rsidRPr="00031A85">
        <w:t>1</w:t>
      </w:r>
      <w:r>
        <w:t>,</w:t>
      </w:r>
      <w:r w:rsidRPr="00031A85">
        <w:t>4</w:t>
      </w:r>
      <w:r>
        <w:t xml:space="preserve"> milliard d’EUR et de </w:t>
      </w:r>
      <w:r w:rsidRPr="00031A85">
        <w:t>1</w:t>
      </w:r>
      <w:r>
        <w:t>,</w:t>
      </w:r>
      <w:r w:rsidRPr="00031A85">
        <w:t>6</w:t>
      </w:r>
      <w:r>
        <w:t> milliard d’EUR. L'aide humanitaire soutient les réfugiés les plus vulnérables (et d’autres personnes en situation préoccupante) en leur apportant une aide digne et prévisible qui répond à leurs besoins essentiels et à leur besoin de protection. Le volet «aide non humanitaire» s’inscrit dans le plus long terme et soutient les possibilités de subsistance ainsi que les perspectives socioéconomiques et éducatives des réfugiés. Il vise à aider les enfants à accéder à l’enseignement primaire et secondaire et à améliorer l’infrastructure d’éducation, notamment les bâtiments scolaires et le matériel pédagogique. Il se concentre également sur les groupes exposés, par exemple en protégeant les femmes contre la violence sexuelle et sexiste et en améliorant l’accès aux soins de santé sexuelle et génésique.</w:t>
      </w:r>
    </w:p>
    <w:p w:rsidR="00FB0C75" w:rsidRPr="00F17165" w:rsidRDefault="00525E53" w:rsidP="00FB0C75">
      <w:pPr>
        <w:pStyle w:val="DGTextstand-alone"/>
      </w:pPr>
      <w:r>
        <w:t xml:space="preserve">La Commission doit tenir le Parlement européen et le Conseil régulièrement informés de la mise en œuvre de la facilité en faveur des réfugiés en Turquie et a publié le premier rapport annuel sur la facilité le </w:t>
      </w:r>
      <w:r w:rsidRPr="00031A85">
        <w:t>2</w:t>
      </w:r>
      <w:r>
        <w:t> mars </w:t>
      </w:r>
      <w:r w:rsidRPr="00031A85">
        <w:t>2017</w:t>
      </w:r>
      <w:r>
        <w:rPr>
          <w:rStyle w:val="FootnoteReference"/>
        </w:rPr>
        <w:footnoteReference w:id="9"/>
      </w:r>
      <w:r>
        <w:t>.</w:t>
      </w:r>
    </w:p>
    <w:p w:rsidR="00FB0C75" w:rsidRDefault="00525E53" w:rsidP="00FB0C75">
      <w:pPr>
        <w:pStyle w:val="HEADER2Part3"/>
        <w:numPr>
          <w:ilvl w:val="0"/>
          <w:numId w:val="24"/>
        </w:numPr>
        <w:ind w:left="709" w:hanging="283"/>
      </w:pPr>
      <w:bookmarkStart w:id="615" w:name="_Toc485733353"/>
      <w:bookmarkStart w:id="616" w:name="_Toc491681437"/>
      <w:r>
        <w:t>EMPLOI DES JEUNES</w:t>
      </w:r>
      <w:bookmarkEnd w:id="615"/>
      <w:bookmarkEnd w:id="616"/>
    </w:p>
    <w:p w:rsidR="00FB0C75" w:rsidRDefault="00525E53" w:rsidP="00FB0C75">
      <w:pPr>
        <w:pStyle w:val="DGTextstand-alone"/>
      </w:pPr>
      <w:r>
        <w:t xml:space="preserve">Près de </w:t>
      </w:r>
      <w:r w:rsidRPr="00031A85">
        <w:t>4</w:t>
      </w:r>
      <w:r>
        <w:t>,</w:t>
      </w:r>
      <w:r w:rsidRPr="00031A85">
        <w:t>2</w:t>
      </w:r>
      <w:r>
        <w:t xml:space="preserve"> millions de personnes de moins de </w:t>
      </w:r>
      <w:r w:rsidRPr="00031A85">
        <w:t>25</w:t>
      </w:r>
      <w:r>
        <w:t> ans au sein de l’UE étaient au chômage en août </w:t>
      </w:r>
      <w:r w:rsidRPr="00031A85">
        <w:t>2016</w:t>
      </w:r>
      <w:r>
        <w:t xml:space="preserve">, ce qui correspond à un taux de chômage de </w:t>
      </w:r>
      <w:r w:rsidRPr="00031A85">
        <w:t>18</w:t>
      </w:r>
      <w:r>
        <w:t>,</w:t>
      </w:r>
      <w:r w:rsidRPr="00031A85">
        <w:t>6</w:t>
      </w:r>
      <w:r>
        <w:t xml:space="preserve"> %. Bien que ce chiffre représente une amélioration par rapport au taux de </w:t>
      </w:r>
      <w:r w:rsidRPr="00031A85">
        <w:t>23</w:t>
      </w:r>
      <w:r>
        <w:t>,</w:t>
      </w:r>
      <w:r w:rsidRPr="00031A85">
        <w:t>7</w:t>
      </w:r>
      <w:r>
        <w:t xml:space="preserve"> % enregistré en </w:t>
      </w:r>
      <w:r w:rsidRPr="00031A85">
        <w:t>2013</w:t>
      </w:r>
      <w:r>
        <w:t>, il n’en reste pas moins que près d’un jeune sur cinq demeure sans emploi. Dans certains États membres, ce chiffre est encore plus élevé, notamment en Grèce (</w:t>
      </w:r>
      <w:r w:rsidRPr="00031A85">
        <w:t>42</w:t>
      </w:r>
      <w:r>
        <w:t>,</w:t>
      </w:r>
      <w:r w:rsidRPr="00031A85">
        <w:t>7</w:t>
      </w:r>
      <w:r>
        <w:t> %), en Espagne (</w:t>
      </w:r>
      <w:r w:rsidRPr="00031A85">
        <w:t>43</w:t>
      </w:r>
      <w:r>
        <w:t>,</w:t>
      </w:r>
      <w:r w:rsidRPr="00031A85">
        <w:t>2</w:t>
      </w:r>
      <w:r>
        <w:t> %) et en Italie (</w:t>
      </w:r>
      <w:r w:rsidRPr="00031A85">
        <w:t>38</w:t>
      </w:r>
      <w:r>
        <w:t>,</w:t>
      </w:r>
      <w:r w:rsidRPr="00031A85">
        <w:t>8</w:t>
      </w:r>
      <w:r>
        <w:t> %), pays qui sont particulièrement touchés.</w:t>
      </w:r>
    </w:p>
    <w:p w:rsidR="00FB0C75" w:rsidRDefault="00525E53" w:rsidP="00FB0C75">
      <w:pPr>
        <w:pStyle w:val="DGTextstand-alone"/>
      </w:pPr>
      <w:r>
        <w:t>En </w:t>
      </w:r>
      <w:r w:rsidRPr="00031A85">
        <w:t>2016</w:t>
      </w:r>
      <w:r>
        <w:t xml:space="preserve">, afin de lutter contre le chômage des jeunes, l’UE a continué de soutenir la mise en œuvre de la garantie pour la jeunesse au sein des États membres dans le cadre de l’Initiative pour l’emploi des jeunes (IEJ). Celle-ci vise à réduire le niveau de chômage parmi les jeunes dans les régions les plus touchées de l’Union européenne. Lancée en </w:t>
      </w:r>
      <w:r w:rsidRPr="00031A85">
        <w:t>2013</w:t>
      </w:r>
      <w:r>
        <w:t xml:space="preserve">, l’IEJ alloue </w:t>
      </w:r>
      <w:r w:rsidRPr="00031A85">
        <w:t>6</w:t>
      </w:r>
      <w:r>
        <w:t>,</w:t>
      </w:r>
      <w:r w:rsidRPr="00031A85">
        <w:t>4</w:t>
      </w:r>
      <w:r>
        <w:t> milliards d’EUR de fonds pour la période </w:t>
      </w:r>
      <w:r w:rsidRPr="00031A85">
        <w:t>2014</w:t>
      </w:r>
      <w:r>
        <w:t>-</w:t>
      </w:r>
      <w:r w:rsidRPr="00031A85">
        <w:t>2020</w:t>
      </w:r>
      <w:r>
        <w:t xml:space="preserve"> en vue de soutenir des actions qui aident les jeunes à accéder au marché du travail dans ces régions. La moitié du budget total de </w:t>
      </w:r>
      <w:r w:rsidRPr="00031A85">
        <w:t>6</w:t>
      </w:r>
      <w:r>
        <w:t>,</w:t>
      </w:r>
      <w:r w:rsidRPr="00031A85">
        <w:t>4</w:t>
      </w:r>
      <w:r>
        <w:t> milliards d’EUR de l’IEJ est fournie par une ligne budgétaire spécifique de l’UE, et l’autre moitié provient du FSE.</w:t>
      </w:r>
    </w:p>
    <w:p w:rsidR="00FB0C75" w:rsidRDefault="00525E53" w:rsidP="00FB0C75">
      <w:pPr>
        <w:pStyle w:val="DGTextstand-alone"/>
      </w:pPr>
      <w:r>
        <w:t xml:space="preserve">L’IEJ aide des jeunes entre </w:t>
      </w:r>
      <w:r w:rsidRPr="00031A85">
        <w:t>15</w:t>
      </w:r>
      <w:r>
        <w:t xml:space="preserve"> et </w:t>
      </w:r>
      <w:r w:rsidRPr="00031A85">
        <w:t>24</w:t>
      </w:r>
      <w:r>
        <w:t xml:space="preserve"> ans (ou </w:t>
      </w:r>
      <w:r w:rsidRPr="00031A85">
        <w:t>15</w:t>
      </w:r>
      <w:r>
        <w:t xml:space="preserve"> et </w:t>
      </w:r>
      <w:r w:rsidRPr="00031A85">
        <w:t>29</w:t>
      </w:r>
      <w:r>
        <w:t xml:space="preserve"> ans dans certains États membres de l’UE) sans emploi, ne suivant ni enseignement ni formation (NEET). Peuvent aussi être concernés les jeunes chômeurs de longue durée et ceux qui ne sont pas inscrits comme demandeurs d’emploi. Afin d’être admissibles au bénéfice d’une aide de l’IEJ, ces jeunes doivent habiter des régions dans lesquelles le chômage des jeunes excédait </w:t>
      </w:r>
      <w:r w:rsidRPr="00031A85">
        <w:t>25</w:t>
      </w:r>
      <w:r>
        <w:t xml:space="preserve"> % en </w:t>
      </w:r>
      <w:r w:rsidRPr="00031A85">
        <w:t>2012</w:t>
      </w:r>
      <w:r>
        <w:t xml:space="preserve">. À ce jour, des régions réparties dans </w:t>
      </w:r>
      <w:r w:rsidRPr="00031A85">
        <w:t>20</w:t>
      </w:r>
      <w:r>
        <w:t> États membres bénéficient d’une aide de l’IEJ.</w:t>
      </w:r>
    </w:p>
    <w:p w:rsidR="00FB0C75" w:rsidRDefault="00525E53" w:rsidP="00FB0C75">
      <w:pPr>
        <w:pStyle w:val="DGTextstand-alone"/>
      </w:pPr>
      <w:r>
        <w:t>Le financement fourni par l’IEJ est destiné à la mise en œuvre du Paquet emploi jeunes, et en particulier les dispositifs nationaux de Garantie pour la jeunesse dans les États membres de l’UE qui bénéficient de l’IEJ. L’IEJ peut s’adresser directement aux jeunes sans emploi, ne suivant ni enseignement ni formation et les aider personnellement. Parmi les «offres » financées par l’IEJ et proposées aux jeunes via les dispositifs de Garantie pour la jeunesse figurent des stages et des formations, ainsi que des subventions destinées aux employeurs et des soutiens aux start-ups, en fonction des besoins spécifiques de chaque jeune. Ainsi, l’IEJ complète d’autres soutiens financiers disponibles au niveau de l'UE, comme le Fonds social européen (FSE), qui dépasse la dimension individuelle et contribue à mettre en place des réformes de l’éducation et de l’emploi.</w:t>
      </w:r>
    </w:p>
    <w:p w:rsidR="00FB0C75" w:rsidRDefault="00525E53" w:rsidP="00FB0C75">
      <w:pPr>
        <w:pStyle w:val="DGTextstand-alone"/>
      </w:pPr>
      <w:r>
        <w:t xml:space="preserve">Les dispositifs de Garantie pour la jeunesse sont des programmes nationaux créés sur mesure, qui visent à garantir que tous les jeunes de moins de </w:t>
      </w:r>
      <w:r w:rsidRPr="00031A85">
        <w:t>25</w:t>
      </w:r>
      <w:r>
        <w:t> ans (</w:t>
      </w:r>
      <w:r w:rsidRPr="00031A85">
        <w:t>29</w:t>
      </w:r>
      <w:r>
        <w:t xml:space="preserve"> dans certains pays) reçoivent une aide concrète et de qualité dans les quatre mois suivant la fin de leur scolarité ou de la perte de leur emploi. Pour ce faire, les dispositifs de Garantie pour la jeunesse incluent des mesures directes ciblant les jeunes, ainsi que des réformes complètes et à long terme des systèmes d’emploi et d’éducation, sur la base de larges partenariats entre l’ensemble des différentes parties prenantes.</w:t>
      </w:r>
    </w:p>
    <w:p w:rsidR="00FB0C75" w:rsidRDefault="00525E53" w:rsidP="00FB0C75">
      <w:pPr>
        <w:pStyle w:val="DGTextstand-alone"/>
      </w:pPr>
      <w:r>
        <w:t>Un rapport sur l'état d’avancement publié en octobre </w:t>
      </w:r>
      <w:r w:rsidRPr="00031A85">
        <w:t>2016</w:t>
      </w:r>
      <w:r>
        <w:t xml:space="preserve"> montre la façon dont la Garantie pour la jeunesse </w:t>
      </w:r>
      <w:r w:rsidRPr="00031A85">
        <w:t>2013</w:t>
      </w:r>
      <w:r>
        <w:t>, soutenue par l’IEJ, le GSE et les financements nationaux, a produit des résultats concrets sur le terrain. Trois ans après son lancement en </w:t>
      </w:r>
      <w:r w:rsidRPr="00031A85">
        <w:t>2013</w:t>
      </w:r>
      <w:r>
        <w:t xml:space="preserve">, on compte </w:t>
      </w:r>
      <w:r w:rsidRPr="00031A85">
        <w:t>1</w:t>
      </w:r>
      <w:r>
        <w:t>,</w:t>
      </w:r>
      <w:r w:rsidRPr="00031A85">
        <w:t>4</w:t>
      </w:r>
      <w:r>
        <w:t xml:space="preserve"> million de jeunes chômeurs de moins dans l'Union. Environ </w:t>
      </w:r>
      <w:r w:rsidRPr="00031A85">
        <w:t>9</w:t>
      </w:r>
      <w:r>
        <w:t> millions de jeunes ont ainsi trouvé un emploi, un stage ou une place d’apprentissage. Des réformes structurelles audacieuses ont été menées dans de nombreux États membres et ont contribué à des partenariats entre le monde de l’entreprise et celui de l’éducation. Pour assurer la mise en œuvre complète et durable de la Garantie pour la jeunesse, la Commission a proposé de poursuivre l’IEJ jusqu’en </w:t>
      </w:r>
      <w:r w:rsidRPr="00031A85">
        <w:t>2020</w:t>
      </w:r>
      <w:r>
        <w:t xml:space="preserve"> et d’en accroître les ressources. Par ailleurs, elle a annoncé la mise en place d’un nouveau dispositif consacré à la mobilité de longue durée (entre </w:t>
      </w:r>
      <w:r w:rsidRPr="00031A85">
        <w:t>6</w:t>
      </w:r>
      <w:r>
        <w:t xml:space="preserve"> et </w:t>
      </w:r>
      <w:r w:rsidRPr="00031A85">
        <w:t>12</w:t>
      </w:r>
      <w:r>
        <w:t xml:space="preserve"> mois) pour les apprentis, ErasmusPro, au sein du programme Erasmus+, pour soutenir la formation par le travail à l’étranger.</w:t>
      </w:r>
    </w:p>
    <w:p w:rsidR="00FB0C75" w:rsidRDefault="00525E53" w:rsidP="00FB0C75">
      <w:pPr>
        <w:pStyle w:val="DGTextstand-alone"/>
      </w:pPr>
      <w:r>
        <w:t>En juin </w:t>
      </w:r>
      <w:r w:rsidRPr="00031A85">
        <w:t>2016</w:t>
      </w:r>
      <w:r>
        <w:t xml:space="preserve">, la Commission a lancé une nouvelle stratégie en matière de compétences pour l’Europe qui comprend </w:t>
      </w:r>
      <w:r w:rsidRPr="00031A85">
        <w:t>10</w:t>
      </w:r>
      <w:r>
        <w:t xml:space="preserve"> actions visant à améliorer la qualité des compétences et leur adéquation aux besoins du marché du travail. Parmi celles-ci figure une initiative pour aider les adultes peu qualifiés à améliorer leur maîtrise de la lecture, de l’écriture, du calcul et des compétences numériques et/ou les aider à progresser vers l’obtention d’une certification du deuxième cycle de l’enseignement secondaire ou d’un niveau équivalent.</w:t>
      </w:r>
    </w:p>
    <w:p w:rsidR="00FB0C75" w:rsidRDefault="00525E53" w:rsidP="00FB0C75">
      <w:pPr>
        <w:pStyle w:val="DGTextstand-alone"/>
      </w:pPr>
      <w:r>
        <w:t>Au cours des trois premières années de la période de programmation </w:t>
      </w:r>
      <w:r w:rsidRPr="00031A85">
        <w:t>2014</w:t>
      </w:r>
      <w:r>
        <w:t>-</w:t>
      </w:r>
      <w:r w:rsidRPr="00031A85">
        <w:t>2020</w:t>
      </w:r>
      <w:r>
        <w:t>, l’IEJ a connu des retards de mise en œuvre semblables à ceux observés pour les autres Fonds ESI à la rubrique </w:t>
      </w:r>
      <w:r w:rsidRPr="00031A85">
        <w:t>1</w:t>
      </w:r>
      <w:r>
        <w:t>b du CFP. Le niveau des paiements a été plus bas que prévu pour plusieurs raisons, telles que l’adoption tardive des programmes opérationnels connexes du FSE et la longue préparation de leur mise en œuvre, notamment la mise en place des structures et procédures requises au titre du cadre réglementaire du FSE applicable. Dans une certaine mesure, les retards enregistrés lors des phases initiales de la mise en œuvre de l’IEJ sont également en partie imputables aux contraintes au niveau des capacités administratives des différentes structures compétentes, compte tenu, en particulier, du chevauchement entre les deux périodes de programmation. Malgré ces retards, la mise en œuvre de l’IEJ tant sur le terrain qu’au niveau des paiements effectués par la Commission s’est jusqu'à présent révélée plus rapide que celle du FSE, du FEDER et du FC.</w:t>
      </w:r>
    </w:p>
    <w:p w:rsidR="00FB0C75" w:rsidRDefault="00525E53" w:rsidP="00FB0C75">
      <w:pPr>
        <w:pStyle w:val="DGTextstand-alone"/>
        <w:sectPr w:rsidR="00FB0C75" w:rsidSect="00FB0C75">
          <w:headerReference w:type="even" r:id="rId487"/>
          <w:headerReference w:type="default" r:id="rId488"/>
          <w:footerReference w:type="even" r:id="rId489"/>
          <w:footerReference w:type="default" r:id="rId490"/>
          <w:headerReference w:type="first" r:id="rId491"/>
          <w:footerReference w:type="first" r:id="rId492"/>
          <w:pgSz w:w="11907" w:h="16840"/>
          <w:pgMar w:top="1134" w:right="1134" w:bottom="1134" w:left="1134" w:header="709" w:footer="709" w:gutter="0"/>
          <w:cols w:space="708"/>
          <w:docGrid w:linePitch="360"/>
        </w:sectPr>
      </w:pPr>
      <w:r>
        <w:t xml:space="preserve"> </w:t>
      </w:r>
      <w:bookmarkEnd w:id="589"/>
    </w:p>
    <w:p w:rsidR="00FB0C75" w:rsidRPr="00012B40" w:rsidRDefault="00525E53" w:rsidP="00FB0C75">
      <w:pPr>
        <w:pStyle w:val="FinancialYear"/>
      </w:pPr>
      <w:bookmarkStart w:id="617" w:name="_DMBM_9039"/>
      <w:r>
        <w:t>UNION EUROPÉENNE</w:t>
      </w:r>
    </w:p>
    <w:p w:rsidR="00FB0C75" w:rsidRDefault="00525E53" w:rsidP="00FB0C75">
      <w:pPr>
        <w:pStyle w:val="FinancialYear"/>
      </w:pPr>
      <w:r>
        <w:t>EXERCICE </w:t>
      </w:r>
      <w:r w:rsidRPr="00031A85">
        <w:t>2016</w:t>
      </w: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FE3ADE" w:rsidRDefault="00525E53" w:rsidP="00FB0C75">
      <w:pPr>
        <w:pStyle w:val="FIRSTCHAPTERPAGE"/>
      </w:pPr>
      <w:bookmarkStart w:id="618" w:name="_Toc390968562"/>
      <w:bookmarkStart w:id="619" w:name="_Toc485724173"/>
      <w:bookmarkStart w:id="620" w:name="_Toc491678765"/>
      <w:r>
        <w:t>ÉTATS SUR L’EXÉCUTION BUDGÉTAIRE ET NOTES ANNEXES</w:t>
      </w:r>
      <w:bookmarkEnd w:id="618"/>
      <w:bookmarkEnd w:id="619"/>
      <w:bookmarkEnd w:id="620"/>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525E53" w:rsidP="00FB0C75">
      <w:pPr>
        <w:pStyle w:val="TOPHEADERNOTE"/>
        <w:sectPr w:rsidR="00FB0C75" w:rsidSect="00FB0C75">
          <w:headerReference w:type="even" r:id="rId493"/>
          <w:headerReference w:type="default" r:id="rId494"/>
          <w:footerReference w:type="even" r:id="rId495"/>
          <w:footerReference w:type="default" r:id="rId496"/>
          <w:headerReference w:type="first" r:id="rId497"/>
          <w:footerReference w:type="first" r:id="rId498"/>
          <w:pgSz w:w="11907" w:h="16840" w:code="9"/>
          <w:pgMar w:top="1134" w:right="1134" w:bottom="1134" w:left="1134" w:header="709" w:footer="709" w:gutter="0"/>
          <w:cols w:space="708"/>
          <w:docGrid w:linePitch="360"/>
        </w:sectPr>
      </w:pPr>
      <w:r>
        <w:t>Des écarts peuvent sembler exister entre certaines données financières des tableaux ci-dessous lorsqu’elles sont additionnées car les chiffres sont arrondis au million d’euros.</w:t>
      </w:r>
      <w:bookmarkEnd w:id="617"/>
    </w:p>
    <w:bookmarkStart w:id="621" w:name="_Toc485724174"/>
    <w:bookmarkStart w:id="622" w:name="_DMBM_10611"/>
    <w:p w:rsidR="00B92C03" w:rsidRPr="00B92C03" w:rsidRDefault="00B92C03" w:rsidP="00B92C03">
      <w:pPr>
        <w:pStyle w:val="HEADERTABLE"/>
        <w:rPr>
          <w:lang w:val="fr-BE" w:eastAsia="en-GB" w:bidi="ar-SA"/>
        </w:rPr>
      </w:pPr>
      <w:r w:rsidRPr="003A02A6">
        <w:rPr>
          <w:lang w:val="en-GB" w:eastAsia="en-GB" w:bidi="ar-SA"/>
        </w:rPr>
        <w:fldChar w:fldCharType="begin"/>
      </w:r>
      <w:r w:rsidRPr="00B92C03">
        <w:rPr>
          <w:lang w:val="fr-BE" w:eastAsia="en-GB" w:bidi="ar-SA"/>
        </w:rPr>
        <w:instrText xml:space="preserve"> HYPERLINK \l "_Toc491701234" </w:instrText>
      </w:r>
      <w:r w:rsidRPr="003A02A6">
        <w:rPr>
          <w:lang w:val="en-GB" w:eastAsia="en-GB" w:bidi="ar-SA"/>
        </w:rPr>
        <w:fldChar w:fldCharType="separate"/>
      </w:r>
      <w:r w:rsidRPr="00B92C03">
        <w:rPr>
          <w:lang w:val="fr-BE" w:eastAsia="en-GB" w:bidi="ar-SA"/>
        </w:rPr>
        <w:t>SOMMAIRE</w:t>
      </w:r>
      <w:r w:rsidRPr="003A02A6">
        <w:rPr>
          <w:lang w:val="en-GB" w:eastAsia="en-GB" w:bidi="ar-SA"/>
        </w:rPr>
        <w:fldChar w:fldCharType="end"/>
      </w:r>
    </w:p>
    <w:p w:rsidR="00B92C03" w:rsidRPr="00B92C03" w:rsidRDefault="00B92C03" w:rsidP="00B92C03">
      <w:pPr>
        <w:pStyle w:val="HEADERTABLE"/>
        <w:rPr>
          <w:lang w:val="fr-BE" w:eastAsia="en-GB" w:bidi="ar-SA"/>
        </w:rPr>
      </w:pPr>
    </w:p>
    <w:p w:rsidR="00B92C03" w:rsidRPr="00C80909" w:rsidRDefault="00915D0A" w:rsidP="003E248E">
      <w:pPr>
        <w:pStyle w:val="TOC1"/>
        <w:rPr>
          <w:rStyle w:val="Hyperlink"/>
          <w:rFonts w:eastAsiaTheme="minorHAnsi"/>
          <w:color w:val="31849B" w:themeColor="accent5" w:themeShade="BF"/>
          <w:u w:val="none"/>
          <w:lang w:val="fr-BE"/>
        </w:rPr>
      </w:pPr>
      <w:hyperlink w:anchor="_Toc491701235" w:history="1">
        <w:r w:rsidR="00B92C03" w:rsidRPr="00C80909">
          <w:rPr>
            <w:rStyle w:val="Hyperlink"/>
            <w:rFonts w:eastAsiaTheme="minorHAnsi"/>
            <w:color w:val="31849B" w:themeColor="accent5" w:themeShade="BF"/>
            <w:u w:val="none"/>
            <w:lang w:val="fr-BE"/>
          </w:rPr>
          <w:t>RÉSULTAT DE L’EXÉCUTION DU BUDGET DE L’UE</w:t>
        </w:r>
        <w:r w:rsidR="00B92C03" w:rsidRPr="00C80909">
          <w:rPr>
            <w:rStyle w:val="Hyperlink"/>
            <w:rFonts w:eastAsiaTheme="minorHAnsi"/>
            <w:webHidden/>
            <w:color w:val="31849B" w:themeColor="accent5" w:themeShade="BF"/>
            <w:u w:val="none"/>
            <w:lang w:val="fr-BE"/>
          </w:rPr>
          <w:tab/>
        </w:r>
        <w:r w:rsidR="00B92C03" w:rsidRPr="003E248E">
          <w:rPr>
            <w:rStyle w:val="Hyperlink"/>
            <w:rFonts w:eastAsiaTheme="minorHAnsi"/>
            <w:webHidden/>
            <w:color w:val="31849B" w:themeColor="accent5" w:themeShade="BF"/>
            <w:u w:val="none"/>
          </w:rPr>
          <w:fldChar w:fldCharType="begin"/>
        </w:r>
        <w:r w:rsidR="00B92C03" w:rsidRPr="00C80909">
          <w:rPr>
            <w:rStyle w:val="Hyperlink"/>
            <w:rFonts w:eastAsiaTheme="minorHAnsi"/>
            <w:webHidden/>
            <w:color w:val="31849B" w:themeColor="accent5" w:themeShade="BF"/>
            <w:u w:val="none"/>
            <w:lang w:val="fr-BE"/>
          </w:rPr>
          <w:instrText xml:space="preserve"> PAGEREF _Toc491701235 \h </w:instrText>
        </w:r>
        <w:r w:rsidR="00B92C03" w:rsidRPr="003E248E">
          <w:rPr>
            <w:rStyle w:val="Hyperlink"/>
            <w:rFonts w:eastAsiaTheme="minorHAnsi"/>
            <w:webHidden/>
            <w:color w:val="31849B" w:themeColor="accent5" w:themeShade="BF"/>
            <w:u w:val="none"/>
          </w:rPr>
        </w:r>
        <w:r w:rsidR="00B92C03" w:rsidRPr="003E248E">
          <w:rPr>
            <w:rStyle w:val="Hyperlink"/>
            <w:rFonts w:eastAsiaTheme="minorHAnsi"/>
            <w:webHidden/>
            <w:color w:val="31849B" w:themeColor="accent5" w:themeShade="BF"/>
            <w:u w:val="none"/>
          </w:rPr>
          <w:fldChar w:fldCharType="separate"/>
        </w:r>
        <w:r w:rsidR="00B92C03" w:rsidRPr="00031A85">
          <w:rPr>
            <w:rStyle w:val="Hyperlink"/>
            <w:rFonts w:eastAsiaTheme="minorHAnsi"/>
            <w:webHidden/>
            <w:color w:val="31849B" w:themeColor="accent5" w:themeShade="BF"/>
            <w:u w:val="none"/>
            <w:lang w:val="fr-BE"/>
          </w:rPr>
          <w:t>11</w:t>
        </w:r>
        <w:r w:rsidR="00B92C03" w:rsidRPr="003E248E">
          <w:rPr>
            <w:rStyle w:val="Hyperlink"/>
            <w:rFonts w:eastAsiaTheme="minorHAnsi"/>
            <w:webHidden/>
            <w:color w:val="31849B" w:themeColor="accent5" w:themeShade="BF"/>
            <w:u w:val="none"/>
          </w:rPr>
          <w:fldChar w:fldCharType="end"/>
        </w:r>
      </w:hyperlink>
      <w:r w:rsidR="00C80909" w:rsidRPr="00031A85">
        <w:rPr>
          <w:rStyle w:val="Hyperlink"/>
          <w:rFonts w:eastAsiaTheme="minorHAnsi"/>
          <w:color w:val="31849B" w:themeColor="accent5" w:themeShade="BF"/>
          <w:u w:val="none"/>
          <w:lang w:val="fr-BE"/>
        </w:rPr>
        <w:t>3</w:t>
      </w:r>
    </w:p>
    <w:p w:rsidR="00B92C03" w:rsidRPr="00C80909" w:rsidRDefault="00B92C03" w:rsidP="003E248E">
      <w:pPr>
        <w:pStyle w:val="TOC1"/>
        <w:rPr>
          <w:rFonts w:eastAsiaTheme="minorEastAsia" w:cstheme="minorBidi"/>
          <w:smallCaps/>
          <w:lang w:val="fr-BE"/>
        </w:rPr>
      </w:pPr>
      <w:r w:rsidRPr="003E248E">
        <w:rPr>
          <w:rStyle w:val="Hyperlink"/>
          <w:rFonts w:eastAsiaTheme="minorHAnsi"/>
          <w:color w:val="31849B" w:themeColor="accent5" w:themeShade="BF"/>
          <w:u w:val="none"/>
          <w:lang w:val="fr-BE"/>
        </w:rPr>
        <w:t>COMPARAISONS</w:t>
      </w:r>
      <w:r w:rsidRPr="00C80909">
        <w:rPr>
          <w:rStyle w:val="Hyperlink"/>
          <w:color w:val="31849B" w:themeColor="accent5" w:themeShade="BF"/>
          <w:szCs w:val="20"/>
          <w:u w:val="none"/>
          <w:lang w:val="fr-BE"/>
        </w:rPr>
        <w:t xml:space="preserve"> ENTRE LES PRÉVISIONS BUDGÉTAIRES ET LES DONNÉES EFFECTIVES</w:t>
      </w:r>
      <w:r w:rsidRPr="00C80909">
        <w:rPr>
          <w:webHidden/>
          <w:lang w:val="fr-BE"/>
        </w:rPr>
        <w:tab/>
      </w:r>
      <w:r w:rsidRPr="003E248E">
        <w:rPr>
          <w:webHidden/>
        </w:rPr>
        <w:fldChar w:fldCharType="begin"/>
      </w:r>
      <w:r w:rsidRPr="00C80909">
        <w:rPr>
          <w:webHidden/>
          <w:lang w:val="fr-BE"/>
        </w:rPr>
        <w:instrText xml:space="preserve"> PAGEREF _Toc491701236 \h </w:instrText>
      </w:r>
      <w:r w:rsidRPr="003E248E">
        <w:rPr>
          <w:webHidden/>
        </w:rPr>
      </w:r>
      <w:r w:rsidRPr="003E248E">
        <w:rPr>
          <w:webHidden/>
        </w:rPr>
        <w:fldChar w:fldCharType="separate"/>
      </w:r>
      <w:r w:rsidRPr="00031A85">
        <w:rPr>
          <w:webHidden/>
          <w:lang w:val="fr-BE"/>
        </w:rPr>
        <w:t>11</w:t>
      </w:r>
      <w:r w:rsidRPr="003E248E">
        <w:rPr>
          <w:webHidden/>
        </w:rPr>
        <w:fldChar w:fldCharType="end"/>
      </w:r>
      <w:r w:rsidR="00C80909" w:rsidRPr="00031A85">
        <w:rPr>
          <w:webHidden/>
          <w:lang w:val="fr-BE"/>
        </w:rPr>
        <w:t>4</w:t>
      </w:r>
    </w:p>
    <w:p w:rsidR="00B92C03" w:rsidRPr="00C80909" w:rsidRDefault="00915D0A" w:rsidP="003E248E">
      <w:pPr>
        <w:pStyle w:val="TOC1"/>
        <w:rPr>
          <w:rStyle w:val="Hyperlink"/>
          <w:rFonts w:eastAsiaTheme="minorHAnsi"/>
          <w:color w:val="31849B" w:themeColor="accent5" w:themeShade="BF"/>
          <w:u w:val="none"/>
          <w:lang w:val="fr-BE"/>
        </w:rPr>
      </w:pPr>
      <w:hyperlink w:anchor="_Toc491701237" w:history="1">
        <w:r w:rsidR="00B92C03" w:rsidRPr="00C80909">
          <w:rPr>
            <w:rStyle w:val="Hyperlink"/>
            <w:rFonts w:eastAsiaTheme="minorHAnsi"/>
            <w:color w:val="31849B" w:themeColor="accent5" w:themeShade="BF"/>
            <w:u w:val="none"/>
            <w:lang w:val="fr-BE"/>
          </w:rPr>
          <w:t>NOTES RELATIVES AUX ÉTATS SUR L’EXÉCUTION BUDGÉTAIRE</w:t>
        </w:r>
        <w:r w:rsidR="00B92C03" w:rsidRPr="00C80909">
          <w:rPr>
            <w:rStyle w:val="Hyperlink"/>
            <w:rFonts w:eastAsiaTheme="minorHAnsi"/>
            <w:webHidden/>
            <w:color w:val="31849B" w:themeColor="accent5" w:themeShade="BF"/>
            <w:u w:val="none"/>
            <w:lang w:val="fr-BE"/>
          </w:rPr>
          <w:tab/>
        </w:r>
        <w:r w:rsidR="00B92C03" w:rsidRPr="003E248E">
          <w:rPr>
            <w:rStyle w:val="Hyperlink"/>
            <w:rFonts w:eastAsiaTheme="minorHAnsi"/>
            <w:webHidden/>
            <w:color w:val="31849B" w:themeColor="accent5" w:themeShade="BF"/>
            <w:u w:val="none"/>
          </w:rPr>
          <w:fldChar w:fldCharType="begin"/>
        </w:r>
        <w:r w:rsidR="00B92C03" w:rsidRPr="00C80909">
          <w:rPr>
            <w:rStyle w:val="Hyperlink"/>
            <w:rFonts w:eastAsiaTheme="minorHAnsi"/>
            <w:webHidden/>
            <w:color w:val="31849B" w:themeColor="accent5" w:themeShade="BF"/>
            <w:u w:val="none"/>
            <w:lang w:val="fr-BE"/>
          </w:rPr>
          <w:instrText xml:space="preserve"> PAGEREF _Toc491701237 \h </w:instrText>
        </w:r>
        <w:r w:rsidR="00B92C03" w:rsidRPr="003E248E">
          <w:rPr>
            <w:rStyle w:val="Hyperlink"/>
            <w:rFonts w:eastAsiaTheme="minorHAnsi"/>
            <w:webHidden/>
            <w:color w:val="31849B" w:themeColor="accent5" w:themeShade="BF"/>
            <w:u w:val="none"/>
          </w:rPr>
        </w:r>
        <w:r w:rsidR="00B92C03" w:rsidRPr="003E248E">
          <w:rPr>
            <w:rStyle w:val="Hyperlink"/>
            <w:rFonts w:eastAsiaTheme="minorHAnsi"/>
            <w:webHidden/>
            <w:color w:val="31849B" w:themeColor="accent5" w:themeShade="BF"/>
            <w:u w:val="none"/>
          </w:rPr>
          <w:fldChar w:fldCharType="separate"/>
        </w:r>
        <w:r w:rsidR="00B92C03" w:rsidRPr="00031A85">
          <w:rPr>
            <w:rStyle w:val="Hyperlink"/>
            <w:rFonts w:eastAsiaTheme="minorHAnsi"/>
            <w:webHidden/>
            <w:color w:val="31849B" w:themeColor="accent5" w:themeShade="BF"/>
            <w:u w:val="none"/>
            <w:lang w:val="fr-BE"/>
          </w:rPr>
          <w:t>11</w:t>
        </w:r>
        <w:r w:rsidR="00B92C03" w:rsidRPr="003E248E">
          <w:rPr>
            <w:rStyle w:val="Hyperlink"/>
            <w:rFonts w:eastAsiaTheme="minorHAnsi"/>
            <w:webHidden/>
            <w:color w:val="31849B" w:themeColor="accent5" w:themeShade="BF"/>
            <w:u w:val="none"/>
          </w:rPr>
          <w:fldChar w:fldCharType="end"/>
        </w:r>
      </w:hyperlink>
      <w:r w:rsidR="00C80909" w:rsidRPr="00031A85">
        <w:rPr>
          <w:rStyle w:val="Hyperlink"/>
          <w:rFonts w:eastAsiaTheme="minorHAnsi"/>
          <w:color w:val="31849B" w:themeColor="accent5" w:themeShade="BF"/>
          <w:u w:val="none"/>
          <w:lang w:val="fr-BE"/>
        </w:rPr>
        <w:t>7</w:t>
      </w:r>
    </w:p>
    <w:p w:rsidR="00B92C03" w:rsidRPr="00020BBB" w:rsidRDefault="00915D0A" w:rsidP="003E248E">
      <w:pPr>
        <w:pStyle w:val="TOC1"/>
        <w:rPr>
          <w:rStyle w:val="Hyperlink"/>
          <w:color w:val="31849B" w:themeColor="accent5" w:themeShade="BF"/>
          <w:u w:val="none"/>
          <w:lang w:val="fr-BE"/>
        </w:rPr>
      </w:pPr>
      <w:hyperlink w:anchor="_Toc491701238" w:history="1">
        <w:r w:rsidR="00B92C03" w:rsidRPr="00031A85">
          <w:rPr>
            <w:rStyle w:val="Hyperlink"/>
            <w:color w:val="31849B" w:themeColor="accent5" w:themeShade="BF"/>
            <w:u w:val="none"/>
            <w:lang w:val="fr-BE"/>
          </w:rPr>
          <w:t>1</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LE CADRE BUDGÉTAIRE DE l’UE</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_Toc491701238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11</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7</w:t>
      </w:r>
    </w:p>
    <w:p w:rsidR="00B92C03" w:rsidRPr="00020BBB" w:rsidRDefault="00915D0A" w:rsidP="003E248E">
      <w:pPr>
        <w:pStyle w:val="TOC2"/>
        <w:rPr>
          <w:rStyle w:val="Hyperlink"/>
          <w:color w:val="404040" w:themeColor="text1" w:themeTint="BF"/>
          <w:u w:val="none"/>
          <w:lang w:val="fr-BE" w:eastAsia="en-GB" w:bidi="ar-SA"/>
        </w:rPr>
      </w:pPr>
      <w:hyperlink w:anchor="_Toc491701239"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 xml:space="preserve">CADRE FINANCIER PLURIANNUEL </w:t>
        </w:r>
        <w:r w:rsidR="00B92C03" w:rsidRPr="00031A85">
          <w:rPr>
            <w:rStyle w:val="Hyperlink"/>
            <w:color w:val="404040" w:themeColor="text1" w:themeTint="BF"/>
            <w:u w:val="none"/>
            <w:lang w:val="fr-BE" w:eastAsia="en-GB" w:bidi="ar-SA"/>
          </w:rPr>
          <w:t>2014</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2020</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_Toc491701239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7</w:t>
      </w:r>
    </w:p>
    <w:p w:rsidR="00B92C03" w:rsidRPr="00020BBB" w:rsidRDefault="00915D0A" w:rsidP="003E248E">
      <w:pPr>
        <w:pStyle w:val="TOC2"/>
        <w:rPr>
          <w:rStyle w:val="Hyperlink"/>
          <w:color w:val="404040" w:themeColor="text1" w:themeTint="BF"/>
          <w:u w:val="none"/>
          <w:lang w:val="fr-BE" w:eastAsia="en-GB" w:bidi="ar-SA"/>
        </w:rPr>
      </w:pPr>
      <w:hyperlink w:anchor="_Toc491701240"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2</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BUDGET ANNUEL</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_Toc491701240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19</w:t>
      </w:r>
    </w:p>
    <w:p w:rsidR="00B92C03" w:rsidRPr="00020BBB" w:rsidRDefault="00915D0A" w:rsidP="003E248E">
      <w:pPr>
        <w:pStyle w:val="TOC2"/>
        <w:rPr>
          <w:rStyle w:val="Hyperlink"/>
          <w:color w:val="404040" w:themeColor="text1" w:themeTint="BF"/>
          <w:u w:val="none"/>
          <w:lang w:val="fr-BE" w:eastAsia="en-GB" w:bidi="ar-SA"/>
        </w:rPr>
      </w:pPr>
      <w:hyperlink w:anchor="_Toc491701241"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3</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DOMAINES POLITIQUES</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_Toc491701241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19</w:t>
      </w:r>
    </w:p>
    <w:p w:rsidR="00B92C03" w:rsidRPr="00020BBB" w:rsidRDefault="00915D0A" w:rsidP="003E248E">
      <w:pPr>
        <w:pStyle w:val="TOC2"/>
        <w:rPr>
          <w:rStyle w:val="Hyperlink"/>
          <w:color w:val="404040" w:themeColor="text1" w:themeTint="BF"/>
          <w:u w:val="none"/>
          <w:lang w:val="fr-BE" w:eastAsia="en-GB" w:bidi="ar-SA"/>
        </w:rPr>
      </w:pPr>
      <w:hyperlink w:anchor="_Toc491701242"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4</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RECETTES</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_Toc491701242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20</w:t>
      </w:r>
    </w:p>
    <w:p w:rsidR="00B92C03" w:rsidRPr="00020BBB" w:rsidRDefault="00915D0A" w:rsidP="003E248E">
      <w:pPr>
        <w:pStyle w:val="TOC2"/>
        <w:rPr>
          <w:rStyle w:val="Hyperlink"/>
          <w:color w:val="404040" w:themeColor="text1" w:themeTint="BF"/>
          <w:u w:val="none"/>
          <w:lang w:val="fr-BE" w:eastAsia="en-GB" w:bidi="ar-SA"/>
        </w:rPr>
      </w:pPr>
      <w:hyperlink w:anchor="_Toc491701243"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5</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CALCUL DU RÉSULTAT DE L’EXÉCUTION DU BUDGET</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_Toc491701243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21</w:t>
      </w:r>
    </w:p>
    <w:p w:rsidR="00B92C03" w:rsidRPr="00020BBB" w:rsidRDefault="00915D0A" w:rsidP="003E248E">
      <w:pPr>
        <w:pStyle w:val="TOC2"/>
        <w:rPr>
          <w:color w:val="7F7F7F" w:themeColor="text1" w:themeTint="80"/>
          <w:lang w:val="fr-BE"/>
        </w:rPr>
      </w:pPr>
      <w:hyperlink w:anchor="_Toc491701244" w:history="1">
        <w:r w:rsidR="00B92C03" w:rsidRPr="00031A85">
          <w:rPr>
            <w:rStyle w:val="Hyperlink"/>
            <w:color w:val="404040" w:themeColor="text1" w:themeTint="BF"/>
            <w:u w:val="none"/>
            <w:lang w:val="fr-BE" w:eastAsia="en-GB" w:bidi="ar-SA"/>
          </w:rPr>
          <w:t>1</w:t>
        </w:r>
        <w:r w:rsidR="00B92C03" w:rsidRPr="00020BBB">
          <w:rPr>
            <w:rStyle w:val="Hyperlink"/>
            <w:color w:val="404040" w:themeColor="text1" w:themeTint="BF"/>
            <w:u w:val="none"/>
            <w:lang w:val="fr-BE" w:eastAsia="en-GB" w:bidi="ar-SA"/>
          </w:rPr>
          <w:t>.</w:t>
        </w:r>
        <w:r w:rsidR="00B92C03" w:rsidRPr="00031A85">
          <w:rPr>
            <w:rStyle w:val="Hyperlink"/>
            <w:color w:val="404040" w:themeColor="text1" w:themeTint="BF"/>
            <w:u w:val="none"/>
            <w:lang w:val="fr-BE" w:eastAsia="en-GB" w:bidi="ar-SA"/>
          </w:rPr>
          <w:t>6</w:t>
        </w:r>
        <w:r w:rsidR="00B92C03" w:rsidRPr="00020BBB">
          <w:rPr>
            <w:rStyle w:val="Hyperlink"/>
            <w:color w:val="404040" w:themeColor="text1" w:themeTint="BF"/>
            <w:u w:val="none"/>
            <w:lang w:val="fr-BE" w:eastAsia="en-GB" w:bidi="ar-SA"/>
          </w:rPr>
          <w:t>.</w:t>
        </w:r>
        <w:r w:rsidR="00B92C03" w:rsidRPr="00020BBB">
          <w:rPr>
            <w:rStyle w:val="Hyperlink"/>
            <w:color w:val="404040" w:themeColor="text1" w:themeTint="BF"/>
            <w:u w:val="none"/>
            <w:lang w:val="fr-BE" w:eastAsia="en-GB" w:bidi="ar-SA"/>
          </w:rPr>
          <w:tab/>
          <w:t>RAPPROCHEMENT ENTRE LE RÉSULTAT ÉCONOMIQUE ET LE RÉSULTAT DE L’EXÉCUTION DU BUDGET</w:t>
        </w:r>
        <w:r w:rsidR="00B92C03" w:rsidRPr="00020BBB">
          <w:rPr>
            <w:rStyle w:val="Hyperlink"/>
            <w:webHidden/>
            <w:color w:val="404040" w:themeColor="text1" w:themeTint="BF"/>
            <w:u w:val="none"/>
            <w:lang w:val="fr-BE" w:eastAsia="en-GB" w:bidi="ar-SA"/>
          </w:rPr>
          <w:tab/>
        </w:r>
        <w:r w:rsidR="00B92C03" w:rsidRPr="003E248E">
          <w:rPr>
            <w:rStyle w:val="Hyperlink"/>
            <w:webHidden/>
            <w:color w:val="404040" w:themeColor="text1" w:themeTint="BF"/>
            <w:u w:val="none"/>
            <w:lang w:val="en-GB" w:eastAsia="en-GB" w:bidi="ar-SA"/>
          </w:rPr>
          <w:fldChar w:fldCharType="begin"/>
        </w:r>
        <w:r w:rsidR="00B92C03" w:rsidRPr="00020BBB">
          <w:rPr>
            <w:rStyle w:val="Hyperlink"/>
            <w:webHidden/>
            <w:color w:val="404040" w:themeColor="text1" w:themeTint="BF"/>
            <w:u w:val="none"/>
            <w:lang w:val="fr-BE" w:eastAsia="en-GB" w:bidi="ar-SA"/>
          </w:rPr>
          <w:instrText xml:space="preserve"> PAGEREF _Toc491701244 \h </w:instrText>
        </w:r>
        <w:r w:rsidR="00B92C03" w:rsidRPr="003E248E">
          <w:rPr>
            <w:rStyle w:val="Hyperlink"/>
            <w:webHidden/>
            <w:color w:val="404040" w:themeColor="text1" w:themeTint="BF"/>
            <w:u w:val="none"/>
            <w:lang w:val="en-GB" w:eastAsia="en-GB" w:bidi="ar-SA"/>
          </w:rPr>
        </w:r>
        <w:r w:rsidR="00B92C03" w:rsidRPr="003E248E">
          <w:rPr>
            <w:rStyle w:val="Hyperlink"/>
            <w:webHidden/>
            <w:color w:val="404040" w:themeColor="text1" w:themeTint="BF"/>
            <w:u w:val="none"/>
            <w:lang w:val="en-GB" w:eastAsia="en-GB" w:bidi="ar-SA"/>
          </w:rPr>
          <w:fldChar w:fldCharType="separate"/>
        </w:r>
        <w:r w:rsidR="00B92C03" w:rsidRPr="00031A85">
          <w:rPr>
            <w:rStyle w:val="Hyperlink"/>
            <w:webHidden/>
            <w:color w:val="404040" w:themeColor="text1" w:themeTint="BF"/>
            <w:u w:val="none"/>
            <w:lang w:val="fr-BE" w:eastAsia="en-GB" w:bidi="ar-SA"/>
          </w:rPr>
          <w:t>1</w:t>
        </w:r>
        <w:r w:rsidR="00B92C03" w:rsidRPr="003E248E">
          <w:rPr>
            <w:rStyle w:val="Hyperlink"/>
            <w:webHidden/>
            <w:color w:val="404040" w:themeColor="text1" w:themeTint="BF"/>
            <w:u w:val="none"/>
            <w:lang w:val="en-GB" w:eastAsia="en-GB" w:bidi="ar-SA"/>
          </w:rPr>
          <w:fldChar w:fldCharType="end"/>
        </w:r>
      </w:hyperlink>
      <w:r w:rsidR="00020BBB" w:rsidRPr="00031A85">
        <w:rPr>
          <w:rStyle w:val="Hyperlink"/>
          <w:color w:val="404040" w:themeColor="text1" w:themeTint="BF"/>
          <w:u w:val="none"/>
          <w:lang w:val="fr-BE" w:eastAsia="en-GB" w:bidi="ar-SA"/>
        </w:rPr>
        <w:t>22</w:t>
      </w:r>
    </w:p>
    <w:p w:rsidR="00B92C03" w:rsidRPr="00020BBB" w:rsidRDefault="00915D0A" w:rsidP="003E248E">
      <w:pPr>
        <w:pStyle w:val="TOC1"/>
        <w:rPr>
          <w:rStyle w:val="Hyperlink"/>
          <w:color w:val="31849B" w:themeColor="accent5" w:themeShade="BF"/>
          <w:u w:val="none"/>
          <w:lang w:val="fr-BE"/>
        </w:rPr>
      </w:pPr>
      <w:hyperlink w:anchor="_Toc491701245" w:history="1">
        <w:r w:rsidR="00B92C03" w:rsidRPr="00031A85">
          <w:rPr>
            <w:rStyle w:val="Hyperlink"/>
            <w:color w:val="31849B" w:themeColor="accent5" w:themeShade="BF"/>
            <w:u w:val="none"/>
            <w:lang w:val="fr-BE"/>
          </w:rPr>
          <w:t>2</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 xml:space="preserve">EXÉCUTION DU BUDGET </w:t>
        </w:r>
        <w:r w:rsidR="00B92C03" w:rsidRPr="00031A85">
          <w:rPr>
            <w:rStyle w:val="Hyperlink"/>
            <w:color w:val="31849B" w:themeColor="accent5" w:themeShade="BF"/>
            <w:u w:val="none"/>
            <w:lang w:val="fr-BE"/>
          </w:rPr>
          <w:t>2016</w:t>
        </w:r>
        <w:r w:rsidR="00B92C03" w:rsidRPr="00020BBB">
          <w:rPr>
            <w:rStyle w:val="Hyperlink"/>
            <w:color w:val="31849B" w:themeColor="accent5" w:themeShade="BF"/>
            <w:u w:val="none"/>
            <w:lang w:val="fr-BE"/>
          </w:rPr>
          <w:t xml:space="preserve"> DE L’UE – COMMENTAIRES</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_Toc491701245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12</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4</w:t>
      </w:r>
    </w:p>
    <w:p w:rsidR="00B92C03" w:rsidRPr="003E248E" w:rsidRDefault="00915D0A" w:rsidP="003E248E">
      <w:pPr>
        <w:pStyle w:val="TOC2"/>
      </w:pPr>
      <w:hyperlink w:anchor="_Toc491701246" w:history="1">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031A85">
          <w:rPr>
            <w:rStyle w:val="Hyperlink"/>
            <w:color w:val="404040" w:themeColor="text1" w:themeTint="BF"/>
            <w:u w:val="none"/>
          </w:rPr>
          <w:t>1</w:t>
        </w:r>
        <w:r w:rsidR="00B92C03" w:rsidRPr="003E248E">
          <w:rPr>
            <w:rStyle w:val="Hyperlink"/>
            <w:color w:val="404040" w:themeColor="text1" w:themeTint="BF"/>
            <w:u w:val="none"/>
          </w:rPr>
          <w:t>.</w:t>
        </w:r>
        <w:r w:rsidR="00B92C03" w:rsidRPr="003E248E">
          <w:tab/>
        </w:r>
        <w:r w:rsidR="00B92C03" w:rsidRPr="003E248E">
          <w:rPr>
            <w:rStyle w:val="Hyperlink"/>
            <w:color w:val="404040" w:themeColor="text1" w:themeTint="BF"/>
            <w:u w:val="none"/>
          </w:rPr>
          <w:t>RECETTES</w:t>
        </w:r>
        <w:r w:rsidR="00B92C03" w:rsidRPr="003E248E">
          <w:rPr>
            <w:webHidden/>
          </w:rPr>
          <w:tab/>
        </w:r>
        <w:r w:rsidR="00B92C03" w:rsidRPr="003E248E">
          <w:rPr>
            <w:webHidden/>
          </w:rPr>
          <w:fldChar w:fldCharType="begin"/>
        </w:r>
        <w:r w:rsidR="00B92C03" w:rsidRPr="003E248E">
          <w:rPr>
            <w:webHidden/>
          </w:rPr>
          <w:instrText xml:space="preserve"> PAGEREF _Toc491701246 \h </w:instrText>
        </w:r>
        <w:r w:rsidR="00B92C03" w:rsidRPr="003E248E">
          <w:rPr>
            <w:webHidden/>
          </w:rPr>
        </w:r>
        <w:r w:rsidR="00B92C03" w:rsidRPr="003E248E">
          <w:rPr>
            <w:webHidden/>
          </w:rPr>
          <w:fldChar w:fldCharType="separate"/>
        </w:r>
        <w:r w:rsidR="00B92C03" w:rsidRPr="00031A85">
          <w:rPr>
            <w:webHidden/>
          </w:rPr>
          <w:t>12</w:t>
        </w:r>
        <w:r w:rsidR="00B92C03" w:rsidRPr="003E248E">
          <w:rPr>
            <w:webHidden/>
          </w:rPr>
          <w:fldChar w:fldCharType="end"/>
        </w:r>
      </w:hyperlink>
      <w:r w:rsidR="00020BBB" w:rsidRPr="00031A85">
        <w:rPr>
          <w:rStyle w:val="Hyperlink"/>
          <w:color w:val="404040" w:themeColor="text1" w:themeTint="BF"/>
          <w:u w:val="none"/>
        </w:rPr>
        <w:t>4</w:t>
      </w:r>
    </w:p>
    <w:p w:rsidR="00B92C03" w:rsidRPr="003E248E" w:rsidRDefault="00915D0A" w:rsidP="003E248E">
      <w:pPr>
        <w:pStyle w:val="TOC2"/>
        <w:rPr>
          <w:rStyle w:val="Hyperlink"/>
          <w:color w:val="404040" w:themeColor="text1" w:themeTint="BF"/>
          <w:u w:val="none"/>
        </w:rPr>
      </w:pPr>
      <w:hyperlink w:anchor="_Toc491701247" w:history="1">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3E248E">
          <w:rPr>
            <w:rStyle w:val="Hyperlink"/>
            <w:color w:val="404040" w:themeColor="text1" w:themeTint="BF"/>
            <w:u w:val="none"/>
          </w:rPr>
          <w:tab/>
          <w:t>DÉPENSES</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_Toc491701247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12</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4</w:t>
      </w:r>
    </w:p>
    <w:p w:rsidR="00B92C03" w:rsidRPr="00020BBB" w:rsidRDefault="00915D0A" w:rsidP="003E248E">
      <w:pPr>
        <w:pStyle w:val="TOC1"/>
        <w:rPr>
          <w:rStyle w:val="Hyperlink"/>
          <w:color w:val="31849B" w:themeColor="accent5" w:themeShade="BF"/>
          <w:u w:val="none"/>
          <w:lang w:val="fr-BE"/>
        </w:rPr>
      </w:pPr>
      <w:hyperlink w:anchor="_Toc491701248" w:history="1">
        <w:r w:rsidR="00B92C03" w:rsidRPr="00031A85">
          <w:rPr>
            <w:rStyle w:val="Hyperlink"/>
            <w:color w:val="31849B" w:themeColor="accent5" w:themeShade="BF"/>
            <w:u w:val="none"/>
            <w:lang w:val="fr-BE"/>
          </w:rPr>
          <w:t>3</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EXÉCUTION DU BUDGET DE L’UE EN RECETTES</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_Toc491701248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27</w:t>
      </w:r>
    </w:p>
    <w:p w:rsidR="00B92C03" w:rsidRPr="003E248E" w:rsidRDefault="00915D0A" w:rsidP="003E248E">
      <w:pPr>
        <w:pStyle w:val="TOC2"/>
        <w:rPr>
          <w:rStyle w:val="Hyperlink"/>
          <w:color w:val="404040" w:themeColor="text1" w:themeTint="BF"/>
          <w:u w:val="none"/>
        </w:rPr>
      </w:pPr>
      <w:hyperlink w:anchor="_Toc491701249" w:history="1">
        <w:r w:rsidR="00B92C03" w:rsidRPr="00031A85">
          <w:rPr>
            <w:rStyle w:val="Hyperlink"/>
            <w:color w:val="404040" w:themeColor="text1" w:themeTint="BF"/>
            <w:u w:val="none"/>
          </w:rPr>
          <w:t>3</w:t>
        </w:r>
        <w:r w:rsidR="00B92C03" w:rsidRPr="003E248E">
          <w:rPr>
            <w:rStyle w:val="Hyperlink"/>
            <w:color w:val="404040" w:themeColor="text1" w:themeTint="BF"/>
            <w:u w:val="none"/>
          </w:rPr>
          <w:t>.</w:t>
        </w:r>
        <w:r w:rsidR="00B92C03" w:rsidRPr="00031A85">
          <w:rPr>
            <w:rStyle w:val="Hyperlink"/>
            <w:color w:val="404040" w:themeColor="text1" w:themeTint="BF"/>
            <w:u w:val="none"/>
          </w:rPr>
          <w:t>1</w:t>
        </w:r>
        <w:r w:rsidR="00B92C03" w:rsidRPr="003E248E">
          <w:rPr>
            <w:rStyle w:val="Hyperlink"/>
            <w:color w:val="404040" w:themeColor="text1" w:themeTint="BF"/>
            <w:u w:val="none"/>
          </w:rPr>
          <w:t>.</w:t>
        </w:r>
        <w:r w:rsidR="00B92C03" w:rsidRPr="003E248E">
          <w:rPr>
            <w:rStyle w:val="Hyperlink"/>
            <w:color w:val="404040" w:themeColor="text1" w:themeTint="BF"/>
            <w:u w:val="none"/>
          </w:rPr>
          <w:tab/>
          <w:t>SYNTHÈSE DE L’EXÉCUTION DU BUDGET DE L’UE EN RECETTES</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_Toc491701249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27</w:t>
      </w:r>
    </w:p>
    <w:p w:rsidR="00B92C03" w:rsidRPr="00020BBB" w:rsidRDefault="00915D0A" w:rsidP="003E248E">
      <w:pPr>
        <w:pStyle w:val="TOC1"/>
        <w:rPr>
          <w:rStyle w:val="Hyperlink"/>
          <w:color w:val="31849B" w:themeColor="accent5" w:themeShade="BF"/>
          <w:u w:val="none"/>
          <w:lang w:val="fr-BE"/>
        </w:rPr>
      </w:pPr>
      <w:hyperlink w:anchor="_Toc491701250" w:history="1">
        <w:r w:rsidR="00B92C03" w:rsidRPr="00031A85">
          <w:rPr>
            <w:rStyle w:val="Hyperlink"/>
            <w:color w:val="31849B" w:themeColor="accent5" w:themeShade="BF"/>
            <w:u w:val="none"/>
            <w:lang w:val="fr-BE"/>
          </w:rPr>
          <w:t>4</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EXÉCUTION DU BUDGET DE L'UE EN DÉPENSES</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_Toc491701250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28</w:t>
      </w:r>
    </w:p>
    <w:p w:rsidR="00B92C03" w:rsidRPr="003E248E" w:rsidRDefault="00915D0A" w:rsidP="003E248E">
      <w:pPr>
        <w:pStyle w:val="TOC2"/>
        <w:rPr>
          <w:rStyle w:val="Hyperlink"/>
          <w:color w:val="404040" w:themeColor="text1" w:themeTint="BF"/>
          <w:u w:val="none"/>
        </w:rPr>
      </w:pPr>
      <w:hyperlink w:anchor="_Toc491701251"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1</w:t>
        </w:r>
        <w:r w:rsidR="00B92C03" w:rsidRPr="003E248E">
          <w:rPr>
            <w:rStyle w:val="Hyperlink"/>
            <w:color w:val="404040" w:themeColor="text1" w:themeTint="BF"/>
            <w:u w:val="none"/>
          </w:rPr>
          <w:t>.</w:t>
        </w:r>
        <w:r w:rsidR="00B92C03" w:rsidRPr="003E248E">
          <w:rPr>
            <w:rStyle w:val="Hyperlink"/>
            <w:color w:val="404040" w:themeColor="text1" w:themeTint="BF"/>
            <w:u w:val="none"/>
          </w:rPr>
          <w:tab/>
          <w:t>CFP: VENTILATION ET ÉVOLUTION DES CRÉDITS D’ENGAGEMENT ET DE PAIEMENT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_Toc491701251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28</w:t>
      </w:r>
    </w:p>
    <w:p w:rsidR="00B92C03" w:rsidRPr="003E248E" w:rsidRDefault="00915D0A" w:rsidP="003E248E">
      <w:pPr>
        <w:pStyle w:val="TOC2"/>
        <w:rPr>
          <w:rStyle w:val="Hyperlink"/>
          <w:color w:val="404040" w:themeColor="text1" w:themeTint="BF"/>
          <w:u w:val="none"/>
        </w:rPr>
      </w:pPr>
      <w:hyperlink w:anchor="_Toc491701252"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3E248E">
          <w:rPr>
            <w:rStyle w:val="Hyperlink"/>
            <w:color w:val="404040" w:themeColor="text1" w:themeTint="BF"/>
            <w:u w:val="none"/>
          </w:rPr>
          <w:tab/>
          <w:t>CFP: EXÉCUTION DES CRÉDITS D’ENGAGEMENT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_Toc491701252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29</w:t>
      </w:r>
    </w:p>
    <w:p w:rsidR="00B92C03" w:rsidRPr="003E248E" w:rsidRDefault="00915D0A" w:rsidP="003E248E">
      <w:pPr>
        <w:pStyle w:val="TOC2"/>
        <w:rPr>
          <w:rStyle w:val="Hyperlink"/>
          <w:color w:val="404040" w:themeColor="text1" w:themeTint="BF"/>
          <w:u w:val="none"/>
        </w:rPr>
      </w:pPr>
      <w:hyperlink w:anchor="_Toc491701253"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3</w:t>
        </w:r>
        <w:r w:rsidR="00B92C03" w:rsidRPr="003E248E">
          <w:rPr>
            <w:rStyle w:val="Hyperlink"/>
            <w:color w:val="404040" w:themeColor="text1" w:themeTint="BF"/>
            <w:u w:val="none"/>
          </w:rPr>
          <w:t>.</w:t>
        </w:r>
        <w:r w:rsidR="00B92C03" w:rsidRPr="003E248E">
          <w:rPr>
            <w:rStyle w:val="Hyperlink"/>
            <w:color w:val="404040" w:themeColor="text1" w:themeTint="BF"/>
            <w:u w:val="none"/>
          </w:rPr>
          <w:tab/>
          <w:t>CFP: EXÉCUTION DES CRÉDITS DE PAIEMENT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_Toc491701253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30</w:t>
      </w:r>
    </w:p>
    <w:p w:rsidR="00B92C03" w:rsidRPr="003E248E" w:rsidRDefault="00915D0A" w:rsidP="003E248E">
      <w:pPr>
        <w:pStyle w:val="TOC2"/>
        <w:rPr>
          <w:rStyle w:val="Hyperlink"/>
          <w:color w:val="404040" w:themeColor="text1" w:themeTint="BF"/>
          <w:u w:val="none"/>
        </w:rPr>
      </w:pPr>
      <w:hyperlink w:anchor="_Toc491701254"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3E248E">
          <w:rPr>
            <w:rStyle w:val="Hyperlink"/>
            <w:color w:val="404040" w:themeColor="text1" w:themeTint="BF"/>
            <w:u w:val="none"/>
          </w:rPr>
          <w:tab/>
          <w:t>CFP: ÉVOLUTION DES ENGAGEMENTS RESTANT À LIQUIDER (RAL)</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_Toc491701254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1</w:t>
      </w:r>
    </w:p>
    <w:p w:rsidR="00B92C03" w:rsidRPr="003E248E" w:rsidRDefault="00915D0A" w:rsidP="003E248E">
      <w:pPr>
        <w:pStyle w:val="TOC2"/>
        <w:rPr>
          <w:rStyle w:val="Hyperlink"/>
          <w:color w:val="404040" w:themeColor="text1" w:themeTint="BF"/>
          <w:u w:val="none"/>
        </w:rPr>
      </w:pPr>
      <w:hyperlink w:anchor="_Toc491701255"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5</w:t>
        </w:r>
        <w:r w:rsidR="00B92C03" w:rsidRPr="003E248E">
          <w:rPr>
            <w:rStyle w:val="Hyperlink"/>
            <w:color w:val="404040" w:themeColor="text1" w:themeTint="BF"/>
            <w:u w:val="none"/>
          </w:rPr>
          <w:t>.</w:t>
        </w:r>
        <w:r w:rsidR="00B92C03" w:rsidRPr="003E248E">
          <w:rPr>
            <w:rStyle w:val="Hyperlink"/>
            <w:color w:val="404040" w:themeColor="text1" w:themeTint="BF"/>
            <w:u w:val="none"/>
          </w:rPr>
          <w:tab/>
          <w:t>CFP: ENGAGEMENTS RESTANT À LIQUIDER PAR ANNÉE D’ORIGINE</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_Toc491701255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2</w:t>
      </w:r>
    </w:p>
    <w:p w:rsidR="00B92C03" w:rsidRPr="003E248E" w:rsidRDefault="00915D0A" w:rsidP="003E248E">
      <w:pPr>
        <w:pStyle w:val="TOC2"/>
      </w:pPr>
      <w:hyperlink w:anchor="_Toc491701256"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6</w:t>
        </w:r>
        <w:r w:rsidR="00B92C03" w:rsidRPr="003E248E">
          <w:rPr>
            <w:rStyle w:val="Hyperlink"/>
            <w:color w:val="404040" w:themeColor="text1" w:themeTint="BF"/>
            <w:u w:val="none"/>
          </w:rPr>
          <w:t>.</w:t>
        </w:r>
        <w:r w:rsidR="00B92C03" w:rsidRPr="003E248E">
          <w:rPr>
            <w:rStyle w:val="Hyperlink"/>
            <w:color w:val="404040" w:themeColor="text1" w:themeTint="BF"/>
            <w:u w:val="none"/>
          </w:rPr>
          <w:tab/>
          <w:t>DOMAINE POLITIQUE: VENTILATION ET ÉVOLUTION DES CRÉDITS D’ENGAGEMENT ET DE PAIEMENT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_Toc491701256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w:t>
      </w:r>
    </w:p>
    <w:p w:rsidR="00B92C03" w:rsidRPr="003E248E" w:rsidRDefault="00915D0A" w:rsidP="003E248E">
      <w:pPr>
        <w:pStyle w:val="TOC2"/>
        <w:rPr>
          <w:rStyle w:val="Hyperlink"/>
          <w:color w:val="404040" w:themeColor="text1" w:themeTint="BF"/>
          <w:u w:val="none"/>
        </w:rPr>
      </w:pPr>
      <w:hyperlink w:anchor="_Toc491701257"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7</w:t>
        </w:r>
        <w:r w:rsidR="00B92C03" w:rsidRPr="003E248E">
          <w:rPr>
            <w:rStyle w:val="Hyperlink"/>
            <w:color w:val="404040" w:themeColor="text1" w:themeTint="BF"/>
            <w:u w:val="none"/>
          </w:rPr>
          <w:t>.</w:t>
        </w:r>
        <w:r w:rsidR="00B92C03" w:rsidRPr="003E248E">
          <w:rPr>
            <w:rStyle w:val="Hyperlink"/>
            <w:color w:val="404040" w:themeColor="text1" w:themeTint="BF"/>
            <w:u w:val="none"/>
          </w:rPr>
          <w:tab/>
          <w:t>DOMAINE POLITIQUE: EXÉCUTION DES CRÉDITS D’ENGAGEMENT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_Toc491701257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4</w:t>
      </w:r>
    </w:p>
    <w:p w:rsidR="00B92C03" w:rsidRPr="003E248E" w:rsidRDefault="00915D0A" w:rsidP="003E248E">
      <w:pPr>
        <w:pStyle w:val="TOC2"/>
        <w:rPr>
          <w:rStyle w:val="Hyperlink"/>
          <w:color w:val="404040" w:themeColor="text1" w:themeTint="BF"/>
          <w:u w:val="none"/>
        </w:rPr>
      </w:pPr>
      <w:hyperlink w:anchor="_Toc491701258"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8</w:t>
        </w:r>
        <w:r w:rsidR="00B92C03" w:rsidRPr="003E248E">
          <w:rPr>
            <w:rStyle w:val="Hyperlink"/>
            <w:color w:val="404040" w:themeColor="text1" w:themeTint="BF"/>
            <w:u w:val="none"/>
          </w:rPr>
          <w:t>.</w:t>
        </w:r>
        <w:r w:rsidR="00B92C03" w:rsidRPr="003E248E">
          <w:rPr>
            <w:rStyle w:val="Hyperlink"/>
            <w:color w:val="404040" w:themeColor="text1" w:themeTint="BF"/>
            <w:u w:val="none"/>
          </w:rPr>
          <w:tab/>
          <w:t>DOMAINE POLITIQUE: EXÉCUTION DES CRÉDITS DE PAIEMENT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_Toc491701258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5</w:t>
      </w:r>
    </w:p>
    <w:p w:rsidR="00B92C03" w:rsidRPr="003E248E" w:rsidRDefault="00915D0A" w:rsidP="003E248E">
      <w:pPr>
        <w:pStyle w:val="TOC2"/>
        <w:rPr>
          <w:rStyle w:val="Hyperlink"/>
          <w:color w:val="404040" w:themeColor="text1" w:themeTint="BF"/>
          <w:u w:val="none"/>
        </w:rPr>
      </w:pPr>
      <w:hyperlink w:anchor="_Toc491701259"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9</w:t>
        </w:r>
        <w:r w:rsidR="00B92C03" w:rsidRPr="003E248E">
          <w:rPr>
            <w:rStyle w:val="Hyperlink"/>
            <w:color w:val="404040" w:themeColor="text1" w:themeTint="BF"/>
            <w:u w:val="none"/>
          </w:rPr>
          <w:t>.</w:t>
        </w:r>
        <w:r w:rsidR="00B92C03" w:rsidRPr="003E248E">
          <w:rPr>
            <w:rStyle w:val="Hyperlink"/>
            <w:color w:val="404040" w:themeColor="text1" w:themeTint="BF"/>
            <w:u w:val="none"/>
          </w:rPr>
          <w:tab/>
          <w:t>DOMAINE POLITIQUE: ÉVOLUTION DES ENGAGEMENTS RESTANT À LIQUIDER (RAL)</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_Toc491701259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13</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6</w:t>
      </w:r>
    </w:p>
    <w:p w:rsidR="00B92C03" w:rsidRPr="003E248E" w:rsidRDefault="00915D0A" w:rsidP="003E248E">
      <w:pPr>
        <w:pStyle w:val="TOC2"/>
        <w:rPr>
          <w:rStyle w:val="Hyperlink"/>
          <w:color w:val="404040" w:themeColor="text1" w:themeTint="BF"/>
          <w:u w:val="none"/>
        </w:rPr>
      </w:pPr>
      <w:hyperlink w:anchor="_Toc491701260" w:history="1">
        <w:r w:rsidR="00B92C03" w:rsidRPr="00031A85">
          <w:rPr>
            <w:rStyle w:val="Hyperlink"/>
            <w:color w:val="404040" w:themeColor="text1" w:themeTint="BF"/>
            <w:u w:val="none"/>
          </w:rPr>
          <w:t>4</w:t>
        </w:r>
        <w:r w:rsidR="00B92C03" w:rsidRPr="003E248E">
          <w:rPr>
            <w:rStyle w:val="Hyperlink"/>
            <w:color w:val="404040" w:themeColor="text1" w:themeTint="BF"/>
            <w:u w:val="none"/>
          </w:rPr>
          <w:t>.</w:t>
        </w:r>
        <w:r w:rsidR="00B92C03" w:rsidRPr="00031A85">
          <w:rPr>
            <w:rStyle w:val="Hyperlink"/>
            <w:color w:val="404040" w:themeColor="text1" w:themeTint="BF"/>
            <w:u w:val="none"/>
          </w:rPr>
          <w:t>10</w:t>
        </w:r>
        <w:r w:rsidR="00B92C03" w:rsidRPr="003E248E">
          <w:rPr>
            <w:rStyle w:val="Hyperlink"/>
            <w:color w:val="404040" w:themeColor="text1" w:themeTint="BF"/>
            <w:u w:val="none"/>
          </w:rPr>
          <w:t>.</w:t>
        </w:r>
        <w:r w:rsidR="00B92C03" w:rsidRPr="003E248E">
          <w:rPr>
            <w:rStyle w:val="Hyperlink"/>
            <w:color w:val="404040" w:themeColor="text1" w:themeTint="BF"/>
            <w:u w:val="none"/>
          </w:rPr>
          <w:tab/>
          <w:t>DOMAINE POLITIQUE: ENGAGEMENTS RESTANT À LIQUIDER PAR ANNÉE D’ORIGINE</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_Toc491701260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37</w:t>
      </w:r>
    </w:p>
    <w:p w:rsidR="00B92C03" w:rsidRPr="00020BBB" w:rsidRDefault="00915D0A" w:rsidP="003E248E">
      <w:pPr>
        <w:pStyle w:val="TOC1"/>
        <w:rPr>
          <w:rStyle w:val="Hyperlink"/>
          <w:color w:val="31849B" w:themeColor="accent5" w:themeShade="BF"/>
          <w:u w:val="none"/>
          <w:lang w:val="fr-BE"/>
        </w:rPr>
      </w:pPr>
      <w:hyperlink w:anchor="_Toc491701261" w:history="1">
        <w:r w:rsidR="00B92C03" w:rsidRPr="00031A85">
          <w:rPr>
            <w:rStyle w:val="Hyperlink"/>
            <w:color w:val="31849B" w:themeColor="accent5" w:themeShade="BF"/>
            <w:u w:val="none"/>
            <w:lang w:val="fr-BE"/>
          </w:rPr>
          <w:t>5</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EXÉCUTION DU BUDGET PAR INSTITUTION</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_Toc491701261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38</w:t>
      </w:r>
    </w:p>
    <w:p w:rsidR="00B92C03" w:rsidRPr="003E248E" w:rsidRDefault="00915D0A" w:rsidP="003E248E">
      <w:pPr>
        <w:pStyle w:val="TOC2"/>
        <w:rPr>
          <w:rStyle w:val="Hyperlink"/>
          <w:color w:val="404040" w:themeColor="text1" w:themeTint="BF"/>
          <w:u w:val="none"/>
        </w:rPr>
      </w:pPr>
      <w:hyperlink w:anchor="_Toc491701262" w:history="1">
        <w:r w:rsidR="00B92C03" w:rsidRPr="00031A85">
          <w:rPr>
            <w:rStyle w:val="Hyperlink"/>
            <w:color w:val="404040" w:themeColor="text1" w:themeTint="BF"/>
            <w:u w:val="none"/>
          </w:rPr>
          <w:t>5</w:t>
        </w:r>
        <w:r w:rsidR="00B92C03" w:rsidRPr="003E248E">
          <w:rPr>
            <w:rStyle w:val="Hyperlink"/>
            <w:color w:val="404040" w:themeColor="text1" w:themeTint="BF"/>
            <w:u w:val="none"/>
          </w:rPr>
          <w:t>.</w:t>
        </w:r>
        <w:r w:rsidR="00B92C03" w:rsidRPr="00031A85">
          <w:rPr>
            <w:rStyle w:val="Hyperlink"/>
            <w:color w:val="404040" w:themeColor="text1" w:themeTint="BF"/>
            <w:u w:val="none"/>
          </w:rPr>
          <w:t>1</w:t>
        </w:r>
        <w:r w:rsidR="00B92C03" w:rsidRPr="003E248E">
          <w:rPr>
            <w:rStyle w:val="Hyperlink"/>
            <w:color w:val="404040" w:themeColor="text1" w:themeTint="BF"/>
            <w:u w:val="none"/>
          </w:rPr>
          <w:t>.</w:t>
        </w:r>
        <w:r w:rsidR="00B92C03" w:rsidRPr="003E248E">
          <w:rPr>
            <w:rStyle w:val="Hyperlink"/>
            <w:color w:val="404040" w:themeColor="text1" w:themeTint="BF"/>
            <w:u w:val="none"/>
          </w:rPr>
          <w:tab/>
          <w:t>EXÉCUTION DU BUDGET EN RECETTES</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_Toc491701262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38</w:t>
      </w:r>
    </w:p>
    <w:p w:rsidR="00B92C03" w:rsidRPr="003E248E" w:rsidRDefault="00915D0A" w:rsidP="003E248E">
      <w:pPr>
        <w:pStyle w:val="TOC2"/>
        <w:rPr>
          <w:rStyle w:val="Hyperlink"/>
          <w:color w:val="404040" w:themeColor="text1" w:themeTint="BF"/>
          <w:u w:val="none"/>
        </w:rPr>
      </w:pPr>
      <w:hyperlink w:anchor="_Toc491701263" w:history="1">
        <w:r w:rsidR="00B92C03" w:rsidRPr="00031A85">
          <w:rPr>
            <w:rStyle w:val="Hyperlink"/>
            <w:color w:val="404040" w:themeColor="text1" w:themeTint="BF"/>
            <w:u w:val="none"/>
          </w:rPr>
          <w:t>5</w:t>
        </w:r>
        <w:r w:rsidR="00B92C03" w:rsidRPr="003E248E">
          <w:rPr>
            <w:rStyle w:val="Hyperlink"/>
            <w:color w:val="404040" w:themeColor="text1" w:themeTint="BF"/>
            <w:u w:val="none"/>
          </w:rPr>
          <w:t>.</w:t>
        </w:r>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3E248E">
          <w:rPr>
            <w:rStyle w:val="Hyperlink"/>
            <w:color w:val="404040" w:themeColor="text1" w:themeTint="BF"/>
            <w:u w:val="none"/>
          </w:rPr>
          <w:tab/>
          <w:t>EXÉCUTION DES CRÉDITS D’ENGAGEMENT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_Toc491701263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39</w:t>
      </w:r>
    </w:p>
    <w:p w:rsidR="00B92C03" w:rsidRPr="003E248E" w:rsidRDefault="00915D0A" w:rsidP="003E248E">
      <w:pPr>
        <w:pStyle w:val="TOC2"/>
      </w:pPr>
      <w:hyperlink w:anchor="_Toc491701264" w:history="1">
        <w:r w:rsidR="00B92C03" w:rsidRPr="00031A85">
          <w:rPr>
            <w:rStyle w:val="Hyperlink"/>
            <w:color w:val="404040" w:themeColor="text1" w:themeTint="BF"/>
            <w:u w:val="none"/>
          </w:rPr>
          <w:t>5</w:t>
        </w:r>
        <w:r w:rsidR="00B92C03" w:rsidRPr="003E248E">
          <w:rPr>
            <w:rStyle w:val="Hyperlink"/>
            <w:color w:val="404040" w:themeColor="text1" w:themeTint="BF"/>
            <w:u w:val="none"/>
          </w:rPr>
          <w:t>.</w:t>
        </w:r>
        <w:r w:rsidR="00B92C03" w:rsidRPr="00031A85">
          <w:rPr>
            <w:rStyle w:val="Hyperlink"/>
            <w:color w:val="404040" w:themeColor="text1" w:themeTint="BF"/>
            <w:u w:val="none"/>
          </w:rPr>
          <w:t>3</w:t>
        </w:r>
        <w:r w:rsidR="00B92C03" w:rsidRPr="003E248E">
          <w:rPr>
            <w:rStyle w:val="Hyperlink"/>
            <w:color w:val="404040" w:themeColor="text1" w:themeTint="BF"/>
            <w:u w:val="none"/>
          </w:rPr>
          <w:t>.</w:t>
        </w:r>
        <w:r w:rsidR="00B92C03" w:rsidRPr="003E248E">
          <w:rPr>
            <w:rStyle w:val="Hyperlink"/>
            <w:color w:val="404040" w:themeColor="text1" w:themeTint="BF"/>
            <w:u w:val="none"/>
          </w:rPr>
          <w:tab/>
          <w:t>EXÉCUTION DES CRÉDITS DE PAIEMENT</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_Toc491701264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14</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0</w:t>
      </w:r>
    </w:p>
    <w:p w:rsidR="00B92C03" w:rsidRPr="00020BBB" w:rsidRDefault="00915D0A" w:rsidP="003E248E">
      <w:pPr>
        <w:pStyle w:val="TOC1"/>
        <w:rPr>
          <w:rStyle w:val="Hyperlink"/>
          <w:color w:val="31849B" w:themeColor="accent5" w:themeShade="BF"/>
          <w:u w:val="none"/>
          <w:lang w:val="fr-BE"/>
        </w:rPr>
      </w:pPr>
      <w:hyperlink w:anchor="_Toc491701265" w:history="1">
        <w:r w:rsidR="00B92C03" w:rsidRPr="00031A85">
          <w:rPr>
            <w:rStyle w:val="Hyperlink"/>
            <w:color w:val="31849B" w:themeColor="accent5" w:themeShade="BF"/>
            <w:u w:val="none"/>
            <w:lang w:val="fr-BE"/>
          </w:rPr>
          <w:t>6</w:t>
        </w:r>
        <w:r w:rsidR="00B92C03" w:rsidRPr="00020BBB">
          <w:rPr>
            <w:rStyle w:val="Hyperlink"/>
            <w:color w:val="31849B" w:themeColor="accent5" w:themeShade="BF"/>
            <w:u w:val="none"/>
            <w:lang w:val="fr-BE"/>
          </w:rPr>
          <w:t>.</w:t>
        </w:r>
        <w:r w:rsidR="00B92C03" w:rsidRPr="00020BBB">
          <w:rPr>
            <w:rStyle w:val="Hyperlink"/>
            <w:color w:val="31849B" w:themeColor="accent5" w:themeShade="BF"/>
            <w:u w:val="none"/>
            <w:lang w:val="fr-BE"/>
          </w:rPr>
          <w:tab/>
          <w:t>EXÉCUTION DU BUDGET DES AGENCES</w:t>
        </w:r>
        <w:r w:rsidR="00B92C03" w:rsidRPr="00020BBB">
          <w:rPr>
            <w:rStyle w:val="Hyperlink"/>
            <w:webHidden/>
            <w:color w:val="31849B" w:themeColor="accent5" w:themeShade="BF"/>
            <w:u w:val="none"/>
            <w:lang w:val="fr-BE"/>
          </w:rPr>
          <w:tab/>
        </w:r>
        <w:r w:rsidR="00B92C03" w:rsidRPr="003E248E">
          <w:rPr>
            <w:rStyle w:val="Hyperlink"/>
            <w:webHidden/>
            <w:color w:val="31849B" w:themeColor="accent5" w:themeShade="BF"/>
            <w:u w:val="none"/>
          </w:rPr>
          <w:fldChar w:fldCharType="begin"/>
        </w:r>
        <w:r w:rsidR="00B92C03" w:rsidRPr="00020BBB">
          <w:rPr>
            <w:rStyle w:val="Hyperlink"/>
            <w:webHidden/>
            <w:color w:val="31849B" w:themeColor="accent5" w:themeShade="BF"/>
            <w:u w:val="none"/>
            <w:lang w:val="fr-BE"/>
          </w:rPr>
          <w:instrText xml:space="preserve"> PAGEREF _Toc491701265 \h </w:instrText>
        </w:r>
        <w:r w:rsidR="00B92C03" w:rsidRPr="003E248E">
          <w:rPr>
            <w:rStyle w:val="Hyperlink"/>
            <w:webHidden/>
            <w:color w:val="31849B" w:themeColor="accent5" w:themeShade="BF"/>
            <w:u w:val="none"/>
          </w:rPr>
        </w:r>
        <w:r w:rsidR="00B92C03" w:rsidRPr="003E248E">
          <w:rPr>
            <w:rStyle w:val="Hyperlink"/>
            <w:webHidden/>
            <w:color w:val="31849B" w:themeColor="accent5" w:themeShade="BF"/>
            <w:u w:val="none"/>
          </w:rPr>
          <w:fldChar w:fldCharType="separate"/>
        </w:r>
        <w:r w:rsidR="00B92C03" w:rsidRPr="00031A85">
          <w:rPr>
            <w:rStyle w:val="Hyperlink"/>
            <w:webHidden/>
            <w:color w:val="31849B" w:themeColor="accent5" w:themeShade="BF"/>
            <w:u w:val="none"/>
            <w:lang w:val="fr-BE"/>
          </w:rPr>
          <w:t>1</w:t>
        </w:r>
        <w:r w:rsidR="00B92C03" w:rsidRPr="003E248E">
          <w:rPr>
            <w:rStyle w:val="Hyperlink"/>
            <w:webHidden/>
            <w:color w:val="31849B" w:themeColor="accent5" w:themeShade="BF"/>
            <w:u w:val="none"/>
          </w:rPr>
          <w:fldChar w:fldCharType="end"/>
        </w:r>
      </w:hyperlink>
      <w:r w:rsidR="00020BBB" w:rsidRPr="00031A85">
        <w:rPr>
          <w:rStyle w:val="Hyperlink"/>
          <w:color w:val="31849B" w:themeColor="accent5" w:themeShade="BF"/>
          <w:u w:val="none"/>
          <w:lang w:val="fr-BE"/>
        </w:rPr>
        <w:t>41</w:t>
      </w:r>
    </w:p>
    <w:p w:rsidR="00B92C03" w:rsidRPr="003E248E" w:rsidRDefault="00915D0A" w:rsidP="003E248E">
      <w:pPr>
        <w:pStyle w:val="TOC2"/>
        <w:rPr>
          <w:rStyle w:val="Hyperlink"/>
          <w:color w:val="404040" w:themeColor="text1" w:themeTint="BF"/>
          <w:u w:val="none"/>
        </w:rPr>
      </w:pPr>
      <w:hyperlink w:anchor="_Toc491701266" w:history="1">
        <w:r w:rsidR="00B92C03" w:rsidRPr="00031A85">
          <w:rPr>
            <w:rStyle w:val="Hyperlink"/>
            <w:color w:val="404040" w:themeColor="text1" w:themeTint="BF"/>
            <w:u w:val="none"/>
          </w:rPr>
          <w:t>6</w:t>
        </w:r>
        <w:r w:rsidR="00B92C03" w:rsidRPr="003E248E">
          <w:rPr>
            <w:rStyle w:val="Hyperlink"/>
            <w:color w:val="404040" w:themeColor="text1" w:themeTint="BF"/>
            <w:u w:val="none"/>
          </w:rPr>
          <w:t>.</w:t>
        </w:r>
        <w:r w:rsidR="00B92C03" w:rsidRPr="00031A85">
          <w:rPr>
            <w:rStyle w:val="Hyperlink"/>
            <w:color w:val="404040" w:themeColor="text1" w:themeTint="BF"/>
            <w:u w:val="none"/>
          </w:rPr>
          <w:t>1</w:t>
        </w:r>
        <w:r w:rsidR="00B92C03" w:rsidRPr="003E248E">
          <w:rPr>
            <w:rStyle w:val="Hyperlink"/>
            <w:color w:val="404040" w:themeColor="text1" w:themeTint="BF"/>
            <w:u w:val="none"/>
          </w:rPr>
          <w:t>.</w:t>
        </w:r>
        <w:r w:rsidR="00B92C03" w:rsidRPr="003E248E">
          <w:rPr>
            <w:rStyle w:val="Hyperlink"/>
            <w:color w:val="404040" w:themeColor="text1" w:themeTint="BF"/>
            <w:u w:val="none"/>
          </w:rPr>
          <w:tab/>
          <w:t>RECETTES BUDGÉTAIRES</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_Toc491701266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41</w:t>
      </w:r>
    </w:p>
    <w:p w:rsidR="003A02A6" w:rsidRPr="003E248E" w:rsidRDefault="00915D0A" w:rsidP="003E248E">
      <w:pPr>
        <w:pStyle w:val="TOC2"/>
        <w:rPr>
          <w:rFonts w:asciiTheme="minorHAnsi" w:eastAsiaTheme="minorEastAsia" w:hAnsiTheme="minorHAnsi" w:cstheme="minorBidi"/>
          <w:szCs w:val="22"/>
        </w:rPr>
        <w:sectPr w:rsidR="003A02A6" w:rsidRPr="003E248E" w:rsidSect="00FB0C75">
          <w:headerReference w:type="even" r:id="rId499"/>
          <w:headerReference w:type="default" r:id="rId500"/>
          <w:footerReference w:type="even" r:id="rId501"/>
          <w:footerReference w:type="default" r:id="rId502"/>
          <w:headerReference w:type="first" r:id="rId503"/>
          <w:footerReference w:type="first" r:id="rId504"/>
          <w:pgSz w:w="11907" w:h="16840"/>
          <w:pgMar w:top="1134" w:right="1134" w:bottom="1134" w:left="1134" w:header="709" w:footer="709" w:gutter="0"/>
          <w:cols w:space="708"/>
          <w:docGrid w:linePitch="360"/>
        </w:sectPr>
      </w:pPr>
      <w:hyperlink w:anchor="_Toc491701267" w:history="1">
        <w:r w:rsidR="00B92C03" w:rsidRPr="00031A85">
          <w:rPr>
            <w:rStyle w:val="Hyperlink"/>
            <w:color w:val="404040" w:themeColor="text1" w:themeTint="BF"/>
            <w:u w:val="none"/>
          </w:rPr>
          <w:t>6</w:t>
        </w:r>
        <w:r w:rsidR="00B92C03" w:rsidRPr="003E248E">
          <w:rPr>
            <w:rStyle w:val="Hyperlink"/>
            <w:color w:val="404040" w:themeColor="text1" w:themeTint="BF"/>
            <w:u w:val="none"/>
          </w:rPr>
          <w:t>.</w:t>
        </w:r>
        <w:r w:rsidR="00B92C03" w:rsidRPr="00031A85">
          <w:rPr>
            <w:rStyle w:val="Hyperlink"/>
            <w:color w:val="404040" w:themeColor="text1" w:themeTint="BF"/>
            <w:u w:val="none"/>
          </w:rPr>
          <w:t>2</w:t>
        </w:r>
        <w:r w:rsidR="00B92C03" w:rsidRPr="003E248E">
          <w:rPr>
            <w:rStyle w:val="Hyperlink"/>
            <w:color w:val="404040" w:themeColor="text1" w:themeTint="BF"/>
            <w:u w:val="none"/>
          </w:rPr>
          <w:t>.</w:t>
        </w:r>
        <w:r w:rsidR="00B92C03" w:rsidRPr="003E248E">
          <w:rPr>
            <w:rStyle w:val="Hyperlink"/>
            <w:color w:val="404040" w:themeColor="text1" w:themeTint="BF"/>
            <w:u w:val="none"/>
          </w:rPr>
          <w:tab/>
          <w:t>CRÉDITS D’ENGAGEMENT ET DE PAIEMENT PAR AGENCE</w:t>
        </w:r>
        <w:r w:rsidR="00B92C03" w:rsidRPr="003E248E">
          <w:rPr>
            <w:rStyle w:val="Hyperlink"/>
            <w:webHidden/>
            <w:color w:val="404040" w:themeColor="text1" w:themeTint="BF"/>
            <w:u w:val="none"/>
          </w:rPr>
          <w:tab/>
        </w:r>
        <w:r w:rsidR="00B92C03" w:rsidRPr="003E248E">
          <w:rPr>
            <w:rStyle w:val="Hyperlink"/>
            <w:webHidden/>
            <w:color w:val="404040" w:themeColor="text1" w:themeTint="BF"/>
            <w:u w:val="none"/>
          </w:rPr>
          <w:fldChar w:fldCharType="begin"/>
        </w:r>
        <w:r w:rsidR="00B92C03" w:rsidRPr="003E248E">
          <w:rPr>
            <w:rStyle w:val="Hyperlink"/>
            <w:webHidden/>
            <w:color w:val="404040" w:themeColor="text1" w:themeTint="BF"/>
            <w:u w:val="none"/>
          </w:rPr>
          <w:instrText xml:space="preserve"> PAGEREF _Toc491701267 \h </w:instrText>
        </w:r>
        <w:r w:rsidR="00B92C03" w:rsidRPr="003E248E">
          <w:rPr>
            <w:rStyle w:val="Hyperlink"/>
            <w:webHidden/>
            <w:color w:val="404040" w:themeColor="text1" w:themeTint="BF"/>
            <w:u w:val="none"/>
          </w:rPr>
        </w:r>
        <w:r w:rsidR="00B92C03" w:rsidRPr="003E248E">
          <w:rPr>
            <w:rStyle w:val="Hyperlink"/>
            <w:webHidden/>
            <w:color w:val="404040" w:themeColor="text1" w:themeTint="BF"/>
            <w:u w:val="none"/>
          </w:rPr>
          <w:fldChar w:fldCharType="separate"/>
        </w:r>
        <w:r w:rsidR="00B92C03" w:rsidRPr="00031A85">
          <w:rPr>
            <w:rStyle w:val="Hyperlink"/>
            <w:webHidden/>
            <w:color w:val="404040" w:themeColor="text1" w:themeTint="BF"/>
            <w:u w:val="none"/>
          </w:rPr>
          <w:t>14</w:t>
        </w:r>
        <w:r w:rsidR="00B92C03" w:rsidRPr="003E248E">
          <w:rPr>
            <w:rStyle w:val="Hyperlink"/>
            <w:webHidden/>
            <w:color w:val="404040" w:themeColor="text1" w:themeTint="BF"/>
            <w:u w:val="none"/>
          </w:rPr>
          <w:fldChar w:fldCharType="end"/>
        </w:r>
      </w:hyperlink>
      <w:r w:rsidR="00020BBB" w:rsidRPr="00031A85">
        <w:rPr>
          <w:rStyle w:val="Hyperlink"/>
          <w:color w:val="404040" w:themeColor="text1" w:themeTint="BF"/>
          <w:u w:val="none"/>
        </w:rPr>
        <w:t>3</w:t>
      </w:r>
    </w:p>
    <w:p w:rsidR="00FB0C75" w:rsidRPr="00FA63DF" w:rsidRDefault="00525E53" w:rsidP="00FB0C75">
      <w:pPr>
        <w:pStyle w:val="HEADERTITLE2"/>
        <w:rPr>
          <w:rFonts w:eastAsiaTheme="minorHAnsi"/>
        </w:rPr>
      </w:pPr>
      <w:bookmarkStart w:id="623" w:name="_Toc485391772"/>
      <w:bookmarkStart w:id="624" w:name="_Toc491681438"/>
      <w:bookmarkStart w:id="625" w:name="_DMBM_10643"/>
      <w:r>
        <w:t>RÉSULTAT DE L’EXÉCUTION DU BUDGET DE L’UE</w:t>
      </w:r>
      <w:bookmarkEnd w:id="623"/>
      <w:bookmarkEnd w:id="624"/>
    </w:p>
    <w:p w:rsidR="00FB0C75" w:rsidRDefault="00FB0C75" w:rsidP="00FB0C75">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2015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Recettes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144</w:t>
            </w:r>
            <w:r>
              <w:rPr>
                <w:i w:val="0"/>
              </w:rPr>
              <w:t xml:space="preserve"> </w:t>
            </w:r>
            <w:r w:rsidRPr="00031A85">
              <w:rPr>
                <w:i w:val="0"/>
              </w:rPr>
              <w:t>717</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146</w:t>
            </w:r>
            <w:r>
              <w:rPr>
                <w:i w:val="0"/>
              </w:rPr>
              <w:t xml:space="preserve"> </w:t>
            </w:r>
            <w:r w:rsidRPr="00031A85">
              <w:rPr>
                <w:i w:val="0"/>
              </w:rPr>
              <w:t>624</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Paiements sur crédits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w:t>
            </w:r>
            <w:r w:rsidRPr="00031A85">
              <w:rPr>
                <w:i w:val="0"/>
              </w:rPr>
              <w:t>135</w:t>
            </w:r>
            <w:r>
              <w:rPr>
                <w:i w:val="0"/>
              </w:rPr>
              <w:t xml:space="preserve"> </w:t>
            </w:r>
            <w:r w:rsidRPr="00031A85">
              <w:rPr>
                <w:i w:val="0"/>
              </w:rPr>
              <w:t>180</w:t>
            </w:r>
            <w:r>
              <w:rPr>
                <w:i w:val="0"/>
              </w:rP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w:t>
            </w:r>
            <w:r w:rsidRPr="00031A85">
              <w:rPr>
                <w:i w:val="0"/>
              </w:rPr>
              <w:t>143</w:t>
            </w:r>
            <w:r>
              <w:rPr>
                <w:i w:val="0"/>
              </w:rPr>
              <w:t xml:space="preserve"> </w:t>
            </w:r>
            <w:r w:rsidRPr="00031A85">
              <w:rPr>
                <w:i w:val="0"/>
              </w:rPr>
              <w:t>485</w:t>
            </w:r>
            <w:r>
              <w:rPr>
                <w:i w:val="0"/>
              </w:rP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Crédits de paiement reportés à l’exercice N+</w:t>
            </w:r>
            <w:r w:rsidRPr="00031A85">
              <w:rPr>
                <w:i w:val="0"/>
              </w:rPr>
              <w:t>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w:t>
            </w:r>
            <w:r w:rsidRPr="00031A85">
              <w:rPr>
                <w:i w:val="0"/>
              </w:rPr>
              <w:t>1</w:t>
            </w:r>
            <w:r>
              <w:rPr>
                <w:i w:val="0"/>
              </w:rPr>
              <w:t xml:space="preserve"> </w:t>
            </w:r>
            <w:r w:rsidRPr="00031A85">
              <w:rPr>
                <w:i w:val="0"/>
              </w:rPr>
              <w:t>655</w:t>
            </w:r>
            <w:r>
              <w:rPr>
                <w:i w:val="0"/>
              </w:rP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w:t>
            </w:r>
            <w:r w:rsidRPr="00031A85">
              <w:rPr>
                <w:i w:val="0"/>
              </w:rPr>
              <w:t>1</w:t>
            </w:r>
            <w:r>
              <w:rPr>
                <w:i w:val="0"/>
              </w:rPr>
              <w:t xml:space="preserve"> </w:t>
            </w:r>
            <w:r w:rsidRPr="00031A85">
              <w:rPr>
                <w:i w:val="0"/>
              </w:rPr>
              <w:t>299</w:t>
            </w:r>
            <w:r>
              <w:rPr>
                <w:i w:val="0"/>
              </w:rP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Annulation de crédits inutilisés reportés de l’exercice N-</w:t>
            </w:r>
            <w:r w:rsidRPr="00031A85">
              <w:rPr>
                <w:i w:val="0"/>
              </w:rPr>
              <w:t>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29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Évolution des recettes affectées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w:t>
            </w:r>
            <w:r w:rsidRPr="00031A85">
              <w:rPr>
                <w:i w:val="0"/>
              </w:rPr>
              <w:t>1</w:t>
            </w:r>
            <w:r>
              <w:rPr>
                <w:i w:val="0"/>
              </w:rPr>
              <w:t xml:space="preserve"> </w:t>
            </w:r>
            <w:r w:rsidRPr="00031A85">
              <w:rPr>
                <w:i w:val="0"/>
              </w:rPr>
              <w:t>367</w:t>
            </w:r>
            <w:r>
              <w:rPr>
                <w:i w:val="0"/>
              </w:rP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704</w:t>
            </w:r>
            <w:r>
              <w:rPr>
                <w:i w:val="0"/>
              </w:rP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Différences de change de l’exercice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173</w:t>
            </w:r>
            <w:r>
              <w:rPr>
                <w:i w:val="0"/>
              </w:rP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182</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Résultat de l’exécution du budget*</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6</w:t>
            </w:r>
            <w:r>
              <w:t xml:space="preserve"> </w:t>
            </w:r>
            <w:r w:rsidRPr="00031A85">
              <w:t>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 xml:space="preserve"> </w:t>
            </w:r>
            <w:r w:rsidRPr="00031A85">
              <w:t>347</w:t>
            </w:r>
          </w:p>
        </w:tc>
      </w:tr>
    </w:tbl>
    <w:p w:rsidR="00FB0C75" w:rsidRDefault="00525E53" w:rsidP="00FB0C75">
      <w:pPr>
        <w:pStyle w:val="Textstand-alone"/>
        <w:spacing w:before="60"/>
        <w:rPr>
          <w:i/>
          <w:sz w:val="14"/>
        </w:rPr>
      </w:pPr>
      <w:r>
        <w:rPr>
          <w:i/>
          <w:sz w:val="14"/>
        </w:rPr>
        <w:t xml:space="preserve">* Y compris le résultat des pays AELE, soit </w:t>
      </w:r>
      <w:r w:rsidRPr="00031A85">
        <w:rPr>
          <w:i/>
          <w:sz w:val="14"/>
        </w:rPr>
        <w:t>0</w:t>
      </w:r>
      <w:r>
        <w:rPr>
          <w:i/>
          <w:sz w:val="14"/>
        </w:rPr>
        <w:t xml:space="preserve"> million d’EUR en </w:t>
      </w:r>
      <w:r w:rsidRPr="00031A85">
        <w:rPr>
          <w:i/>
          <w:sz w:val="14"/>
        </w:rPr>
        <w:t>2016</w:t>
      </w:r>
      <w:r>
        <w:rPr>
          <w:i/>
          <w:sz w:val="14"/>
        </w:rPr>
        <w:t xml:space="preserve"> et (</w:t>
      </w:r>
      <w:r w:rsidRPr="00031A85">
        <w:rPr>
          <w:i/>
          <w:sz w:val="14"/>
        </w:rPr>
        <w:t>2</w:t>
      </w:r>
      <w:r>
        <w:rPr>
          <w:i/>
          <w:sz w:val="14"/>
        </w:rPr>
        <w:t xml:space="preserve">) millions d’EUR en </w:t>
      </w:r>
      <w:r w:rsidRPr="00031A85">
        <w:rPr>
          <w:i/>
          <w:sz w:val="14"/>
        </w:rPr>
        <w:t>2015</w:t>
      </w:r>
      <w:r>
        <w:rPr>
          <w:i/>
          <w:sz w:val="14"/>
        </w:rPr>
        <w:t>.</w:t>
      </w:r>
    </w:p>
    <w:p w:rsidR="00FB0C75" w:rsidRPr="00E7091D" w:rsidRDefault="00525E53" w:rsidP="00FB0C75">
      <w:pPr>
        <w:pStyle w:val="Textstand-alone"/>
        <w:spacing w:before="60"/>
        <w:rPr>
          <w:i/>
          <w:sz w:val="14"/>
        </w:rPr>
        <w:sectPr w:rsidR="00FB0C75" w:rsidRPr="00E7091D" w:rsidSect="00FB0C75">
          <w:headerReference w:type="even" r:id="rId505"/>
          <w:headerReference w:type="default" r:id="rId506"/>
          <w:footerReference w:type="even" r:id="rId507"/>
          <w:footerReference w:type="default" r:id="rId508"/>
          <w:headerReference w:type="first" r:id="rId509"/>
          <w:footerReference w:type="first" r:id="rId510"/>
          <w:pgSz w:w="11907" w:h="16840"/>
          <w:pgMar w:top="1134" w:right="1134" w:bottom="1134" w:left="1134" w:header="709" w:footer="709" w:gutter="0"/>
          <w:cols w:space="708"/>
          <w:docGrid w:linePitch="360"/>
        </w:sectPr>
      </w:pPr>
      <w:r>
        <w:rPr>
          <w:i/>
          <w:sz w:val="14"/>
        </w:rPr>
        <w:t xml:space="preserve"> </w:t>
      </w:r>
      <w:bookmarkEnd w:id="625"/>
    </w:p>
    <w:p w:rsidR="00FB0C75" w:rsidRDefault="00525E53" w:rsidP="006859E1">
      <w:pPr>
        <w:pStyle w:val="HEADERTITLE2"/>
        <w:jc w:val="left"/>
      </w:pPr>
      <w:bookmarkStart w:id="626" w:name="_Toc485391773"/>
      <w:bookmarkStart w:id="627" w:name="_Toc491681439"/>
      <w:bookmarkStart w:id="628" w:name="_DMBM_10652"/>
      <w:r>
        <w:t>COMPARAISONS ENTRE LES PRÉVISIONS BUDGÉTAIRES ET LES DONNÉES EFFECTIVES</w:t>
      </w:r>
      <w:bookmarkEnd w:id="626"/>
      <w:bookmarkEnd w:id="627"/>
    </w:p>
    <w:p w:rsidR="00FB0C75" w:rsidRPr="00663D94" w:rsidRDefault="00525E53" w:rsidP="00766E7F">
      <w:pPr>
        <w:pStyle w:val="HEADER2Part40"/>
        <w:ind w:left="0"/>
      </w:pPr>
      <w:r>
        <w:t>RECETTES BUDGÉTAIRES</w:t>
      </w:r>
    </w:p>
    <w:p w:rsidR="00FB0C75" w:rsidRDefault="00FB0C75" w:rsidP="00FB0C75">
      <w:pPr>
        <w:autoSpaceDE w:val="0"/>
        <w:autoSpaceDN w:val="0"/>
        <w:adjustRightInd w:val="0"/>
        <w:spacing w:line="238" w:lineRule="auto"/>
        <w:ind w:right="-35"/>
        <w:rPr>
          <w:rFonts w:ascii="Verdana" w:hAnsi="Verdana"/>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autoSpaceDE w:val="0"/>
              <w:autoSpaceDN w:val="0"/>
              <w:adjustRightInd w:val="0"/>
              <w:ind w:right="-35"/>
              <w:rPr>
                <w:rFonts w:eastAsia="Verdana" w:cs="Verdana"/>
                <w:color w:val="FFFFFF"/>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autoSpaceDE w:val="0"/>
              <w:autoSpaceDN w:val="0"/>
              <w:adjustRightInd w:val="0"/>
              <w:ind w:right="-35"/>
              <w:rPr>
                <w:rFonts w:eastAsia="Verdana" w:cs="Verdana"/>
                <w:szCs w:val="16"/>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autoSpaceDE w:val="0"/>
              <w:autoSpaceDN w:val="0"/>
              <w:adjustRightInd w:val="0"/>
              <w:ind w:right="-35"/>
              <w:jc w:val="center"/>
              <w:rPr>
                <w:rFonts w:eastAsia="Verdana" w:cs="Verdana"/>
                <w:szCs w:val="16"/>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Droits constatés</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Recettes</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Ressources propres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142</w:t>
            </w:r>
            <w:r>
              <w:t xml:space="preserve"> </w:t>
            </w:r>
            <w:r w:rsidRPr="00031A85">
              <w:t>269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133</w:t>
            </w:r>
            <w:r>
              <w:t xml:space="preserve"> </w:t>
            </w:r>
            <w:r w:rsidRPr="00031A85">
              <w:t>677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132</w:t>
            </w:r>
            <w:r>
              <w:t xml:space="preserve"> </w:t>
            </w:r>
            <w:r w:rsidRPr="00031A85">
              <w:t>192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132</w:t>
            </w:r>
            <w:r>
              <w:t xml:space="preserve"> </w:t>
            </w:r>
            <w:r w:rsidRPr="00031A85">
              <w:t>166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11</w:t>
            </w:r>
            <w:r>
              <w:t>-Cotisations «sucre»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125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133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133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133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12</w:t>
            </w:r>
            <w:r>
              <w:t>-Droits de douane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18</w:t>
            </w:r>
            <w:r>
              <w:t xml:space="preserve"> </w:t>
            </w:r>
            <w:r w:rsidRPr="00031A85">
              <w:t>465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20</w:t>
            </w:r>
            <w:r>
              <w:t xml:space="preserve"> </w:t>
            </w:r>
            <w:r w:rsidRPr="00031A85">
              <w:t>115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19</w:t>
            </w:r>
            <w:r>
              <w:t xml:space="preserve"> </w:t>
            </w:r>
            <w:r w:rsidRPr="00031A85">
              <w:t>987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19</w:t>
            </w:r>
            <w:r>
              <w:t xml:space="preserve"> </w:t>
            </w:r>
            <w:r w:rsidRPr="00031A85">
              <w:t>961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13</w:t>
            </w:r>
            <w:r>
              <w:t>-TVA</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18</w:t>
            </w:r>
            <w:r>
              <w:t xml:space="preserve"> </w:t>
            </w:r>
            <w:r w:rsidRPr="00031A85">
              <w:t>813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16</w:t>
            </w:r>
            <w:r>
              <w:t xml:space="preserve"> </w:t>
            </w:r>
            <w:r w:rsidRPr="00031A85">
              <w:t>279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15</w:t>
            </w:r>
            <w:r>
              <w:t xml:space="preserve"> </w:t>
            </w:r>
            <w:r w:rsidRPr="00031A85">
              <w:t>935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15</w:t>
            </w:r>
            <w:r>
              <w:t xml:space="preserve"> </w:t>
            </w:r>
            <w:r w:rsidRPr="00031A85">
              <w:t>935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14</w:t>
            </w:r>
            <w:r>
              <w:t>-RNB</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104</w:t>
            </w:r>
            <w:r>
              <w:t xml:space="preserve"> </w:t>
            </w:r>
            <w:r w:rsidRPr="00031A85">
              <w:t>866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97</w:t>
            </w:r>
            <w:r>
              <w:t xml:space="preserve"> </w:t>
            </w:r>
            <w:r w:rsidRPr="00031A85">
              <w:t>149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95</w:t>
            </w:r>
            <w:r>
              <w:t xml:space="preserve"> </w:t>
            </w:r>
            <w:r w:rsidRPr="00031A85">
              <w:t>578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rsidRPr="00031A85">
              <w:t>95</w:t>
            </w:r>
            <w:r>
              <w:t xml:space="preserve"> </w:t>
            </w:r>
            <w:r w:rsidRPr="00031A85">
              <w:t>578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15</w:t>
            </w:r>
            <w:r>
              <w:t>-Correction des déséquilibres budgétaires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580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580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rsidRPr="00031A85">
              <w:t>16</w:t>
            </w:r>
            <w:r>
              <w:t>-Réduction des contributions RNB des Pays-Bas et de la Suède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22</w:t>
            </w: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w:t>
            </w:r>
            <w:r w:rsidRPr="00031A85">
              <w:t>22</w:t>
            </w: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Excédents, soldes et ajustements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349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358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Recettes provenant des personnes liées aux institutions et autres organismes de l’Union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348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348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459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1</w:t>
            </w:r>
            <w:r>
              <w:t xml:space="preserve"> </w:t>
            </w:r>
            <w:r w:rsidRPr="00031A85">
              <w:t>452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Recettes provenant du fonctionnement administratif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55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55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600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579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Contributions et restitutions dans le cadre des accords et programmes de l’Union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6</w:t>
            </w:r>
            <w:r>
              <w:t xml:space="preserve"> </w:t>
            </w:r>
            <w:r w:rsidRPr="00031A85">
              <w:t>204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5</w:t>
            </w:r>
            <w:r>
              <w:t xml:space="preserve"> </w:t>
            </w:r>
            <w:r w:rsidRPr="00031A85">
              <w:t>928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Intérêts de retard et amendes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123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123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9</w:t>
            </w:r>
            <w:r>
              <w:t xml:space="preserve"> </w:t>
            </w:r>
            <w:r w:rsidRPr="00031A85">
              <w:t>739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rsidRPr="00031A85">
              <w:t>3</w:t>
            </w:r>
            <w:r>
              <w:t xml:space="preserve"> </w:t>
            </w:r>
            <w:r w:rsidRPr="00031A85">
              <w:t>175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Opérations d’emprunt et de prêt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46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41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rsidRPr="00031A85">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Recettes diverses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25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27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w:t>
            </w:r>
            <w:r w:rsidRPr="00031A85">
              <w:t>17</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autoSpaceDE w:val="0"/>
              <w:autoSpaceDN w:val="0"/>
              <w:adjustRightInd w:val="0"/>
              <w:ind w:right="-35"/>
              <w:rPr>
                <w:rFonts w:eastAsia="Verdana" w:cs="Verdana"/>
                <w:szCs w:val="16"/>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rsidRPr="00031A85">
              <w:t>143</w:t>
            </w:r>
            <w:r>
              <w:t xml:space="preserve"> </w:t>
            </w:r>
            <w:r w:rsidRPr="00031A85">
              <w:t>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rsidRPr="00031A85">
              <w:t>136</w:t>
            </w:r>
            <w:r>
              <w:t xml:space="preserve"> </w:t>
            </w:r>
            <w:r w:rsidRPr="00031A85">
              <w:t>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rsidRPr="00031A85">
              <w:t>151</w:t>
            </w:r>
            <w:r>
              <w:t xml:space="preserve"> </w:t>
            </w:r>
            <w:r w:rsidRPr="00031A85">
              <w:t>624</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rsidRPr="00031A85">
              <w:t>144</w:t>
            </w:r>
            <w:r>
              <w:t xml:space="preserve"> </w:t>
            </w:r>
            <w:r w:rsidRPr="00031A85">
              <w:t>717</w:t>
            </w:r>
          </w:p>
        </w:tc>
      </w:tr>
    </w:tbl>
    <w:p w:rsidR="00FB0C75" w:rsidRDefault="00525E53" w:rsidP="00FB0C75">
      <w:pPr>
        <w:pStyle w:val="Textstand-alone"/>
        <w:spacing w:before="60"/>
      </w:pPr>
      <w:r>
        <w:rPr>
          <w:i/>
          <w:sz w:val="14"/>
        </w:rPr>
        <w:t xml:space="preserve">* Pour de plus amples précisions sur l’exécution des recettes de </w:t>
      </w:r>
      <w:r w:rsidRPr="00031A85">
        <w:rPr>
          <w:i/>
          <w:sz w:val="14"/>
        </w:rPr>
        <w:t>2016</w:t>
      </w:r>
      <w:r>
        <w:rPr>
          <w:i/>
          <w:sz w:val="14"/>
        </w:rPr>
        <w:t>, voir la note </w:t>
      </w:r>
      <w:r w:rsidRPr="00031A85">
        <w:rPr>
          <w:b/>
          <w:i/>
          <w:sz w:val="14"/>
        </w:rPr>
        <w:t>3</w:t>
      </w:r>
      <w:r>
        <w:rPr>
          <w:i/>
          <w:sz w:val="14"/>
        </w:rPr>
        <w:t xml:space="preserve"> et, pour des explications, voir la note </w:t>
      </w:r>
      <w:r w:rsidRPr="00031A85">
        <w:rPr>
          <w:b/>
          <w:i/>
          <w:sz w:val="14"/>
        </w:rPr>
        <w:t>2</w:t>
      </w:r>
      <w:r>
        <w:rPr>
          <w:b/>
          <w:i/>
          <w:sz w:val="14"/>
        </w:rPr>
        <w:t>.</w:t>
      </w:r>
      <w:r w:rsidRPr="00031A85">
        <w:rPr>
          <w:b/>
          <w:i/>
          <w:sz w:val="14"/>
        </w:rPr>
        <w:t>1</w:t>
      </w:r>
      <w:r>
        <w:rPr>
          <w:i/>
          <w:sz w:val="14"/>
        </w:rPr>
        <w:t>.</w:t>
      </w:r>
    </w:p>
    <w:bookmarkEnd w:id="628"/>
    <w:p w:rsidR="00FB0C75" w:rsidRPr="0088630F" w:rsidRDefault="00FB0C75" w:rsidP="00FB0C75">
      <w:pPr>
        <w:pStyle w:val="Textstand-alone"/>
        <w:spacing w:before="60"/>
        <w:rPr>
          <w:i/>
          <w:sz w:val="14"/>
        </w:rPr>
        <w:sectPr w:rsidR="00FB0C75" w:rsidRPr="0088630F" w:rsidSect="00FB0C75">
          <w:headerReference w:type="even" r:id="rId511"/>
          <w:headerReference w:type="default" r:id="rId512"/>
          <w:footerReference w:type="even" r:id="rId513"/>
          <w:footerReference w:type="default" r:id="rId514"/>
          <w:headerReference w:type="first" r:id="rId515"/>
          <w:footerReference w:type="first" r:id="rId516"/>
          <w:pgSz w:w="11907" w:h="16840"/>
          <w:pgMar w:top="1134" w:right="1440" w:bottom="1134" w:left="1134" w:header="709" w:footer="709" w:gutter="0"/>
          <w:cols w:space="708"/>
          <w:docGrid w:linePitch="360"/>
        </w:sectPr>
      </w:pPr>
    </w:p>
    <w:p w:rsidR="00FB0C75" w:rsidRPr="001A603B" w:rsidRDefault="00525E53" w:rsidP="00766E7F">
      <w:pPr>
        <w:pStyle w:val="HEADER2Part40"/>
        <w:ind w:left="0"/>
      </w:pPr>
      <w:bookmarkStart w:id="629" w:name="_DMBM_10644"/>
      <w:r>
        <w:t>DÉPENSES BUDGÉTAIRES: ENGAGEMENTS PAR RUBRIQUE DU CADRE FINANCIER PLURIANNUEL (CFP)</w:t>
      </w:r>
    </w:p>
    <w:p w:rsidR="00FB0C75" w:rsidRDefault="00FB0C75" w:rsidP="00FB0C75">
      <w:pPr>
        <w:spacing w:before="10"/>
        <w:rPr>
          <w:rFonts w:ascii="Verdana" w:eastAsia="Verdana" w:hAnsi="Verdana" w:cs="Verdana"/>
          <w:i/>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8"/>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szCs w:val="8"/>
              </w:rPr>
            </w:pPr>
            <w:r>
              <w:t>Rubrique du CFP</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Total des crédits disponibles</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Engagements contractés</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1</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Croissance intelligente et inclusive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69</w:t>
            </w:r>
            <w:r>
              <w:t xml:space="preserve"> </w:t>
            </w:r>
            <w:r w:rsidRPr="00031A85">
              <w:t>841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69</w:t>
            </w:r>
            <w:r>
              <w:t xml:space="preserve"> </w:t>
            </w:r>
            <w:r w:rsidRPr="00031A85">
              <w:t>841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73</w:t>
            </w:r>
            <w:r>
              <w:t xml:space="preserve"> </w:t>
            </w:r>
            <w:r w:rsidRPr="00031A85">
              <w:t>039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71</w:t>
            </w:r>
            <w:r>
              <w:t xml:space="preserve"> </w:t>
            </w:r>
            <w:r w:rsidRPr="00031A85">
              <w:t>731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rsidRPr="00031A85">
              <w:t>1</w:t>
            </w:r>
            <w:r>
              <w:t>a: Compétitivité pour la croissance et l’emploi</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19</w:t>
            </w:r>
            <w:r>
              <w:t xml:space="preserve"> </w:t>
            </w:r>
            <w:r w:rsidRPr="00031A85">
              <w:t>010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19</w:t>
            </w:r>
            <w:r>
              <w:t xml:space="preserve"> </w:t>
            </w:r>
            <w:r w:rsidRPr="00031A85">
              <w:t>010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21</w:t>
            </w:r>
            <w:r>
              <w:t xml:space="preserve"> </w:t>
            </w:r>
            <w:r w:rsidRPr="00031A85">
              <w:t>569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20</w:t>
            </w:r>
            <w:r>
              <w:t xml:space="preserve"> </w:t>
            </w:r>
            <w:r w:rsidRPr="00031A85">
              <w:t>332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rsidRPr="00031A85">
              <w:t>1</w:t>
            </w:r>
            <w:r>
              <w:t>b: Cohésion économique, sociale et territoriale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50</w:t>
            </w:r>
            <w:r>
              <w:t xml:space="preserve"> </w:t>
            </w:r>
            <w:r w:rsidRPr="00031A85">
              <w:t>831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50</w:t>
            </w:r>
            <w:r>
              <w:t xml:space="preserve"> </w:t>
            </w:r>
            <w:r w:rsidRPr="00031A85">
              <w:t>831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51</w:t>
            </w:r>
            <w:r>
              <w:t xml:space="preserve"> </w:t>
            </w:r>
            <w:r w:rsidRPr="00031A85">
              <w:t>471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51</w:t>
            </w:r>
            <w:r>
              <w:t xml:space="preserve"> </w:t>
            </w:r>
            <w:r w:rsidRPr="00031A85">
              <w:t>400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2</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Croissance durable: ressources naturelles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62</w:t>
            </w:r>
            <w:r>
              <w:t xml:space="preserve"> </w:t>
            </w:r>
            <w:r w:rsidRPr="00031A85">
              <w:t>484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62</w:t>
            </w:r>
            <w:r>
              <w:t xml:space="preserve"> </w:t>
            </w:r>
            <w:r w:rsidRPr="00031A85">
              <w:t>470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66</w:t>
            </w:r>
            <w:r>
              <w:t xml:space="preserve"> </w:t>
            </w:r>
            <w:r w:rsidRPr="00031A85">
              <w:t>952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64</w:t>
            </w:r>
            <w:r>
              <w:t xml:space="preserve"> </w:t>
            </w:r>
            <w:r w:rsidRPr="00031A85">
              <w:t>547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dont: dépenses relatives au marché et paiements directs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42</w:t>
            </w:r>
            <w:r>
              <w:t xml:space="preserve"> </w:t>
            </w:r>
            <w:r w:rsidRPr="00031A85">
              <w:t>220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42</w:t>
            </w:r>
            <w:r>
              <w:t xml:space="preserve"> </w:t>
            </w:r>
            <w:r w:rsidRPr="00031A85">
              <w:t>218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46</w:t>
            </w:r>
            <w:r>
              <w:t xml:space="preserve"> </w:t>
            </w:r>
            <w:r w:rsidRPr="00031A85">
              <w:t>051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44</w:t>
            </w:r>
            <w:r>
              <w:t xml:space="preserve"> </w:t>
            </w:r>
            <w:r w:rsidRPr="00031A85">
              <w:t>285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3</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Sécurité et citoyenneté</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4</w:t>
            </w:r>
            <w:r>
              <w:t xml:space="preserve"> </w:t>
            </w:r>
            <w:r w:rsidRPr="00031A85">
              <w:t>052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4</w:t>
            </w:r>
            <w:r>
              <w:t xml:space="preserve"> </w:t>
            </w:r>
            <w:r w:rsidRPr="00031A85">
              <w:t>292</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4</w:t>
            </w:r>
            <w:r>
              <w:t xml:space="preserve"> </w:t>
            </w:r>
            <w:r w:rsidRPr="00031A85">
              <w:t>423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4</w:t>
            </w:r>
            <w:r>
              <w:t xml:space="preserve"> </w:t>
            </w:r>
            <w:r w:rsidRPr="00031A85">
              <w:t>336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4</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L'Europe dans le monde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9</w:t>
            </w:r>
            <w:r>
              <w:t xml:space="preserve"> </w:t>
            </w:r>
            <w:r w:rsidRPr="00031A85">
              <w:t>167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9</w:t>
            </w:r>
            <w:r>
              <w:t xml:space="preserve"> </w:t>
            </w:r>
            <w:r w:rsidRPr="00031A85">
              <w:t>377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12</w:t>
            </w:r>
            <w:r>
              <w:t xml:space="preserve"> </w:t>
            </w:r>
            <w:r w:rsidRPr="00031A85">
              <w:t>240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11</w:t>
            </w:r>
            <w:r>
              <w:t xml:space="preserve"> </w:t>
            </w:r>
            <w:r w:rsidRPr="00031A85">
              <w:t>278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5</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8</w:t>
            </w:r>
            <w:r>
              <w:t xml:space="preserve"> </w:t>
            </w:r>
            <w:r w:rsidRPr="00031A85">
              <w:t>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8</w:t>
            </w:r>
            <w:r>
              <w:t xml:space="preserve"> </w:t>
            </w:r>
            <w:r w:rsidRPr="00031A85">
              <w:t>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9</w:t>
            </w:r>
            <w:r>
              <w:t xml:space="preserve"> </w:t>
            </w:r>
            <w:r w:rsidRPr="00031A85">
              <w:t>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rsidRPr="00031A85">
              <w:t>9</w:t>
            </w:r>
            <w:r>
              <w:t xml:space="preserve"> </w:t>
            </w:r>
            <w:r w:rsidRPr="00031A85">
              <w:t>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dont: dépenses administratives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3</w:t>
            </w:r>
            <w:r>
              <w:t xml:space="preserve"> </w:t>
            </w:r>
            <w:r w:rsidRPr="00031A85">
              <w:t>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3</w:t>
            </w:r>
            <w:r>
              <w:t xml:space="preserve"> </w:t>
            </w:r>
            <w:r w:rsidRPr="00031A85">
              <w:t>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4</w:t>
            </w:r>
            <w:r>
              <w:t xml:space="preserve"> </w:t>
            </w:r>
            <w:r w:rsidRPr="00031A85">
              <w:t>121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rsidRPr="00031A85">
              <w:t>3</w:t>
            </w:r>
            <w:r>
              <w:t xml:space="preserve"> </w:t>
            </w:r>
            <w:r w:rsidRPr="00031A85">
              <w:t>979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6</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8</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 xml:space="preserve">Réserve négative et déficit reporté de l’exercice précédent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rsidRPr="00031A85">
              <w:t>9</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Instruments spéciaux</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w:t>
            </w:r>
            <w:r w:rsidRPr="00031A85">
              <w:t>525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w:t>
            </w:r>
            <w:r w:rsidRPr="00031A85">
              <w:t>346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w:t>
            </w:r>
            <w:r w:rsidRPr="00031A85">
              <w:t>395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w:t>
            </w:r>
            <w:r w:rsidRPr="00031A85">
              <w:t>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szCs w:val="8"/>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rsidRPr="00031A85">
              <w:t>155</w:t>
            </w:r>
            <w:r>
              <w:t xml:space="preserve"> </w:t>
            </w:r>
            <w:r w:rsidRPr="00031A85">
              <w:t>004</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rsidRPr="00031A85">
              <w:t>155</w:t>
            </w:r>
            <w:r>
              <w:t xml:space="preserve"> </w:t>
            </w:r>
            <w:r w:rsidRPr="00031A85">
              <w:t>277</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rsidRPr="00031A85">
              <w:t>166</w:t>
            </w:r>
            <w:r>
              <w:t xml:space="preserve"> </w:t>
            </w:r>
            <w:r w:rsidRPr="00031A85">
              <w:t>690</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rsidRPr="00031A85">
              <w:t>161</w:t>
            </w:r>
            <w:r>
              <w:t xml:space="preserve"> </w:t>
            </w:r>
            <w:r w:rsidRPr="00031A85">
              <w:t>310</w:t>
            </w:r>
          </w:p>
        </w:tc>
      </w:tr>
    </w:tbl>
    <w:p w:rsidR="00FB0C75" w:rsidRDefault="00FB0C75" w:rsidP="00FB0C75">
      <w:pPr>
        <w:spacing w:before="10"/>
        <w:rPr>
          <w:rFonts w:ascii="Verdana" w:eastAsia="Verdana" w:hAnsi="Verdana" w:cs="Verdana"/>
          <w:i/>
          <w:sz w:val="8"/>
          <w:szCs w:val="8"/>
        </w:rPr>
      </w:pPr>
    </w:p>
    <w:p w:rsidR="00FB0C75" w:rsidRDefault="00525E53" w:rsidP="00FB0C75">
      <w:pPr>
        <w:rPr>
          <w:rFonts w:ascii="Arial" w:eastAsia="Arial" w:hAnsi="Arial" w:cs="Arial"/>
          <w:sz w:val="12"/>
          <w:szCs w:val="12"/>
        </w:rPr>
      </w:pPr>
      <w:r>
        <w:br w:type="page"/>
      </w:r>
    </w:p>
    <w:p w:rsidR="00FB0C75" w:rsidRPr="001A603B" w:rsidRDefault="00525E53" w:rsidP="00766E7F">
      <w:pPr>
        <w:pStyle w:val="HEADER2Part40"/>
        <w:ind w:left="0"/>
      </w:pPr>
      <w:r>
        <w:t>DÉPENSES BUDGÉTAIRES: PAIEMENTS PAR RUBRIQUE DU CADRE FINANCIER PLURIANNUEL (CFP)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rPr>
            </w:pPr>
            <w:r>
              <w:t>Rubrique du CFP</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Budget initial adopté</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Budget définitif adopté</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Total des crédits</w:t>
            </w:r>
          </w:p>
          <w:p w:rsidR="00FB0C75" w:rsidRDefault="00525E53" w:rsidP="00FB0C75">
            <w:pPr>
              <w:pStyle w:val="Heading10pNormalCentered"/>
              <w:rPr>
                <w:rFonts w:eastAsia="Verdana" w:cs="Verdana"/>
              </w:rPr>
            </w:pPr>
            <w:r>
              <w:t xml:space="preserve"> disponibles</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Paiements exécutés</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1</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Croissance intelligente et inclusive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66</w:t>
            </w:r>
            <w:r>
              <w:t xml:space="preserve"> </w:t>
            </w:r>
            <w:r w:rsidRPr="00031A85">
              <w:t>263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59</w:t>
            </w:r>
            <w:r>
              <w:t xml:space="preserve"> </w:t>
            </w:r>
            <w:r w:rsidRPr="00031A85">
              <w:t>459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63</w:t>
            </w:r>
            <w:r>
              <w:t xml:space="preserve"> </w:t>
            </w:r>
            <w:r w:rsidRPr="00031A85">
              <w:t>618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56</w:t>
            </w:r>
            <w:r>
              <w:t xml:space="preserve"> </w:t>
            </w:r>
            <w:r w:rsidRPr="00031A85">
              <w:t>265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1</w:t>
            </w:r>
            <w:r>
              <w:t>a: Compétitivité pour la croissance et l’emploi</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17</w:t>
            </w:r>
            <w:r>
              <w:t xml:space="preserve"> </w:t>
            </w:r>
            <w:r w:rsidRPr="00031A85">
              <w:t>418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17</w:t>
            </w:r>
            <w:r>
              <w:t xml:space="preserve"> </w:t>
            </w:r>
            <w:r w:rsidRPr="00031A85">
              <w:t>406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20</w:t>
            </w:r>
            <w:r>
              <w:t xml:space="preserve"> </w:t>
            </w:r>
            <w:r w:rsidRPr="00031A85">
              <w:t>976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18</w:t>
            </w:r>
            <w:r>
              <w:t xml:space="preserve"> </w:t>
            </w:r>
            <w:r w:rsidRPr="00031A85">
              <w:t>461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rsidRPr="00031A85">
              <w:t>1</w:t>
            </w:r>
            <w:r>
              <w:t>b: Cohésion économique, sociale et territoriale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48</w:t>
            </w:r>
            <w:r>
              <w:t xml:space="preserve"> </w:t>
            </w:r>
            <w:r w:rsidRPr="00031A85">
              <w:t>844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42</w:t>
            </w:r>
            <w:r>
              <w:t xml:space="preserve"> </w:t>
            </w:r>
            <w:r w:rsidRPr="00031A85">
              <w:t>053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42</w:t>
            </w:r>
            <w:r>
              <w:t xml:space="preserve"> </w:t>
            </w:r>
            <w:r w:rsidRPr="00031A85">
              <w:t>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37</w:t>
            </w:r>
            <w:r>
              <w:t xml:space="preserve"> </w:t>
            </w:r>
            <w:r w:rsidRPr="00031A85">
              <w:t>804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2</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Croissance durable: ressources naturelles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55</w:t>
            </w:r>
            <w:r>
              <w:t xml:space="preserve"> </w:t>
            </w:r>
            <w:r w:rsidRPr="00031A85">
              <w:t>121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55</w:t>
            </w:r>
            <w:r>
              <w:t xml:space="preserve"> </w:t>
            </w:r>
            <w:r w:rsidRPr="00031A85">
              <w:t>214</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59</w:t>
            </w:r>
            <w:r>
              <w:t xml:space="preserve"> </w:t>
            </w:r>
            <w:r w:rsidRPr="00031A85">
              <w:t>464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57</w:t>
            </w:r>
            <w:r>
              <w:t xml:space="preserve"> </w:t>
            </w:r>
            <w:r w:rsidRPr="00031A85">
              <w:t>412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dont: dépenses relatives au marché et paiements directs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42</w:t>
            </w:r>
            <w:r>
              <w:t xml:space="preserve"> </w:t>
            </w:r>
            <w:r w:rsidRPr="00031A85">
              <w:t>212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42</w:t>
            </w:r>
            <w:r>
              <w:t xml:space="preserve"> </w:t>
            </w:r>
            <w:r w:rsidRPr="00031A85">
              <w:t>210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46</w:t>
            </w:r>
            <w:r>
              <w:t xml:space="preserve"> </w:t>
            </w:r>
            <w:r w:rsidRPr="00031A85">
              <w:t>057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44</w:t>
            </w:r>
            <w:r>
              <w:t xml:space="preserve"> </w:t>
            </w:r>
            <w:r w:rsidRPr="00031A85">
              <w:t>084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3</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Sécurité et citoyenneté</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3</w:t>
            </w:r>
            <w:r>
              <w:t xml:space="preserve"> </w:t>
            </w:r>
            <w:r w:rsidRPr="00031A85">
              <w:t>022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3</w:t>
            </w:r>
            <w:r>
              <w:t xml:space="preserve"> </w:t>
            </w:r>
            <w:r w:rsidRPr="00031A85">
              <w:t>069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3</w:t>
            </w:r>
            <w:r>
              <w:t xml:space="preserve"> </w:t>
            </w:r>
            <w:r w:rsidRPr="00031A85">
              <w:t>195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3</w:t>
            </w:r>
            <w:r>
              <w:t xml:space="preserve"> </w:t>
            </w:r>
            <w:r w:rsidRPr="00031A85">
              <w:t>077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4</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L'Europe dans le monde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10</w:t>
            </w:r>
            <w:r>
              <w:t xml:space="preserve"> </w:t>
            </w:r>
            <w:r w:rsidRPr="00031A85">
              <w:t>156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9</w:t>
            </w:r>
            <w:r>
              <w:t xml:space="preserve"> </w:t>
            </w:r>
            <w:r w:rsidRPr="00031A85">
              <w:t>860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11</w:t>
            </w:r>
            <w:r>
              <w:t xml:space="preserve"> </w:t>
            </w:r>
            <w:r w:rsidRPr="00031A85">
              <w:t>163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10</w:t>
            </w:r>
            <w:r>
              <w:t xml:space="preserve"> </w:t>
            </w:r>
            <w:r w:rsidRPr="00031A85">
              <w:t>277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5</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8</w:t>
            </w:r>
            <w:r>
              <w:t xml:space="preserve"> </w:t>
            </w:r>
            <w:r w:rsidRPr="00031A85">
              <w:t>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8</w:t>
            </w:r>
            <w:r>
              <w:t xml:space="preserve"> </w:t>
            </w:r>
            <w:r w:rsidRPr="00031A85">
              <w:t>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10</w:t>
            </w:r>
            <w:r>
              <w:t xml:space="preserve"> </w:t>
            </w:r>
            <w:r w:rsidRPr="00031A85">
              <w:t>490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rsidRPr="00031A85">
              <w:t>9</w:t>
            </w:r>
            <w:r>
              <w:t xml:space="preserve"> </w:t>
            </w:r>
            <w:r w:rsidRPr="00031A85">
              <w:t>324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dont: dépenses administratives des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3</w:t>
            </w:r>
            <w:r>
              <w:t xml:space="preserve"> </w:t>
            </w:r>
            <w:r w:rsidRPr="00031A85">
              <w:t>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3</w:t>
            </w:r>
            <w:r>
              <w:t xml:space="preserve"> </w:t>
            </w:r>
            <w:r w:rsidRPr="00031A85">
              <w:t>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4</w:t>
            </w:r>
            <w:r>
              <w:t xml:space="preserve"> </w:t>
            </w:r>
            <w:r w:rsidRPr="00031A85">
              <w:t>683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rsidRPr="00031A85">
              <w:t>3</w:t>
            </w:r>
            <w:r>
              <w:t xml:space="preserve"> </w:t>
            </w:r>
            <w:r w:rsidRPr="00031A85">
              <w:t>975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6</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8</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 xml:space="preserve">Réserve négative et déficit reporté de l’exercice précédent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rsidRPr="00031A85">
              <w:t>9</w:t>
            </w:r>
            <w:r>
              <w:t>.</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Instruments spéciaux</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w:t>
            </w:r>
            <w:r w:rsidRPr="00031A85">
              <w:t>389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w:t>
            </w:r>
            <w:r w:rsidRPr="00031A85">
              <w:t>90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w:t>
            </w:r>
            <w:r w:rsidRPr="00031A85">
              <w:t>140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w:t>
            </w:r>
            <w:r w:rsidRPr="00031A85">
              <w:t>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rsidRPr="00031A85">
              <w:t>143</w:t>
            </w:r>
            <w:r>
              <w:t xml:space="preserve"> </w:t>
            </w:r>
            <w:r w:rsidRPr="00031A85">
              <w:t>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rsidRPr="00031A85">
              <w:t>136</w:t>
            </w:r>
            <w:r>
              <w:t xml:space="preserve"> </w:t>
            </w:r>
            <w:r w:rsidRPr="00031A85">
              <w:t>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rsidRPr="00031A85">
              <w:t>148</w:t>
            </w:r>
            <w:r>
              <w:t xml:space="preserve"> </w:t>
            </w:r>
            <w:r w:rsidRPr="00031A85">
              <w:t>069</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rsidRPr="00031A85">
              <w:t>136</w:t>
            </w:r>
            <w:r>
              <w:t xml:space="preserve"> </w:t>
            </w:r>
            <w:r w:rsidRPr="00031A85">
              <w:t>416</w:t>
            </w:r>
          </w:p>
        </w:tc>
      </w:tr>
    </w:tbl>
    <w:p w:rsidR="00FB0C75" w:rsidRDefault="00525E53" w:rsidP="00FB0C75">
      <w:pPr>
        <w:pStyle w:val="Textstand-alone"/>
        <w:spacing w:before="60" w:after="0"/>
        <w:jc w:val="left"/>
      </w:pPr>
      <w:r>
        <w:rPr>
          <w:i/>
          <w:sz w:val="14"/>
        </w:rPr>
        <w:t xml:space="preserve">* Pour de plus amples précisions sur l’exécution des dépenses de </w:t>
      </w:r>
      <w:r w:rsidRPr="00031A85">
        <w:rPr>
          <w:i/>
          <w:sz w:val="14"/>
        </w:rPr>
        <w:t>2016</w:t>
      </w:r>
      <w:r>
        <w:rPr>
          <w:i/>
          <w:sz w:val="14"/>
        </w:rPr>
        <w:t>, voir la note </w:t>
      </w:r>
      <w:r w:rsidRPr="00031A85">
        <w:rPr>
          <w:b/>
          <w:i/>
          <w:sz w:val="14"/>
        </w:rPr>
        <w:t>4</w:t>
      </w:r>
      <w:r>
        <w:rPr>
          <w:i/>
          <w:sz w:val="14"/>
        </w:rPr>
        <w:t xml:space="preserve"> et, pour des explications, voir la note </w:t>
      </w:r>
      <w:r w:rsidRPr="00031A85">
        <w:rPr>
          <w:b/>
          <w:i/>
          <w:sz w:val="14"/>
        </w:rPr>
        <w:t>2</w:t>
      </w:r>
      <w:r>
        <w:rPr>
          <w:b/>
          <w:i/>
          <w:sz w:val="14"/>
        </w:rPr>
        <w:t>.</w:t>
      </w:r>
      <w:r w:rsidRPr="00031A85">
        <w:rPr>
          <w:b/>
          <w:i/>
          <w:sz w:val="14"/>
        </w:rPr>
        <w:t>2</w:t>
      </w:r>
      <w:r>
        <w:rPr>
          <w:i/>
          <w:sz w:val="14"/>
        </w:rPr>
        <w:t>.</w:t>
      </w:r>
    </w:p>
    <w:bookmarkEnd w:id="629"/>
    <w:p w:rsidR="00FB0C75" w:rsidRPr="00F652DF" w:rsidRDefault="00FB0C75" w:rsidP="00FB0C75">
      <w:pPr>
        <w:sectPr w:rsidR="00FB0C75" w:rsidRPr="00F652DF" w:rsidSect="00FB0C75">
          <w:headerReference w:type="even" r:id="rId517"/>
          <w:headerReference w:type="default" r:id="rId518"/>
          <w:footerReference w:type="even" r:id="rId519"/>
          <w:footerReference w:type="default" r:id="rId520"/>
          <w:headerReference w:type="first" r:id="rId521"/>
          <w:footerReference w:type="first" r:id="rId522"/>
          <w:pgSz w:w="11900" w:h="16840"/>
          <w:pgMar w:top="1134" w:right="1134" w:bottom="1134" w:left="1134" w:header="709" w:footer="709" w:gutter="0"/>
          <w:cols w:space="720"/>
          <w:docGrid w:linePitch="299"/>
        </w:sectPr>
      </w:pPr>
    </w:p>
    <w:p w:rsidR="00FB0C75" w:rsidRPr="00476775" w:rsidRDefault="00525E53" w:rsidP="00FB0C75">
      <w:pPr>
        <w:pStyle w:val="HEADERTITLE2"/>
        <w:rPr>
          <w:noProof w:val="0"/>
        </w:rPr>
      </w:pPr>
      <w:bookmarkStart w:id="630" w:name="_Toc485391774"/>
      <w:bookmarkStart w:id="631" w:name="_Toc491681440"/>
      <w:bookmarkStart w:id="632" w:name="_DMBM_9003"/>
      <w:r>
        <w:t>NOTES RELATIVES AUX ÉTATS SUR L’EXÉCUTION BUDGÉTAIRE</w:t>
      </w:r>
      <w:bookmarkEnd w:id="630"/>
      <w:bookmarkEnd w:id="631"/>
      <w:r>
        <w:t xml:space="preserve"> </w:t>
      </w:r>
    </w:p>
    <w:p w:rsidR="00FB0C75" w:rsidRPr="00476775" w:rsidRDefault="00525E53" w:rsidP="00FB0C75">
      <w:pPr>
        <w:pStyle w:val="HEADER1Part3"/>
        <w:numPr>
          <w:ilvl w:val="0"/>
          <w:numId w:val="1"/>
        </w:numPr>
        <w:ind w:left="907" w:hanging="907"/>
      </w:pPr>
      <w:bookmarkStart w:id="633" w:name="_Toc485391775"/>
      <w:bookmarkStart w:id="634" w:name="_Toc491681441"/>
      <w:r>
        <w:t>LE CADRE BUDGÉTAIRE DE l’UE</w:t>
      </w:r>
      <w:bookmarkEnd w:id="633"/>
      <w:bookmarkEnd w:id="634"/>
    </w:p>
    <w:p w:rsidR="00FB0C75" w:rsidRPr="00476775" w:rsidRDefault="00525E53" w:rsidP="00FB0C75">
      <w:pPr>
        <w:pStyle w:val="Textstand-alone"/>
        <w:rPr>
          <w:noProof w:val="0"/>
        </w:rPr>
      </w:pPr>
      <w:r>
        <w:t>La comptabilité budgétaire est tenue conformément au règlement financier (RF) et à ses règles d’application. Le budget général est l’instrument qui prévoit et autorise chaque année les recettes et les dépenses de l’Union, dans le respect des plafonds et aux autres dispositions prévus par le cadre financier pluriannuel, conformément aux actes législatifs relatifs aux programmes pluriannuels adoptés au titre du CFP.</w:t>
      </w:r>
    </w:p>
    <w:p w:rsidR="00FB0C75" w:rsidRPr="00476775" w:rsidRDefault="00525E53" w:rsidP="00FB0C75">
      <w:pPr>
        <w:pStyle w:val="HEADER2Part3"/>
        <w:numPr>
          <w:ilvl w:val="1"/>
          <w:numId w:val="1"/>
        </w:numPr>
        <w:ind w:left="907" w:hanging="907"/>
        <w:rPr>
          <w:noProof w:val="0"/>
        </w:rPr>
      </w:pPr>
      <w:bookmarkStart w:id="635" w:name="_Toc485391776"/>
      <w:bookmarkStart w:id="636" w:name="_Toc491681442"/>
      <w:r>
        <w:t xml:space="preserve">CADRE FINANCIER PLURIANNUEL </w:t>
      </w:r>
      <w:r w:rsidRPr="00031A85">
        <w:t>2014</w:t>
      </w:r>
      <w:r>
        <w:t>-</w:t>
      </w:r>
      <w:r w:rsidRPr="00031A85">
        <w:t>2020</w:t>
      </w:r>
      <w:bookmarkEnd w:id="635"/>
      <w:bookmarkEnd w:id="636"/>
    </w:p>
    <w:tbl>
      <w:tblPr>
        <w:tblW w:w="101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993"/>
        <w:gridCol w:w="992"/>
        <w:gridCol w:w="992"/>
        <w:gridCol w:w="1028"/>
        <w:gridCol w:w="957"/>
        <w:gridCol w:w="937"/>
        <w:gridCol w:w="999"/>
      </w:tblGrid>
      <w:tr w:rsidR="005B4EEC" w:rsidTr="00FB0C75">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Left"/>
              <w:rPr>
                <w:rFonts w:eastAsia="Verdana" w:cs="Verdana"/>
                <w:noProof w:val="0"/>
                <w:color w:val="FFFFFF"/>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1936" w:type="dxa"/>
            <w:gridSpan w:val="2"/>
            <w:tcBorders>
              <w:top w:val="nil"/>
              <w:left w:val="nil"/>
              <w:bottom w:val="nil"/>
              <w:right w:val="nil"/>
            </w:tcBorders>
            <w:shd w:val="clear" w:color="auto" w:fill="auto"/>
            <w:tcMar>
              <w:top w:w="0" w:type="dxa"/>
              <w:left w:w="108" w:type="dxa"/>
              <w:bottom w:w="0" w:type="dxa"/>
              <w:right w:w="108" w:type="dxa"/>
            </w:tcMar>
          </w:tcPr>
          <w:p w:rsidR="00FB0C75" w:rsidRPr="00476775" w:rsidRDefault="00525E53" w:rsidP="00FB0C75">
            <w:pPr>
              <w:pStyle w:val="Text8pItalicRight025EUR"/>
              <w:rPr>
                <w:rFonts w:eastAsia="Verdana" w:cs="Verdana"/>
                <w:noProof w:val="0"/>
              </w:rPr>
            </w:pPr>
            <w:r>
              <w:t>en Mio EUR</w:t>
            </w:r>
          </w:p>
        </w:tc>
      </w:tr>
      <w:tr w:rsidR="005B4EEC" w:rsidTr="00FB0C75">
        <w:tc>
          <w:tcPr>
            <w:tcW w:w="226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FB0C75" w:rsidP="00FB0C75">
            <w:pPr>
              <w:pStyle w:val="Heading7pNormalRight01"/>
              <w:rPr>
                <w:rFonts w:eastAsia="Verdana" w:cs="Verdana"/>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2017</w:t>
            </w:r>
          </w:p>
        </w:tc>
        <w:tc>
          <w:tcPr>
            <w:tcW w:w="1028"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2018</w:t>
            </w:r>
          </w:p>
        </w:tc>
        <w:tc>
          <w:tcPr>
            <w:tcW w:w="95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2019</w:t>
            </w:r>
          </w:p>
        </w:tc>
        <w:tc>
          <w:tcPr>
            <w:tcW w:w="93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rsidRPr="00031A85">
              <w:t>2020</w:t>
            </w:r>
          </w:p>
        </w:tc>
        <w:tc>
          <w:tcPr>
            <w:tcW w:w="99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Total</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1</w:t>
            </w:r>
            <w:r>
              <w:rPr>
                <w:i w:val="0"/>
                <w:noProof w:val="0"/>
              </w:rPr>
              <w:t>. Croissance intelligente et inclusive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52</w:t>
            </w:r>
            <w:r>
              <w:rPr>
                <w:i w:val="0"/>
                <w:noProof w:val="0"/>
              </w:rPr>
              <w:t xml:space="preserve"> </w:t>
            </w:r>
            <w:r w:rsidRPr="00031A85">
              <w:rPr>
                <w:i w:val="0"/>
                <w:noProof w:val="0"/>
              </w:rPr>
              <w:t>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77</w:t>
            </w:r>
            <w:r>
              <w:rPr>
                <w:i w:val="0"/>
                <w:noProof w:val="0"/>
              </w:rPr>
              <w:t xml:space="preserve"> </w:t>
            </w:r>
            <w:r w:rsidRPr="00031A85">
              <w:rPr>
                <w:i w:val="0"/>
                <w:noProof w:val="0"/>
              </w:rPr>
              <w:t>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69</w:t>
            </w:r>
            <w:r>
              <w:rPr>
                <w:i w:val="0"/>
                <w:noProof w:val="0"/>
              </w:rPr>
              <w:t xml:space="preserve"> </w:t>
            </w:r>
            <w:r w:rsidRPr="00031A85">
              <w:rPr>
                <w:i w:val="0"/>
                <w:noProof w:val="0"/>
              </w:rPr>
              <w:t>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73</w:t>
            </w:r>
            <w:r>
              <w:rPr>
                <w:i w:val="0"/>
                <w:noProof w:val="0"/>
              </w:rPr>
              <w:t xml:space="preserve"> </w:t>
            </w:r>
            <w:r w:rsidRPr="00031A85">
              <w:rPr>
                <w:i w:val="0"/>
                <w:noProof w:val="0"/>
              </w:rPr>
              <w:t>512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76</w:t>
            </w:r>
            <w:r>
              <w:rPr>
                <w:i w:val="0"/>
                <w:noProof w:val="0"/>
              </w:rPr>
              <w:t xml:space="preserve"> </w:t>
            </w:r>
            <w:r w:rsidRPr="00031A85">
              <w:rPr>
                <w:i w:val="0"/>
                <w:noProof w:val="0"/>
              </w:rPr>
              <w:t>420</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79</w:t>
            </w:r>
            <w:r>
              <w:rPr>
                <w:i w:val="0"/>
                <w:noProof w:val="0"/>
              </w:rPr>
              <w:t xml:space="preserve"> </w:t>
            </w:r>
            <w:r w:rsidRPr="00031A85">
              <w:rPr>
                <w:i w:val="0"/>
                <w:noProof w:val="0"/>
              </w:rPr>
              <w:t>924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83</w:t>
            </w:r>
            <w:r>
              <w:rPr>
                <w:i w:val="0"/>
                <w:noProof w:val="0"/>
              </w:rPr>
              <w:t xml:space="preserve"> </w:t>
            </w:r>
            <w:r w:rsidRPr="00031A85">
              <w:rPr>
                <w:i w:val="0"/>
                <w:noProof w:val="0"/>
              </w:rPr>
              <w:t>661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513</w:t>
            </w:r>
            <w:r>
              <w:rPr>
                <w:i w:val="0"/>
                <w:noProof w:val="0"/>
              </w:rPr>
              <w:t xml:space="preserve"> </w:t>
            </w:r>
            <w:r w:rsidRPr="00031A85">
              <w:rPr>
                <w:i w:val="0"/>
                <w:noProof w:val="0"/>
              </w:rPr>
              <w:t>563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rPr>
            </w:pPr>
            <w:r w:rsidRPr="00031A85">
              <w:t>1</w:t>
            </w:r>
            <w:r>
              <w:t>a. Compétitivité pour la croissance et l’emploi</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16</w:t>
            </w:r>
            <w:r>
              <w:t xml:space="preserve"> </w:t>
            </w:r>
            <w:r w:rsidRPr="00031A85">
              <w:t>560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17</w:t>
            </w:r>
            <w:r>
              <w:t xml:space="preserve"> </w:t>
            </w:r>
            <w:r w:rsidRPr="00031A85">
              <w:t>666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18</w:t>
            </w:r>
            <w:r>
              <w:t xml:space="preserve"> </w:t>
            </w:r>
            <w:r w:rsidRPr="00031A85">
              <w:t>467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19</w:t>
            </w:r>
            <w:r>
              <w:t xml:space="preserve"> </w:t>
            </w:r>
            <w:r w:rsidRPr="00031A85">
              <w:t>925</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21</w:t>
            </w:r>
            <w:r>
              <w:t xml:space="preserve"> </w:t>
            </w:r>
            <w:r w:rsidRPr="00031A85">
              <w:t>239</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23</w:t>
            </w:r>
            <w:r>
              <w:t xml:space="preserve"> </w:t>
            </w:r>
            <w:r w:rsidRPr="00031A85">
              <w:t>082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25</w:t>
            </w:r>
            <w:r>
              <w:t xml:space="preserve"> </w:t>
            </w:r>
            <w:r w:rsidRPr="00031A85">
              <w:t>191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142</w:t>
            </w:r>
            <w:r>
              <w:t xml:space="preserve"> </w:t>
            </w:r>
            <w:r w:rsidRPr="00031A85">
              <w:t>130</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rPr>
            </w:pPr>
            <w:r w:rsidRPr="00031A85">
              <w:t>1</w:t>
            </w:r>
            <w:r>
              <w:t>b. Cohésion économique, sociale et territoriale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36</w:t>
            </w:r>
            <w:r>
              <w:t xml:space="preserve"> </w:t>
            </w:r>
            <w:r w:rsidRPr="00031A85">
              <w:t>196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60</w:t>
            </w:r>
            <w:r>
              <w:t xml:space="preserve"> </w:t>
            </w:r>
            <w:r w:rsidRPr="00031A85">
              <w:t>320</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50</w:t>
            </w:r>
            <w:r>
              <w:t xml:space="preserve"> </w:t>
            </w:r>
            <w:r w:rsidRPr="00031A85">
              <w:t>837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53</w:t>
            </w:r>
            <w:r>
              <w:t xml:space="preserve"> </w:t>
            </w:r>
            <w:r w:rsidRPr="00031A85">
              <w:t>587</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55</w:t>
            </w:r>
            <w:r>
              <w:t xml:space="preserve"> </w:t>
            </w:r>
            <w:r w:rsidRPr="00031A85">
              <w:t>181</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56</w:t>
            </w:r>
            <w:r>
              <w:t xml:space="preserve"> </w:t>
            </w:r>
            <w:r w:rsidRPr="00031A85">
              <w:t>842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58</w:t>
            </w:r>
            <w:r>
              <w:t xml:space="preserve"> </w:t>
            </w:r>
            <w:r w:rsidRPr="00031A85">
              <w:t>470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w:t>
            </w:r>
            <w:r w:rsidRPr="00031A85">
              <w:t>371</w:t>
            </w:r>
            <w:r>
              <w:t xml:space="preserve"> </w:t>
            </w:r>
            <w:r w:rsidRPr="00031A85">
              <w:t>433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2</w:t>
            </w:r>
            <w:r>
              <w:rPr>
                <w:i w:val="0"/>
                <w:noProof w:val="0"/>
              </w:rPr>
              <w:t>. Croissance durable: ressources naturelles</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49</w:t>
            </w:r>
            <w:r>
              <w:rPr>
                <w:i w:val="0"/>
                <w:noProof w:val="0"/>
              </w:rPr>
              <w:t xml:space="preserve"> </w:t>
            </w:r>
            <w:r w:rsidRPr="00031A85">
              <w:rPr>
                <w:i w:val="0"/>
                <w:noProof w:val="0"/>
              </w:rPr>
              <w:t>857</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64</w:t>
            </w:r>
            <w:r>
              <w:rPr>
                <w:i w:val="0"/>
                <w:noProof w:val="0"/>
              </w:rPr>
              <w:t xml:space="preserve"> </w:t>
            </w:r>
            <w:r w:rsidRPr="00031A85">
              <w:rPr>
                <w:i w:val="0"/>
                <w:noProof w:val="0"/>
              </w:rPr>
              <w:t>692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64</w:t>
            </w:r>
            <w:r>
              <w:rPr>
                <w:i w:val="0"/>
                <w:noProof w:val="0"/>
              </w:rPr>
              <w:t xml:space="preserve"> </w:t>
            </w:r>
            <w:r w:rsidRPr="00031A85">
              <w:rPr>
                <w:i w:val="0"/>
                <w:noProof w:val="0"/>
              </w:rPr>
              <w:t>262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60</w:t>
            </w:r>
            <w:r>
              <w:rPr>
                <w:i w:val="0"/>
                <w:noProof w:val="0"/>
              </w:rPr>
              <w:t xml:space="preserve"> </w:t>
            </w:r>
            <w:r w:rsidRPr="00031A85">
              <w:rPr>
                <w:i w:val="0"/>
                <w:noProof w:val="0"/>
              </w:rPr>
              <w:t>191</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60</w:t>
            </w:r>
            <w:r>
              <w:rPr>
                <w:i w:val="0"/>
                <w:noProof w:val="0"/>
              </w:rPr>
              <w:t xml:space="preserve"> </w:t>
            </w:r>
            <w:r w:rsidRPr="00031A85">
              <w:rPr>
                <w:i w:val="0"/>
                <w:noProof w:val="0"/>
              </w:rPr>
              <w:t>267</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60</w:t>
            </w:r>
            <w:r>
              <w:rPr>
                <w:i w:val="0"/>
                <w:noProof w:val="0"/>
              </w:rPr>
              <w:t xml:space="preserve"> </w:t>
            </w:r>
            <w:r w:rsidRPr="00031A85">
              <w:rPr>
                <w:i w:val="0"/>
                <w:noProof w:val="0"/>
              </w:rPr>
              <w:t>344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60</w:t>
            </w:r>
            <w:r>
              <w:rPr>
                <w:i w:val="0"/>
                <w:noProof w:val="0"/>
              </w:rPr>
              <w:t xml:space="preserve"> </w:t>
            </w:r>
            <w:r w:rsidRPr="00031A85">
              <w:rPr>
                <w:i w:val="0"/>
                <w:noProof w:val="0"/>
              </w:rPr>
              <w:t>421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420</w:t>
            </w:r>
            <w:r>
              <w:rPr>
                <w:i w:val="0"/>
                <w:noProof w:val="0"/>
              </w:rPr>
              <w:t xml:space="preserve"> </w:t>
            </w:r>
            <w:r w:rsidRPr="00031A85">
              <w:rPr>
                <w:i w:val="0"/>
                <w:noProof w:val="0"/>
              </w:rPr>
              <w:t>034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rPr>
            </w:pPr>
            <w:r>
              <w:rPr>
                <w:i w:val="0"/>
                <w:noProof w:val="0"/>
              </w:rPr>
              <w:t>dont: dépenses relatives au marché et paiements directs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43</w:t>
            </w:r>
            <w:r>
              <w:rPr>
                <w:i w:val="0"/>
                <w:noProof w:val="0"/>
              </w:rPr>
              <w:t xml:space="preserve"> </w:t>
            </w:r>
            <w:r w:rsidRPr="00031A85">
              <w:rPr>
                <w:i w:val="0"/>
                <w:noProof w:val="0"/>
              </w:rPr>
              <w:t>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44</w:t>
            </w:r>
            <w:r>
              <w:rPr>
                <w:i w:val="0"/>
                <w:noProof w:val="0"/>
              </w:rPr>
              <w:t xml:space="preserve"> </w:t>
            </w:r>
            <w:r w:rsidRPr="00031A85">
              <w:rPr>
                <w:i w:val="0"/>
                <w:noProof w:val="0"/>
              </w:rPr>
              <w:t>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43</w:t>
            </w:r>
            <w:r>
              <w:rPr>
                <w:i w:val="0"/>
                <w:noProof w:val="0"/>
              </w:rPr>
              <w:t xml:space="preserve"> </w:t>
            </w:r>
            <w:r w:rsidRPr="00031A85">
              <w:rPr>
                <w:i w:val="0"/>
                <w:noProof w:val="0"/>
              </w:rPr>
              <w:t>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44</w:t>
            </w:r>
            <w:r>
              <w:rPr>
                <w:i w:val="0"/>
                <w:noProof w:val="0"/>
              </w:rPr>
              <w:t xml:space="preserve"> </w:t>
            </w:r>
            <w:r w:rsidRPr="00031A85">
              <w:rPr>
                <w:i w:val="0"/>
                <w:noProof w:val="0"/>
              </w:rPr>
              <w:t>146</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44</w:t>
            </w:r>
            <w:r>
              <w:rPr>
                <w:i w:val="0"/>
                <w:noProof w:val="0"/>
              </w:rPr>
              <w:t xml:space="preserve"> </w:t>
            </w:r>
            <w:r w:rsidRPr="00031A85">
              <w:rPr>
                <w:i w:val="0"/>
                <w:noProof w:val="0"/>
              </w:rPr>
              <w:t>163</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44</w:t>
            </w:r>
            <w:r>
              <w:rPr>
                <w:i w:val="0"/>
                <w:noProof w:val="0"/>
              </w:rPr>
              <w:t xml:space="preserve"> </w:t>
            </w:r>
            <w:r w:rsidRPr="00031A85">
              <w:rPr>
                <w:i w:val="0"/>
                <w:noProof w:val="0"/>
              </w:rPr>
              <w:t>241</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44</w:t>
            </w:r>
            <w:r>
              <w:rPr>
                <w:i w:val="0"/>
                <w:noProof w:val="0"/>
              </w:rPr>
              <w:t xml:space="preserve"> </w:t>
            </w:r>
            <w:r w:rsidRPr="00031A85">
              <w:rPr>
                <w:i w:val="0"/>
                <w:noProof w:val="0"/>
              </w:rPr>
              <w:t>264</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308</w:t>
            </w:r>
            <w:r>
              <w:rPr>
                <w:i w:val="0"/>
                <w:noProof w:val="0"/>
              </w:rPr>
              <w:t xml:space="preserve"> </w:t>
            </w:r>
            <w:r w:rsidRPr="00031A85">
              <w:rPr>
                <w:i w:val="0"/>
                <w:noProof w:val="0"/>
              </w:rPr>
              <w:t>734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3</w:t>
            </w:r>
            <w:r>
              <w:rPr>
                <w:i w:val="0"/>
                <w:noProof w:val="0"/>
              </w:rPr>
              <w:t>. Sécurité et citoyenneté</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w:t>
            </w:r>
            <w:r>
              <w:rPr>
                <w:i w:val="0"/>
                <w:noProof w:val="0"/>
              </w:rPr>
              <w:t xml:space="preserve"> </w:t>
            </w:r>
            <w:r w:rsidRPr="00031A85">
              <w:rPr>
                <w:i w:val="0"/>
                <w:noProof w:val="0"/>
              </w:rPr>
              <w:t>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578</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656</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801</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w:t>
            </w:r>
            <w:r>
              <w:rPr>
                <w:i w:val="0"/>
                <w:noProof w:val="0"/>
              </w:rPr>
              <w:t xml:space="preserve"> </w:t>
            </w:r>
            <w:r w:rsidRPr="00031A85">
              <w:rPr>
                <w:i w:val="0"/>
                <w:noProof w:val="0"/>
              </w:rPr>
              <w:t>951</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17</w:t>
            </w:r>
            <w:r>
              <w:rPr>
                <w:i w:val="0"/>
                <w:noProof w:val="0"/>
              </w:rPr>
              <w:t xml:space="preserve"> </w:t>
            </w:r>
            <w:r w:rsidRPr="00031A85">
              <w:rPr>
                <w:i w:val="0"/>
                <w:noProof w:val="0"/>
              </w:rPr>
              <w:t>725</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4</w:t>
            </w:r>
            <w:r>
              <w:rPr>
                <w:i w:val="0"/>
                <w:noProof w:val="0"/>
              </w:rPr>
              <w:t>. L'Europe dans le monde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432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825</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10</w:t>
            </w:r>
            <w:r>
              <w:rPr>
                <w:i w:val="0"/>
                <w:noProof w:val="0"/>
              </w:rPr>
              <w:t xml:space="preserve"> </w:t>
            </w:r>
            <w:r w:rsidRPr="00031A85">
              <w:rPr>
                <w:i w:val="0"/>
                <w:noProof w:val="0"/>
              </w:rPr>
              <w:t>268</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10</w:t>
            </w:r>
            <w:r>
              <w:rPr>
                <w:i w:val="0"/>
                <w:noProof w:val="0"/>
              </w:rPr>
              <w:t xml:space="preserve"> </w:t>
            </w:r>
            <w:r w:rsidRPr="00031A85">
              <w:rPr>
                <w:i w:val="0"/>
                <w:noProof w:val="0"/>
              </w:rPr>
              <w:t>510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66</w:t>
            </w:r>
            <w:r>
              <w:rPr>
                <w:i w:val="0"/>
                <w:noProof w:val="0"/>
              </w:rPr>
              <w:t xml:space="preserve"> </w:t>
            </w:r>
            <w:r w:rsidRPr="00031A85">
              <w:rPr>
                <w:i w:val="0"/>
                <w:noProof w:val="0"/>
              </w:rPr>
              <w:t>262</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5</w:t>
            </w:r>
            <w:r>
              <w:rPr>
                <w:i w:val="0"/>
                <w:noProof w:val="0"/>
              </w:rPr>
              <w:t>. 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918</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10</w:t>
            </w:r>
            <w:r>
              <w:rPr>
                <w:i w:val="0"/>
                <w:noProof w:val="0"/>
              </w:rPr>
              <w:t xml:space="preserve"> </w:t>
            </w:r>
            <w:r w:rsidRPr="00031A85">
              <w:rPr>
                <w:i w:val="0"/>
                <w:noProof w:val="0"/>
              </w:rPr>
              <w:t>346</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10</w:t>
            </w:r>
            <w:r>
              <w:rPr>
                <w:i w:val="0"/>
                <w:noProof w:val="0"/>
              </w:rPr>
              <w:t xml:space="preserve"> </w:t>
            </w:r>
            <w:r w:rsidRPr="00031A85">
              <w:rPr>
                <w:i w:val="0"/>
                <w:noProof w:val="0"/>
              </w:rPr>
              <w:t>786</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11</w:t>
            </w:r>
            <w:r>
              <w:rPr>
                <w:i w:val="0"/>
                <w:noProof w:val="0"/>
              </w:rPr>
              <w:t xml:space="preserve"> </w:t>
            </w:r>
            <w:r w:rsidRPr="00031A85">
              <w:rPr>
                <w:i w:val="0"/>
                <w:noProof w:val="0"/>
              </w:rPr>
              <w:t>254</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69</w:t>
            </w:r>
            <w:r>
              <w:rPr>
                <w:i w:val="0"/>
                <w:noProof w:val="0"/>
              </w:rPr>
              <w:t xml:space="preserve"> </w:t>
            </w:r>
            <w:r w:rsidRPr="00031A85">
              <w:rPr>
                <w:i w:val="0"/>
                <w:noProof w:val="0"/>
              </w:rPr>
              <w:t>584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rPr>
            </w:pPr>
            <w:r>
              <w:rPr>
                <w:i w:val="0"/>
                <w:noProof w:val="0"/>
              </w:rPr>
              <w:t>dont: dépenses administratives des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w:t>
            </w:r>
            <w:r>
              <w:rPr>
                <w:i w:val="0"/>
                <w:noProof w:val="0"/>
              </w:rPr>
              <w:t xml:space="preserve"> </w:t>
            </w:r>
            <w:r w:rsidRPr="00031A85">
              <w:rPr>
                <w:i w:val="0"/>
                <w:noProof w:val="0"/>
              </w:rPr>
              <w:t>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w:t>
            </w:r>
            <w:r>
              <w:rPr>
                <w:i w:val="0"/>
                <w:noProof w:val="0"/>
              </w:rPr>
              <w:t xml:space="preserve"> </w:t>
            </w:r>
            <w:r w:rsidRPr="00031A85">
              <w:rPr>
                <w:i w:val="0"/>
                <w:noProof w:val="0"/>
              </w:rPr>
              <w:t>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7</w:t>
            </w:r>
            <w:r>
              <w:rPr>
                <w:i w:val="0"/>
                <w:noProof w:val="0"/>
              </w:rPr>
              <w:t xml:space="preserve"> </w:t>
            </w:r>
            <w:r w:rsidRPr="00031A85">
              <w:rPr>
                <w:i w:val="0"/>
                <w:noProof w:val="0"/>
              </w:rPr>
              <w:t>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007</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360</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8</w:t>
            </w:r>
            <w:r>
              <w:rPr>
                <w:i w:val="0"/>
                <w:noProof w:val="0"/>
              </w:rPr>
              <w:t xml:space="preserve"> </w:t>
            </w:r>
            <w:r w:rsidRPr="00031A85">
              <w:rPr>
                <w:i w:val="0"/>
                <w:noProof w:val="0"/>
              </w:rPr>
              <w:t>700</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9</w:t>
            </w:r>
            <w:r>
              <w:rPr>
                <w:i w:val="0"/>
                <w:noProof w:val="0"/>
              </w:rPr>
              <w:t xml:space="preserve"> </w:t>
            </w:r>
            <w:r w:rsidRPr="00031A85">
              <w:rPr>
                <w:i w:val="0"/>
                <w:noProof w:val="0"/>
              </w:rPr>
              <w:t>071</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56</w:t>
            </w:r>
            <w:r>
              <w:rPr>
                <w:i w:val="0"/>
                <w:noProof w:val="0"/>
              </w:rPr>
              <w:t xml:space="preserve"> </w:t>
            </w:r>
            <w:r w:rsidRPr="00031A85">
              <w:rPr>
                <w:i w:val="0"/>
                <w:noProof w:val="0"/>
              </w:rPr>
              <w:t>224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6</w:t>
            </w:r>
            <w:r>
              <w:rPr>
                <w:i w:val="0"/>
                <w:noProof w:val="0"/>
              </w:rPr>
              <w:t>.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w:t>
            </w:r>
            <w:r w:rsidRPr="00031A85">
              <w:rPr>
                <w:i w:val="0"/>
                <w:noProof w:val="0"/>
              </w:rPr>
              <w:t>29</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8</w:t>
            </w:r>
            <w:r>
              <w:rPr>
                <w:i w:val="0"/>
                <w:noProof w:val="0"/>
              </w:rPr>
              <w:t>. Réserve négative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r>
      <w:tr w:rsidR="005B4EEC" w:rsidTr="00766E7F">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sidRPr="00031A85">
              <w:rPr>
                <w:i w:val="0"/>
                <w:noProof w:val="0"/>
              </w:rPr>
              <w:t>9</w:t>
            </w:r>
            <w:r>
              <w:rPr>
                <w:i w:val="0"/>
                <w:noProof w:val="0"/>
              </w:rPr>
              <w:t>. Instruments spéciaux</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rPr>
            </w:pPr>
            <w:r>
              <w:t>Crédits d’engagement</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121</w:t>
            </w:r>
            <w:r>
              <w:t xml:space="preserve"> </w:t>
            </w:r>
            <w:r w:rsidRPr="00031A85">
              <w:t>435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162</w:t>
            </w:r>
            <w:r>
              <w:t xml:space="preserve"> </w:t>
            </w:r>
            <w:r w:rsidRPr="00031A85">
              <w:t>959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154</w:t>
            </w:r>
            <w:r>
              <w:t xml:space="preserve"> </w:t>
            </w:r>
            <w:r w:rsidRPr="00031A85">
              <w:t>738</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155</w:t>
            </w:r>
            <w:r>
              <w:t xml:space="preserve"> </w:t>
            </w:r>
            <w:r w:rsidRPr="00031A85">
              <w:t>631</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159</w:t>
            </w:r>
            <w:r>
              <w:t xml:space="preserve"> </w:t>
            </w:r>
            <w:r w:rsidRPr="00031A85">
              <w:t>514</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164</w:t>
            </w:r>
            <w:r>
              <w:t xml:space="preserve"> </w:t>
            </w:r>
            <w:r w:rsidRPr="00031A85">
              <w:t>123</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168</w:t>
            </w:r>
            <w:r>
              <w:t xml:space="preserve"> </w:t>
            </w:r>
            <w:r w:rsidRPr="00031A85">
              <w:t>797</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w:t>
            </w:r>
            <w:r>
              <w:t xml:space="preserve"> </w:t>
            </w:r>
            <w:r w:rsidRPr="00031A85">
              <w:t>087</w:t>
            </w:r>
            <w:r>
              <w:t xml:space="preserve"> </w:t>
            </w:r>
            <w:r w:rsidRPr="00031A85">
              <w:t>197</w:t>
            </w:r>
          </w:p>
        </w:tc>
      </w:tr>
      <w:tr w:rsidR="005B4EEC" w:rsidTr="00766E7F">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7pItalicLeft"/>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3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rPr>
            </w:pPr>
            <w:r>
              <w:t>Total des crédits de paiement</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135</w:t>
            </w:r>
            <w:r>
              <w:t xml:space="preserve"> </w:t>
            </w:r>
            <w:r w:rsidRPr="00031A85">
              <w:t>762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140</w:t>
            </w:r>
            <w:r>
              <w:t xml:space="preserve"> </w:t>
            </w:r>
            <w:r w:rsidRPr="00031A85">
              <w:t>719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144</w:t>
            </w:r>
            <w:r>
              <w:t xml:space="preserve"> </w:t>
            </w:r>
            <w:r w:rsidRPr="00031A85">
              <w:t>685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142</w:t>
            </w:r>
            <w:r>
              <w:t xml:space="preserve"> </w:t>
            </w:r>
            <w:r w:rsidRPr="00031A85">
              <w:t>906</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149</w:t>
            </w:r>
            <w:r>
              <w:t xml:space="preserve"> </w:t>
            </w:r>
            <w:r w:rsidRPr="00031A85">
              <w:t>713</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154</w:t>
            </w:r>
            <w:r>
              <w:t xml:space="preserve"> </w:t>
            </w:r>
            <w:r w:rsidRPr="00031A85">
              <w:t>286</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157</w:t>
            </w:r>
            <w:r>
              <w:t xml:space="preserve"> </w:t>
            </w:r>
            <w:r w:rsidRPr="00031A85">
              <w:t>358</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w:t>
            </w:r>
            <w:r w:rsidRPr="00031A85">
              <w:t>1</w:t>
            </w:r>
            <w:r>
              <w:t xml:space="preserve"> </w:t>
            </w:r>
            <w:r w:rsidRPr="00031A85">
              <w:t>025</w:t>
            </w:r>
            <w:r>
              <w:t xml:space="preserve"> </w:t>
            </w:r>
            <w:r w:rsidRPr="00031A85">
              <w:t>429</w:t>
            </w:r>
          </w:p>
        </w:tc>
      </w:tr>
    </w:tbl>
    <w:p w:rsidR="00FB0C75" w:rsidRPr="00476775" w:rsidRDefault="00FB0C75" w:rsidP="00FB0C75"/>
    <w:p w:rsidR="00FB0C75" w:rsidRPr="00476775" w:rsidRDefault="00525E53" w:rsidP="00FB0C75">
      <w:pPr>
        <w:pStyle w:val="Textstand-alone"/>
        <w:rPr>
          <w:noProof w:val="0"/>
        </w:rPr>
      </w:pPr>
      <w:r>
        <w:t>Le tableau ci-dessus présente les plafonds du CFP aux prix courants. L'année </w:t>
      </w:r>
      <w:r w:rsidRPr="00031A85">
        <w:t>2016</w:t>
      </w:r>
      <w:r>
        <w:t xml:space="preserve"> était le troisième exercice couvert par le CFP </w:t>
      </w:r>
      <w:r w:rsidRPr="00031A85">
        <w:t>2014</w:t>
      </w:r>
      <w:r>
        <w:t>-</w:t>
      </w:r>
      <w:r w:rsidRPr="00031A85">
        <w:t>2020</w:t>
      </w:r>
      <w:r>
        <w:t>. Le plafond global des crédits d’engagement pour </w:t>
      </w:r>
      <w:r w:rsidRPr="00031A85">
        <w:t>2016</w:t>
      </w:r>
      <w:r>
        <w:t xml:space="preserve"> était de </w:t>
      </w:r>
      <w:r w:rsidRPr="00031A85">
        <w:t>154</w:t>
      </w:r>
      <w:r>
        <w:t>,</w:t>
      </w:r>
      <w:r w:rsidRPr="00031A85">
        <w:t>738</w:t>
      </w:r>
      <w:r>
        <w:t xml:space="preserve">  milliards d’EUR, soit </w:t>
      </w:r>
      <w:r w:rsidRPr="00031A85">
        <w:t>1</w:t>
      </w:r>
      <w:r>
        <w:t>,</w:t>
      </w:r>
      <w:r w:rsidRPr="00031A85">
        <w:t>05</w:t>
      </w:r>
      <w:r>
        <w:t xml:space="preserve"> % du RNB de l’UE, tandis que le plafond correspondant pour les crédits de paiement s’élevait à </w:t>
      </w:r>
      <w:r w:rsidRPr="00031A85">
        <w:t>144</w:t>
      </w:r>
      <w:r>
        <w:t>,</w:t>
      </w:r>
      <w:r w:rsidRPr="00031A85">
        <w:t>685</w:t>
      </w:r>
      <w:r>
        <w:t xml:space="preserve"> milliards d’EUR, soit un taux de </w:t>
      </w:r>
      <w:r w:rsidRPr="00031A85">
        <w:t>0</w:t>
      </w:r>
      <w:r>
        <w:t>,</w:t>
      </w:r>
      <w:r w:rsidRPr="00031A85">
        <w:t>98</w:t>
      </w:r>
      <w:r>
        <w:t xml:space="preserve"> % du RNB de l’UE. Il était valable tout au long de l’exercice </w:t>
      </w:r>
      <w:r w:rsidRPr="00031A85">
        <w:t>2016</w:t>
      </w:r>
      <w:r>
        <w:t>.</w:t>
      </w:r>
    </w:p>
    <w:p w:rsidR="00FB0C75" w:rsidRPr="00476775" w:rsidRDefault="00525E53" w:rsidP="00FB0C75">
      <w:pPr>
        <w:pStyle w:val="Textstand-alone"/>
        <w:rPr>
          <w:noProof w:val="0"/>
        </w:rPr>
      </w:pPr>
      <w:r>
        <w:t>L’ajustement des enveloppes en faveur de la politique de cohésion prévu à l’article </w:t>
      </w:r>
      <w:r w:rsidRPr="00031A85">
        <w:t>7</w:t>
      </w:r>
      <w:r>
        <w:t xml:space="preserve"> du règlement CFP a été effectué au moyen de l’ajustement technique du CFP pour </w:t>
      </w:r>
      <w:r w:rsidRPr="00031A85">
        <w:t>2017</w:t>
      </w:r>
      <w:r>
        <w:t>, réalisé par la Commission [COM(</w:t>
      </w:r>
      <w:r w:rsidRPr="00031A85">
        <w:t>2016</w:t>
      </w:r>
      <w:r>
        <w:t>) </w:t>
      </w:r>
      <w:r w:rsidRPr="00031A85">
        <w:t>311</w:t>
      </w:r>
      <w:r>
        <w:t xml:space="preserve"> du </w:t>
      </w:r>
      <w:r w:rsidRPr="00031A85">
        <w:t>30</w:t>
      </w:r>
      <w:r>
        <w:t> juin </w:t>
      </w:r>
      <w:r w:rsidRPr="00031A85">
        <w:t>2016</w:t>
      </w:r>
      <w:r>
        <w:t>], ce qui a donné lieu à un ajustement à la hausse des plafonds du CFP de la période </w:t>
      </w:r>
      <w:r w:rsidRPr="00031A85">
        <w:t>2017</w:t>
      </w:r>
      <w:r>
        <w:t>-</w:t>
      </w:r>
      <w:r w:rsidRPr="00031A85">
        <w:t>2020</w:t>
      </w:r>
      <w:r>
        <w:t xml:space="preserve"> pour un montant total de </w:t>
      </w:r>
      <w:r w:rsidRPr="00031A85">
        <w:t>4</w:t>
      </w:r>
      <w:r>
        <w:t>,</w:t>
      </w:r>
      <w:r w:rsidRPr="00031A85">
        <w:t>642</w:t>
      </w:r>
      <w:r>
        <w:t> milliards d’EUR en crédits d'engagement dans la rubrique </w:t>
      </w:r>
      <w:r w:rsidRPr="00031A85">
        <w:t>1</w:t>
      </w:r>
      <w:r>
        <w:t xml:space="preserve">b et de </w:t>
      </w:r>
      <w:r w:rsidRPr="00031A85">
        <w:t>1</w:t>
      </w:r>
      <w:r>
        <w:t>,</w:t>
      </w:r>
      <w:r w:rsidRPr="00031A85">
        <w:t>367</w:t>
      </w:r>
      <w:r>
        <w:t> milliard d’EUR en crédits de paiement (prix courants).</w:t>
      </w:r>
    </w:p>
    <w:p w:rsidR="00FB0C75" w:rsidRPr="00476775" w:rsidRDefault="00525E53" w:rsidP="00FB0C75">
      <w:pPr>
        <w:pStyle w:val="Textstand-alone"/>
        <w:rPr>
          <w:noProof w:val="0"/>
        </w:rPr>
      </w:pPr>
      <w:r>
        <w:t xml:space="preserve">De nouvelles dispositions en matière de flexibilité ont été convenues pour le CFP </w:t>
      </w:r>
      <w:r w:rsidRPr="00031A85">
        <w:t>2014</w:t>
      </w:r>
      <w:r>
        <w:t>-</w:t>
      </w:r>
      <w:r w:rsidRPr="00031A85">
        <w:t>2020</w:t>
      </w:r>
      <w:r>
        <w:t xml:space="preserve">. Parmi celles-ci figure la possibilité de transférer aux exercices suivants les marges non utilisées sous les plafonds des paiements - par l’intermédiaire de la marge globale pour les paiements dans le cadre de l’ajustement technique du CFP pour l’année suivante. Dès lors, les montants non dépensés de </w:t>
      </w:r>
      <w:r w:rsidRPr="00031A85">
        <w:t>2015</w:t>
      </w:r>
      <w:r>
        <w:t xml:space="preserve"> (</w:t>
      </w:r>
      <w:r w:rsidRPr="00031A85">
        <w:t>1</w:t>
      </w:r>
      <w:r>
        <w:t>,</w:t>
      </w:r>
      <w:r w:rsidRPr="00031A85">
        <w:t>288</w:t>
      </w:r>
      <w:r>
        <w:t xml:space="preserve"> milliard d’EUR aux prix courants) et de </w:t>
      </w:r>
      <w:r w:rsidRPr="00031A85">
        <w:t>2016</w:t>
      </w:r>
      <w:r>
        <w:t xml:space="preserve"> (</w:t>
      </w:r>
      <w:r w:rsidRPr="00031A85">
        <w:t>13</w:t>
      </w:r>
      <w:r>
        <w:t>,</w:t>
      </w:r>
      <w:r w:rsidRPr="00031A85">
        <w:t>991</w:t>
      </w:r>
      <w:r>
        <w:t> milliards d’EUR aux prix courants) ont été transférés sur la période </w:t>
      </w:r>
      <w:r w:rsidRPr="00031A85">
        <w:t>2018</w:t>
      </w:r>
      <w:r>
        <w:t>-</w:t>
      </w:r>
      <w:r w:rsidRPr="00031A85">
        <w:t>2020</w:t>
      </w:r>
      <w:r>
        <w:t xml:space="preserve">, et les plafonds de </w:t>
      </w:r>
      <w:r w:rsidRPr="00031A85">
        <w:t>2015</w:t>
      </w:r>
      <w:r>
        <w:t xml:space="preserve">, </w:t>
      </w:r>
      <w:r w:rsidRPr="00031A85">
        <w:t>2016</w:t>
      </w:r>
      <w:r>
        <w:t xml:space="preserve"> et </w:t>
      </w:r>
      <w:r w:rsidRPr="00031A85">
        <w:t>2018</w:t>
      </w:r>
      <w:r>
        <w:t>-</w:t>
      </w:r>
      <w:r w:rsidRPr="00031A85">
        <w:t>2020</w:t>
      </w:r>
      <w:r>
        <w:t xml:space="preserve"> ont été ajustés en conséquence — voir l’ajustement technique du CFP pour </w:t>
      </w:r>
      <w:r w:rsidRPr="00031A85">
        <w:t>2017</w:t>
      </w:r>
      <w:r>
        <w:t xml:space="preserve">, susmentionné, et l’ajustement technique pour </w:t>
      </w:r>
      <w:r w:rsidRPr="00031A85">
        <w:t>2018</w:t>
      </w:r>
      <w:r>
        <w:t xml:space="preserve"> [COM(</w:t>
      </w:r>
      <w:r w:rsidRPr="00031A85">
        <w:t>2017</w:t>
      </w:r>
      <w:r>
        <w:t>) </w:t>
      </w:r>
      <w:r w:rsidRPr="00031A85">
        <w:t>220</w:t>
      </w:r>
      <w:r>
        <w:t xml:space="preserve"> final du </w:t>
      </w:r>
      <w:r w:rsidRPr="00031A85">
        <w:t>24</w:t>
      </w:r>
      <w:r>
        <w:t> mai </w:t>
      </w:r>
      <w:r w:rsidRPr="00031A85">
        <w:t>2017</w:t>
      </w:r>
      <w:r>
        <w:t>].</w:t>
      </w:r>
    </w:p>
    <w:p w:rsidR="00FB0C75" w:rsidRPr="00476775" w:rsidRDefault="00525E53" w:rsidP="00FB0C75">
      <w:pPr>
        <w:pStyle w:val="Textstand-alone"/>
        <w:rPr>
          <w:noProof w:val="0"/>
        </w:rPr>
      </w:pPr>
      <w:r>
        <w:t xml:space="preserve">Le </w:t>
      </w:r>
      <w:r w:rsidRPr="00031A85">
        <w:t>14</w:t>
      </w:r>
      <w:r>
        <w:t> septembre </w:t>
      </w:r>
      <w:r w:rsidRPr="00031A85">
        <w:t>2016</w:t>
      </w:r>
      <w:r>
        <w:t>, la Commission a présenté sa communication sur le réexamen/la révision à mi-parcours du cadre financier pluriannuel </w:t>
      </w:r>
      <w:r w:rsidRPr="00031A85">
        <w:t>2014</w:t>
      </w:r>
      <w:r>
        <w:t>-</w:t>
      </w:r>
      <w:r w:rsidRPr="00031A85">
        <w:t>2020</w:t>
      </w:r>
      <w:r>
        <w:t xml:space="preserve"> [COM(</w:t>
      </w:r>
      <w:r w:rsidRPr="00031A85">
        <w:t>2016</w:t>
      </w:r>
      <w:r>
        <w:t>) </w:t>
      </w:r>
      <w:r w:rsidRPr="00031A85">
        <w:t>603</w:t>
      </w:r>
      <w:r>
        <w:t>], qui était accompagnée de plusieurs propositions législatives, notamment une proposition de modification du règlement CFP [COM(</w:t>
      </w:r>
      <w:r w:rsidRPr="00031A85">
        <w:t>2016</w:t>
      </w:r>
      <w:r>
        <w:t>) </w:t>
      </w:r>
      <w:r w:rsidRPr="00031A85">
        <w:t>604</w:t>
      </w:r>
      <w:r>
        <w:t>] et une proposition visant à simplifier les règles financières du RF et des actes de base pertinents [COM(</w:t>
      </w:r>
      <w:r w:rsidRPr="00031A85">
        <w:t>2016</w:t>
      </w:r>
      <w:r>
        <w:t>) </w:t>
      </w:r>
      <w:r w:rsidRPr="00031A85">
        <w:t>605</w:t>
      </w:r>
      <w:r>
        <w:t>]. Sur le plan budgétaire, ces propositions visent à accroître la flexibilité du CFP en apportant un certain nombre de modifications au règlement CFP et en «complétant» le financement des dépenses prioritaires dans les domaines de l’emploi et de la croissance et de la migration et de la sécurité en utilisant les marges et les flexibilités disponibles. Un accord sur ces propositions était escompté pour l’été </w:t>
      </w:r>
      <w:r w:rsidRPr="00031A85">
        <w:t>2017</w:t>
      </w:r>
      <w:r>
        <w:t>.</w:t>
      </w:r>
    </w:p>
    <w:p w:rsidR="00FB0C75" w:rsidRPr="00476775" w:rsidRDefault="00525E53" w:rsidP="00FB0C75">
      <w:pPr>
        <w:pStyle w:val="Textstand-alone"/>
        <w:rPr>
          <w:noProof w:val="0"/>
        </w:rPr>
      </w:pPr>
      <w:r>
        <w:t>Enfin, à la suite de l’entrée en vigueur de la décision </w:t>
      </w:r>
      <w:r w:rsidRPr="00031A85">
        <w:t>2014</w:t>
      </w:r>
      <w:r>
        <w:t>/</w:t>
      </w:r>
      <w:r w:rsidRPr="00031A85">
        <w:t>335</w:t>
      </w:r>
      <w:r>
        <w:t>/UE, Euratom du Conseil relative au système des ressources propres de l'Union européenne (JO L </w:t>
      </w:r>
      <w:r w:rsidRPr="00031A85">
        <w:t>168</w:t>
      </w:r>
      <w:r>
        <w:t xml:space="preserve"> du </w:t>
      </w:r>
      <w:r w:rsidRPr="00031A85">
        <w:t>7</w:t>
      </w:r>
      <w:r>
        <w:t>.</w:t>
      </w:r>
      <w:r w:rsidRPr="00031A85">
        <w:t>6</w:t>
      </w:r>
      <w:r>
        <w:t>.</w:t>
      </w:r>
      <w:r w:rsidRPr="00031A85">
        <w:t>2014</w:t>
      </w:r>
      <w:r>
        <w:t>) et conformément à son article </w:t>
      </w:r>
      <w:r w:rsidRPr="00031A85">
        <w:t>3</w:t>
      </w:r>
      <w:r>
        <w:t>, paragraphe </w:t>
      </w:r>
      <w:r w:rsidRPr="00031A85">
        <w:t>3</w:t>
      </w:r>
      <w:r>
        <w:t>, les plafonds fixés dans cette décision ont été recalculés sur la base des données fondées sur le SEC </w:t>
      </w:r>
      <w:r w:rsidRPr="00031A85">
        <w:t>2010</w:t>
      </w:r>
      <w:r>
        <w:t>, ce qui s'est généralement traduit par une hausse par rapport au RNB fondé sur le SEC </w:t>
      </w:r>
      <w:r w:rsidRPr="00031A85">
        <w:t>95</w:t>
      </w:r>
      <w:r>
        <w:t xml:space="preserve">. Le plafond des ressources propres a donc été ajusté, de sorte qu'il passe de </w:t>
      </w:r>
      <w:r w:rsidRPr="00031A85">
        <w:t>1</w:t>
      </w:r>
      <w:r>
        <w:t>,</w:t>
      </w:r>
      <w:r w:rsidRPr="00031A85">
        <w:t>23</w:t>
      </w:r>
      <w:r>
        <w:t xml:space="preserve"> % à </w:t>
      </w:r>
      <w:r w:rsidRPr="00031A85">
        <w:t>1</w:t>
      </w:r>
      <w:r>
        <w:t>,</w:t>
      </w:r>
      <w:r w:rsidRPr="00031A85">
        <w:t>20</w:t>
      </w:r>
      <w:r>
        <w:t xml:space="preserve"> % du RNB de l’UE. Le plafond des crédits d'engagement a lui aussi été ajusté, ce qui le ramène de </w:t>
      </w:r>
      <w:r w:rsidRPr="00031A85">
        <w:t>1</w:t>
      </w:r>
      <w:r>
        <w:t>,</w:t>
      </w:r>
      <w:r w:rsidRPr="00031A85">
        <w:t>29</w:t>
      </w:r>
      <w:r>
        <w:t xml:space="preserve"> % à </w:t>
      </w:r>
      <w:r w:rsidRPr="00031A85">
        <w:t>1</w:t>
      </w:r>
      <w:r>
        <w:t>,</w:t>
      </w:r>
      <w:r w:rsidRPr="00031A85">
        <w:t>26</w:t>
      </w:r>
      <w:r>
        <w:t> % du RNB de l’UE [COM(</w:t>
      </w:r>
      <w:r w:rsidRPr="00031A85">
        <w:t>2016</w:t>
      </w:r>
      <w:r>
        <w:t>) </w:t>
      </w:r>
      <w:r w:rsidRPr="00031A85">
        <w:t>829</w:t>
      </w:r>
      <w:r>
        <w:t xml:space="preserve"> du </w:t>
      </w:r>
      <w:r w:rsidRPr="00031A85">
        <w:t>21</w:t>
      </w:r>
      <w:r>
        <w:t> décembre </w:t>
      </w:r>
      <w:r w:rsidRPr="00031A85">
        <w:t>2016</w:t>
      </w:r>
      <w:r>
        <w:t>].</w:t>
      </w:r>
    </w:p>
    <w:p w:rsidR="00FB0C75" w:rsidRPr="00476775" w:rsidRDefault="00525E53" w:rsidP="00FB0C75">
      <w:pPr>
        <w:pStyle w:val="Textstand-alone"/>
        <w:rPr>
          <w:noProof w:val="0"/>
        </w:rPr>
      </w:pPr>
      <w:r>
        <w:t>Une explication des différentes rubriques du CFP figure ci-après:</w:t>
      </w:r>
    </w:p>
    <w:p w:rsidR="00FB0C75" w:rsidRPr="00476775" w:rsidRDefault="00525E53" w:rsidP="00FB0C75">
      <w:pPr>
        <w:pStyle w:val="HEADER5"/>
        <w:rPr>
          <w:b w:val="0"/>
        </w:rPr>
      </w:pPr>
      <w:r>
        <w:rPr>
          <w:b w:val="0"/>
        </w:rPr>
        <w:t xml:space="preserve">Rubrique </w:t>
      </w:r>
      <w:r w:rsidRPr="00031A85">
        <w:rPr>
          <w:b w:val="0"/>
        </w:rPr>
        <w:t>1</w:t>
      </w:r>
      <w:r>
        <w:rPr>
          <w:b w:val="0"/>
        </w:rPr>
        <w:t xml:space="preserve"> – Croissance intelligente et inclusive</w:t>
      </w:r>
    </w:p>
    <w:p w:rsidR="00FB0C75" w:rsidRPr="00476775" w:rsidRDefault="00525E53" w:rsidP="00FB0C75">
      <w:pPr>
        <w:pStyle w:val="Textstand-alone"/>
        <w:rPr>
          <w:noProof w:val="0"/>
        </w:rPr>
      </w:pPr>
      <w:r>
        <w:t>Cette rubrique est divisée en deux volets, distincts mais interdépendants.</w:t>
      </w:r>
    </w:p>
    <w:p w:rsidR="00FB0C75" w:rsidRPr="00476775" w:rsidRDefault="00525E53" w:rsidP="00FB0C75">
      <w:pPr>
        <w:pStyle w:val="Textstand-alonenumberingJustified"/>
        <w:numPr>
          <w:ilvl w:val="0"/>
          <w:numId w:val="0"/>
        </w:numPr>
        <w:ind w:left="720" w:hanging="360"/>
      </w:pPr>
      <w:r w:rsidRPr="00031A85">
        <w:t>1</w:t>
      </w:r>
      <w:r>
        <w:t>a</w:t>
      </w:r>
      <w:r>
        <w:tab/>
        <w:t>Compétitivité pour la croissance et l’emploi, regroupant les dépenses consacrées à la recherche et à l’innovation, à l’éducation et à la formation, au mécanisme pour l’interconnexion en Europe, à la politique sociale, au marché intérieur et aux politiques associées.</w:t>
      </w:r>
    </w:p>
    <w:p w:rsidR="00FB0C75" w:rsidRPr="00476775" w:rsidRDefault="00525E53" w:rsidP="00FB0C75">
      <w:pPr>
        <w:pStyle w:val="Textstand-alonenumberingJustified"/>
        <w:numPr>
          <w:ilvl w:val="0"/>
          <w:numId w:val="0"/>
        </w:numPr>
        <w:ind w:left="720" w:hanging="360"/>
      </w:pPr>
      <w:r w:rsidRPr="00031A85">
        <w:t>1</w:t>
      </w:r>
      <w:r>
        <w:t>b</w:t>
      </w:r>
      <w:r>
        <w:tab/>
        <w:t>Cohésion économique, sociale et territoriale, qui vise à accroître la convergence des États membres et des régions les moins développés, à compléter la stratégie de l’UE pour un développement durable en dehors des régions les moins prospères et à soutenir la coopération interrégionale.</w:t>
      </w:r>
    </w:p>
    <w:p w:rsidR="00FB0C75" w:rsidRPr="00476775" w:rsidRDefault="00525E53" w:rsidP="00FB0C75">
      <w:pPr>
        <w:pStyle w:val="HEADER5"/>
        <w:rPr>
          <w:b w:val="0"/>
        </w:rPr>
      </w:pPr>
      <w:r>
        <w:rPr>
          <w:b w:val="0"/>
        </w:rPr>
        <w:t xml:space="preserve">Rubrique </w:t>
      </w:r>
      <w:r w:rsidRPr="00031A85">
        <w:rPr>
          <w:b w:val="0"/>
        </w:rPr>
        <w:t>2</w:t>
      </w:r>
      <w:r>
        <w:rPr>
          <w:b w:val="0"/>
        </w:rPr>
        <w:t xml:space="preserve"> – Croissance durable: ressources naturelles</w:t>
      </w:r>
    </w:p>
    <w:p w:rsidR="00FB0C75" w:rsidRPr="00476775" w:rsidRDefault="00525E53" w:rsidP="00FB0C75">
      <w:pPr>
        <w:pStyle w:val="Textstand-alone"/>
        <w:rPr>
          <w:noProof w:val="0"/>
        </w:rPr>
      </w:pPr>
      <w:r>
        <w:t>La rubrique </w:t>
      </w:r>
      <w:r w:rsidRPr="00031A85">
        <w:t>2</w:t>
      </w:r>
      <w:r>
        <w:t xml:space="preserve"> comprend la politique agricole commune et la politique de la pêche, ainsi que les mesures en faveur de l’environnement, en particulier le programme LIFE+.</w:t>
      </w:r>
    </w:p>
    <w:p w:rsidR="00FB0C75" w:rsidRPr="00476775" w:rsidRDefault="00525E53" w:rsidP="00FB0C75">
      <w:pPr>
        <w:pStyle w:val="HEADER5"/>
        <w:rPr>
          <w:b w:val="0"/>
        </w:rPr>
      </w:pPr>
      <w:r>
        <w:rPr>
          <w:b w:val="0"/>
        </w:rPr>
        <w:t xml:space="preserve">Rubrique </w:t>
      </w:r>
      <w:r w:rsidRPr="00031A85">
        <w:rPr>
          <w:b w:val="0"/>
        </w:rPr>
        <w:t>3</w:t>
      </w:r>
      <w:r>
        <w:rPr>
          <w:b w:val="0"/>
        </w:rPr>
        <w:t xml:space="preserve"> – Sécurité et citoyenneté</w:t>
      </w:r>
    </w:p>
    <w:p w:rsidR="00FB0C75" w:rsidRPr="00476775" w:rsidRDefault="00525E53" w:rsidP="00FB0C75">
      <w:pPr>
        <w:pStyle w:val="Textstand-alone"/>
        <w:rPr>
          <w:noProof w:val="0"/>
        </w:rPr>
      </w:pPr>
      <w:r>
        <w:t xml:space="preserve">La rubrique </w:t>
      </w:r>
      <w:r w:rsidRPr="00031A85">
        <w:t>3</w:t>
      </w:r>
      <w:r>
        <w:t xml:space="preserve"> (Sécurité et citoyenneté) reflète l’importance croissante de certains domaines dans lesquels l’UE s’est vu attribuer des tâches particulières, à savoir la justice et les affaires intérieures, la protection des frontières, la politique d’immigration et d’asile, la santé publique et la protection des consommateurs, la culture, la jeunesse, l’information et le dialogue avec les citoyens.</w:t>
      </w:r>
    </w:p>
    <w:p w:rsidR="00FB0C75" w:rsidRPr="00476775" w:rsidRDefault="00525E53" w:rsidP="00FB0C75">
      <w:pPr>
        <w:pStyle w:val="HEADER5"/>
        <w:rPr>
          <w:b w:val="0"/>
        </w:rPr>
      </w:pPr>
      <w:r>
        <w:rPr>
          <w:b w:val="0"/>
        </w:rPr>
        <w:t xml:space="preserve">Rubrique </w:t>
      </w:r>
      <w:r w:rsidRPr="00031A85">
        <w:rPr>
          <w:b w:val="0"/>
        </w:rPr>
        <w:t>4</w:t>
      </w:r>
      <w:r>
        <w:rPr>
          <w:b w:val="0"/>
        </w:rPr>
        <w:t xml:space="preserve"> – L'Europe dans le monde</w:t>
      </w:r>
    </w:p>
    <w:p w:rsidR="00FB0C75" w:rsidRPr="00476775" w:rsidRDefault="00525E53" w:rsidP="00FB0C75">
      <w:pPr>
        <w:pStyle w:val="Textstand-alone"/>
        <w:rPr>
          <w:noProof w:val="0"/>
        </w:rPr>
      </w:pPr>
      <w:r>
        <w:t xml:space="preserve">La rubrique </w:t>
      </w:r>
      <w:r w:rsidRPr="00031A85">
        <w:t>4</w:t>
      </w:r>
      <w:r>
        <w:t xml:space="preserve"> couvre l’ensemble des actions extérieures, y compris la coopération au développement, l’aide humanitaire, ainsi que les instruments de préadhésion et de voisinage. Le FED ne relève pas du budget de l’UE et n’est pas intégré au CFP.</w:t>
      </w:r>
    </w:p>
    <w:p w:rsidR="00FB0C75" w:rsidRPr="00476775" w:rsidRDefault="00525E53" w:rsidP="00FB0C75">
      <w:pPr>
        <w:pStyle w:val="HEADER5"/>
        <w:rPr>
          <w:b w:val="0"/>
        </w:rPr>
      </w:pPr>
      <w:r>
        <w:rPr>
          <w:b w:val="0"/>
        </w:rPr>
        <w:t xml:space="preserve">Rubrique </w:t>
      </w:r>
      <w:r w:rsidRPr="00031A85">
        <w:rPr>
          <w:b w:val="0"/>
        </w:rPr>
        <w:t>5</w:t>
      </w:r>
      <w:r>
        <w:rPr>
          <w:b w:val="0"/>
        </w:rPr>
        <w:t xml:space="preserve"> - Administration</w:t>
      </w:r>
    </w:p>
    <w:p w:rsidR="00FB0C75" w:rsidRPr="00476775" w:rsidRDefault="00525E53" w:rsidP="00FB0C75">
      <w:pPr>
        <w:pStyle w:val="Textstand-alone"/>
        <w:rPr>
          <w:noProof w:val="0"/>
        </w:rPr>
      </w:pPr>
      <w:r>
        <w:t>Cette rubrique comprend les dépenses administratives de l'ensemble des institutions, les pensions et les écoles européennes. Pour les institutions autres que la Commission, ces coûts constituent le total de leurs dépenses.</w:t>
      </w:r>
    </w:p>
    <w:p w:rsidR="00FB0C75" w:rsidRPr="00476775" w:rsidRDefault="00525E53" w:rsidP="00FB0C75">
      <w:pPr>
        <w:pStyle w:val="HEADER5"/>
        <w:rPr>
          <w:b w:val="0"/>
        </w:rPr>
      </w:pPr>
      <w:r>
        <w:rPr>
          <w:b w:val="0"/>
        </w:rPr>
        <w:t xml:space="preserve">Rubrique </w:t>
      </w:r>
      <w:r w:rsidRPr="00031A85">
        <w:rPr>
          <w:b w:val="0"/>
        </w:rPr>
        <w:t>6</w:t>
      </w:r>
      <w:r>
        <w:rPr>
          <w:b w:val="0"/>
        </w:rPr>
        <w:t xml:space="preserve"> - Compensations</w:t>
      </w:r>
    </w:p>
    <w:p w:rsidR="00FB0C75" w:rsidRPr="00476775" w:rsidRDefault="00525E53" w:rsidP="00FB0C75">
      <w:pPr>
        <w:pStyle w:val="Textstand-alone"/>
        <w:rPr>
          <w:noProof w:val="0"/>
        </w:rPr>
      </w:pPr>
      <w:r>
        <w:t>Conformément à l’accord politique en vertu duquel les nouveaux États membres ne doivent pas devenir contributeurs nets au budget au tout début de leur adhésion, une compensation a été prévue sous cette rubrique. Ce montant a été mis à leur disposition par voie de transferts, en vue d’équilibrer leurs recettes et contributions budgétaires.</w:t>
      </w:r>
    </w:p>
    <w:p w:rsidR="00FB0C75" w:rsidRPr="00476775" w:rsidRDefault="00525E53" w:rsidP="00FB0C75">
      <w:pPr>
        <w:pStyle w:val="HEADER5"/>
        <w:rPr>
          <w:b w:val="0"/>
        </w:rPr>
      </w:pPr>
      <w:r>
        <w:rPr>
          <w:b w:val="0"/>
        </w:rPr>
        <w:t>Rubrique </w:t>
      </w:r>
      <w:r w:rsidRPr="00031A85">
        <w:rPr>
          <w:b w:val="0"/>
        </w:rPr>
        <w:t>9</w:t>
      </w:r>
      <w:r>
        <w:rPr>
          <w:b w:val="0"/>
        </w:rPr>
        <w:t xml:space="preserve"> - Instruments spéciaux</w:t>
      </w:r>
    </w:p>
    <w:p w:rsidR="00FB0C75" w:rsidRPr="00476775" w:rsidRDefault="00525E53" w:rsidP="00FB0C75">
      <w:pPr>
        <w:pStyle w:val="Textstand-alone"/>
        <w:rPr>
          <w:noProof w:val="0"/>
        </w:rPr>
      </w:pPr>
      <w:r>
        <w:t>Les mécanismes de flexibilité permettent à l’UE de mobiliser les fonds nécessaires pour faire face à des événements imprévus tels que des crises et des situations d’urgence. Leur portée, leur dotation financière et leurs modalités de fonctionnement sont définies dans le règlement CFP et dans l'accord interinstitutionnel. Dans le contexte actuel de limitations des dépenses, ces instruments garantissent également que les ressources budgétaires peuvent suivre l'évolution des priorités, de sorte que chaque euro est dépensé là où il est le plus utile. La plupart des instruments de flexibilité sont donc maintenus en dehors du CFP, de manière à ce que les fonds mobilisés puissent dépasser les plafonds de dépenses.</w:t>
      </w:r>
    </w:p>
    <w:p w:rsidR="00FB0C75" w:rsidRPr="00476775" w:rsidRDefault="00FB0C75" w:rsidP="00FB0C75">
      <w:pPr>
        <w:pStyle w:val="Textstand-alone"/>
        <w:rPr>
          <w:noProof w:val="0"/>
        </w:rPr>
      </w:pPr>
    </w:p>
    <w:p w:rsidR="00FB0C75" w:rsidRPr="00476775" w:rsidRDefault="00525E53" w:rsidP="00FB0C75">
      <w:pPr>
        <w:pStyle w:val="HEADER2Part3"/>
        <w:numPr>
          <w:ilvl w:val="1"/>
          <w:numId w:val="1"/>
        </w:numPr>
        <w:ind w:left="907" w:hanging="907"/>
        <w:rPr>
          <w:noProof w:val="0"/>
        </w:rPr>
      </w:pPr>
      <w:bookmarkStart w:id="637" w:name="_Toc485391777"/>
      <w:bookmarkStart w:id="638" w:name="_Toc491681443"/>
      <w:r>
        <w:t>BUDGET ANNUEL</w:t>
      </w:r>
      <w:bookmarkEnd w:id="637"/>
      <w:bookmarkEnd w:id="638"/>
    </w:p>
    <w:p w:rsidR="00FB0C75" w:rsidRPr="00476775" w:rsidRDefault="00525E53" w:rsidP="00FB0C75">
      <w:pPr>
        <w:pStyle w:val="Textstand-alone"/>
        <w:rPr>
          <w:noProof w:val="0"/>
        </w:rPr>
      </w:pPr>
      <w:r>
        <w:t>Chaque année, la Commission procède à une estimation des recettes et dépenses de l’ensemble des institutions européennes pour l’exercice suivant et établit un projet de budget qu’elle transmet à l’autorité budgétaire. Sur la base de ce projet de budget, le Conseil définit sa position, qui fait ensuite l’objet de négociations entre les deux branches de l’autorité budgétaire. L’adoption du projet commun est constatée par le président du Parlement européen, qui rend donc le budget exécutoire. Des budgets rectificatifs sont adoptés en cours d’exercice. L’exécution budgétaire est une tâche qui appartient principalement à la Commission.</w:t>
      </w:r>
    </w:p>
    <w:p w:rsidR="00FB0C75" w:rsidRPr="00476775" w:rsidRDefault="00525E53" w:rsidP="00FB0C75">
      <w:pPr>
        <w:pStyle w:val="Textstand-alone"/>
        <w:rPr>
          <w:noProof w:val="0"/>
        </w:rPr>
      </w:pPr>
      <w:r>
        <w:t>La structure du budget consiste, pour la Commission, en crédits administratifs et opérationnels. Les autres institutions ne disposent en effet que de crédits administratifs. De plus, le budget distingue deux types de crédits: les crédits «non dissociés» et les crédits «dissociés». Les crédits non dissociés sont destinés à la couverture financière des opérations ayant un caractère annuel (et qui répondent au principe de l’annualité budgétaire). Les crédits dissociés servent à concilier, d’une part, le principe de l’annualité du budget et, d’autre part, la nécessité de gérer des opérations dont l’exécution s’échelonne sur plusieurs années. Les crédits dissociés se décomposent en crédits d’engagement et en crédits de paiement:</w:t>
      </w:r>
    </w:p>
    <w:p w:rsidR="00FB0C75" w:rsidRPr="00476775" w:rsidRDefault="00525E53" w:rsidP="00FB0C75">
      <w:pPr>
        <w:pStyle w:val="Textstand-aloneBulletpoint"/>
        <w:numPr>
          <w:ilvl w:val="0"/>
          <w:numId w:val="25"/>
        </w:numPr>
        <w:spacing w:after="240"/>
        <w:ind w:left="357" w:hanging="357"/>
      </w:pPr>
      <w:r>
        <w:rPr>
          <w:color w:val="016794"/>
        </w:rPr>
        <w:t>crédits d’engagement:</w:t>
      </w:r>
      <w:r>
        <w:t xml:space="preserve"> ils couvrent le coût total des obligations juridiques contractées au cours de l’exercice pour des actions dont la réalisation s’étend sur plusieurs années. Cependant, les engagements budgétaires pour des actions dont la réalisation s’étend sur plus d’un exercice peuvent être fractionnés sur plusieurs exercices en tranches annuelles lorsque l’acte de base le prévoit;</w:t>
      </w:r>
    </w:p>
    <w:p w:rsidR="00FB0C75" w:rsidRPr="00476775" w:rsidRDefault="00FB0C75" w:rsidP="00FB0C75">
      <w:pPr>
        <w:pStyle w:val="Textstand-aloneBulletpoint"/>
        <w:numPr>
          <w:ilvl w:val="0"/>
          <w:numId w:val="0"/>
        </w:numPr>
        <w:ind w:left="1080" w:hanging="360"/>
      </w:pPr>
    </w:p>
    <w:p w:rsidR="00FB0C75" w:rsidRPr="00476775" w:rsidRDefault="00525E53" w:rsidP="00FB0C75">
      <w:pPr>
        <w:pStyle w:val="Textstand-aloneBulletpoint"/>
        <w:numPr>
          <w:ilvl w:val="0"/>
          <w:numId w:val="25"/>
        </w:numPr>
        <w:spacing w:after="240"/>
        <w:ind w:left="357" w:hanging="357"/>
      </w:pPr>
      <w:r>
        <w:rPr>
          <w:color w:val="016794"/>
        </w:rPr>
        <w:t>crédits de paiement</w:t>
      </w:r>
      <w:r>
        <w:t>: ils couvrent les dépenses qui découlent de l’exécution des engagements contractés au cours de l’exercice et/ou d’exercices antérieurs.</w:t>
      </w:r>
    </w:p>
    <w:p w:rsidR="00FB0C75" w:rsidRPr="00476775" w:rsidRDefault="00525E53" w:rsidP="00FB0C75">
      <w:pPr>
        <w:pStyle w:val="Textstand-alone"/>
        <w:rPr>
          <w:noProof w:val="0"/>
        </w:rPr>
      </w:pPr>
      <w:r>
        <w:t>Dans les comptes, les types de financements sont regroupés dans deux catégories principales:</w:t>
      </w:r>
    </w:p>
    <w:p w:rsidR="00FB0C75" w:rsidRPr="00476775" w:rsidRDefault="00525E53" w:rsidP="00FB0C75">
      <w:pPr>
        <w:numPr>
          <w:ilvl w:val="0"/>
          <w:numId w:val="27"/>
        </w:numPr>
        <w:tabs>
          <w:tab w:val="clear" w:pos="0"/>
        </w:tabs>
        <w:ind w:left="357" w:hanging="357"/>
        <w:rPr>
          <w:rFonts w:ascii="Verdana" w:hAnsi="Verdana"/>
          <w:sz w:val="18"/>
          <w:szCs w:val="18"/>
        </w:rPr>
      </w:pPr>
      <w:r>
        <w:rPr>
          <w:rFonts w:ascii="Verdana" w:hAnsi="Verdana"/>
          <w:sz w:val="18"/>
        </w:rPr>
        <w:t>les crédits du budget définitif adopté;</w:t>
      </w:r>
    </w:p>
    <w:p w:rsidR="00FB0C75" w:rsidRPr="00476775" w:rsidRDefault="00525E53" w:rsidP="00FB0C75">
      <w:pPr>
        <w:numPr>
          <w:ilvl w:val="0"/>
          <w:numId w:val="27"/>
        </w:numPr>
        <w:tabs>
          <w:tab w:val="clear" w:pos="0"/>
        </w:tabs>
        <w:ind w:left="357" w:hanging="357"/>
        <w:rPr>
          <w:rFonts w:ascii="Verdana" w:hAnsi="Verdana"/>
          <w:sz w:val="18"/>
          <w:szCs w:val="18"/>
        </w:rPr>
      </w:pPr>
      <w:r>
        <w:rPr>
          <w:rFonts w:ascii="Verdana" w:hAnsi="Verdana"/>
          <w:sz w:val="18"/>
        </w:rPr>
        <w:t>les crédits supplémentaires, comprenant:</w:t>
      </w:r>
    </w:p>
    <w:p w:rsidR="00FB0C75" w:rsidRPr="00476775" w:rsidRDefault="00525E53" w:rsidP="00FB0C75">
      <w:pPr>
        <w:pStyle w:val="Textstand-alone"/>
        <w:numPr>
          <w:ilvl w:val="0"/>
          <w:numId w:val="28"/>
        </w:numPr>
        <w:rPr>
          <w:noProof w:val="0"/>
        </w:rPr>
      </w:pPr>
      <w:r>
        <w:t>les crédits reportés de l’exercice précédent (dans un nombre limité de cas, le règlement financier autorise le report à l'exercice en cours de montants non dépensés de l’exercice précédent), et</w:t>
      </w:r>
    </w:p>
    <w:p w:rsidR="00FB0C75" w:rsidRPr="00476775" w:rsidRDefault="00525E53" w:rsidP="00FB0C75">
      <w:pPr>
        <w:pStyle w:val="Textstand-alone"/>
        <w:numPr>
          <w:ilvl w:val="0"/>
          <w:numId w:val="28"/>
        </w:numPr>
        <w:rPr>
          <w:noProof w:val="0"/>
        </w:rPr>
      </w:pPr>
      <w:r>
        <w:t>les recettes affectées provenant des remboursements, des contributions de tiers/pays tiers aux programmes de l’UE et des travaux réalisés pour des tiers sont affectées directement aux lignes budgétaires de dépenses correspondantes et constituent le troisième pilier de financement.</w:t>
      </w:r>
    </w:p>
    <w:p w:rsidR="00FB0C75" w:rsidRPr="00476775" w:rsidRDefault="00525E53" w:rsidP="00FB0C75">
      <w:pPr>
        <w:pStyle w:val="Textstand-alone"/>
        <w:rPr>
          <w:noProof w:val="0"/>
        </w:rPr>
      </w:pPr>
      <w:r>
        <w:t>Les crédits disponibles sont constitués par l’ensemble des types de financements.</w:t>
      </w:r>
    </w:p>
    <w:p w:rsidR="00FB0C75" w:rsidRPr="00476775" w:rsidRDefault="00525E53" w:rsidP="00FB0C75">
      <w:pPr>
        <w:pStyle w:val="HEADER2Part3"/>
        <w:numPr>
          <w:ilvl w:val="1"/>
          <w:numId w:val="1"/>
        </w:numPr>
        <w:ind w:left="907" w:hanging="907"/>
        <w:rPr>
          <w:noProof w:val="0"/>
        </w:rPr>
      </w:pPr>
      <w:bookmarkStart w:id="639" w:name="_Toc485391778"/>
      <w:bookmarkStart w:id="640" w:name="_Toc491681444"/>
      <w:r>
        <w:t>DOMAINES POLITIQUES</w:t>
      </w:r>
      <w:bookmarkEnd w:id="639"/>
      <w:bookmarkEnd w:id="640"/>
    </w:p>
    <w:p w:rsidR="00FB0C75" w:rsidRPr="00476775" w:rsidRDefault="00525E53" w:rsidP="00FB0C75">
      <w:pPr>
        <w:pStyle w:val="Textstand-alone"/>
        <w:rPr>
          <w:noProof w:val="0"/>
        </w:rPr>
      </w:pPr>
      <w:r>
        <w:t>Dans le cadre de la gestion par activités (ABM), la Commission a introduit l’établissement du budget par activités (ABB) dans ses processus de planification et de gestion. L’ABB suppose une structure budgétaire dans laquelle les titres du budget correspondent à des domaines politiques et les chapitres à des activités. L’objectif de l’ABB est de définir un cadre clair permettant de traduire les objectifs politiques de la Commission en actions, que ce soit par des moyens législatifs ou financiers ou par tout autre moyen d’action politique. En structurant les travaux de la Commission autour des activités, on obtient une image précise des engagements de l’institution, tout en créant un cadre commun propice à la définition des priorités. Les ressources sont affectées aux priorités au cours de la procédure budgétaire, et les activités sont utilisées comme des éléments de base aux fins de l’établissement du budget. En créant un tel lien entre les activités et les ressources qui leur sont consacrées, l’ABB vise à renforcer l’efficience et l’efficacité de l’utilisation des ressources à la Commission.</w:t>
      </w:r>
    </w:p>
    <w:p w:rsidR="00FB0C75" w:rsidRPr="00476775" w:rsidRDefault="00525E53" w:rsidP="00FB0C75">
      <w:pPr>
        <w:pStyle w:val="Textstand-alone"/>
        <w:rPr>
          <w:noProof w:val="0"/>
        </w:rPr>
      </w:pPr>
      <w:r>
        <w:t xml:space="preserve">Les domaines politiques pourraient se définir comme des groupements homogènes d’activités constituant des parties des travaux de la Commission qui ont une importance pour le processus de prise de décision. Chaque domaine politique correspond généralement à une direction générale et regroupe en moyenne </w:t>
      </w:r>
      <w:r w:rsidRPr="00031A85">
        <w:t>6</w:t>
      </w:r>
      <w:r>
        <w:t xml:space="preserve"> ou </w:t>
      </w:r>
      <w:r w:rsidRPr="00031A85">
        <w:t>7</w:t>
      </w:r>
      <w:r>
        <w:t xml:space="preserve"> activités distinctes. Les domaines politiques sont essentiellement opérationnels puisque leurs activités centrales sont réalisées au bénéfice de tiers dans leurs domaines d’activité respectifs. Le budget opérationnel est complété par les dépenses administratives nécessaires, pour chaque domaine politique.</w:t>
      </w:r>
    </w:p>
    <w:p w:rsidR="00935C9E" w:rsidRPr="00087998" w:rsidRDefault="00935C9E" w:rsidP="00935C9E">
      <w:pPr>
        <w:pStyle w:val="HEADER2Part3"/>
        <w:numPr>
          <w:ilvl w:val="1"/>
          <w:numId w:val="1"/>
        </w:numPr>
        <w:ind w:left="907" w:hanging="907"/>
        <w:rPr>
          <w:noProof w:val="0"/>
        </w:rPr>
      </w:pPr>
      <w:bookmarkStart w:id="641" w:name="_Toc406426450"/>
      <w:bookmarkStart w:id="642" w:name="_Toc485391779"/>
      <w:bookmarkStart w:id="643" w:name="_Toc491681445"/>
      <w:bookmarkStart w:id="644" w:name="_DMBM_9093"/>
      <w:bookmarkEnd w:id="632"/>
      <w:r>
        <w:t>RECETTES</w:t>
      </w:r>
      <w:bookmarkEnd w:id="641"/>
      <w:bookmarkEnd w:id="642"/>
      <w:bookmarkEnd w:id="643"/>
    </w:p>
    <w:p w:rsidR="00FB0C75" w:rsidRPr="00C72D18" w:rsidRDefault="00525E53" w:rsidP="006C4C5B">
      <w:pPr>
        <w:pStyle w:val="HEADER3Part3"/>
        <w:numPr>
          <w:ilvl w:val="2"/>
          <w:numId w:val="1"/>
        </w:numPr>
        <w:ind w:hanging="1224"/>
      </w:pPr>
      <w:r>
        <w:t>Recettes provenant des ressources propres</w:t>
      </w:r>
    </w:p>
    <w:p w:rsidR="00FB0C75" w:rsidRDefault="00525E53" w:rsidP="00FB0C75">
      <w:pPr>
        <w:pStyle w:val="DGTextstand-alone"/>
        <w:rPr>
          <w:noProof w:val="0"/>
        </w:rPr>
      </w:pPr>
      <w:r>
        <w:t xml:space="preserve">La grande majorité des recettes proviennent des ressources propres, qui peuvent être regroupées dans les catégories suivantes: </w:t>
      </w:r>
    </w:p>
    <w:p w:rsidR="00FB0C75" w:rsidRPr="00C72D18" w:rsidRDefault="00525E53" w:rsidP="00FB0C75">
      <w:pPr>
        <w:pStyle w:val="DGTextStand-alonebulletpoint"/>
        <w:jc w:val="both"/>
        <w:rPr>
          <w:noProof w:val="0"/>
        </w:rPr>
      </w:pPr>
      <w:r w:rsidRPr="00031A85">
        <w:t>1</w:t>
      </w:r>
      <w:r>
        <w:t>)</w:t>
      </w:r>
      <w:r>
        <w:tab/>
        <w:t xml:space="preserve">ressources propres traditionnelles (RPT): elles représentent normalement environ </w:t>
      </w:r>
      <w:r w:rsidRPr="00031A85">
        <w:t>14</w:t>
      </w:r>
      <w:r>
        <w:t> % des recettes issues des ressources propres;</w:t>
      </w:r>
    </w:p>
    <w:p w:rsidR="00FB0C75" w:rsidRPr="00C72D18" w:rsidRDefault="00525E53" w:rsidP="00FB0C75">
      <w:pPr>
        <w:pStyle w:val="DGTextStand-alonebulletpoint"/>
        <w:jc w:val="both"/>
        <w:rPr>
          <w:noProof w:val="0"/>
        </w:rPr>
      </w:pPr>
      <w:r w:rsidRPr="00031A85">
        <w:t>2</w:t>
      </w:r>
      <w:r>
        <w:t>)</w:t>
      </w:r>
      <w:r>
        <w:tab/>
        <w:t xml:space="preserve">ressource fondée sur la taxe sur la valeur ajoutée (TVA): elle représente généralement quelque </w:t>
      </w:r>
      <w:r w:rsidRPr="00031A85">
        <w:t>12</w:t>
      </w:r>
      <w:r>
        <w:t> % des recettes issues des ressources propres;</w:t>
      </w:r>
    </w:p>
    <w:p w:rsidR="00FB0C75" w:rsidRPr="00C72D18" w:rsidRDefault="00525E53" w:rsidP="00FB0C75">
      <w:pPr>
        <w:pStyle w:val="DGTextStand-alonebulletpoint"/>
        <w:jc w:val="both"/>
        <w:rPr>
          <w:noProof w:val="0"/>
        </w:rPr>
      </w:pPr>
      <w:r w:rsidRPr="00031A85">
        <w:t>3</w:t>
      </w:r>
      <w:r>
        <w:t>)</w:t>
      </w:r>
      <w:r>
        <w:tab/>
        <w:t xml:space="preserve">ressource fondée sur le revenu national brut (RNB): elle représente habituellement environ </w:t>
      </w:r>
      <w:r w:rsidRPr="00031A85">
        <w:t>74</w:t>
      </w:r>
      <w:r>
        <w:t> % des recettes issues des ressources propres.</w:t>
      </w:r>
    </w:p>
    <w:p w:rsidR="00FB0C75" w:rsidRDefault="00525E53" w:rsidP="00FB0C75">
      <w:pPr>
        <w:pStyle w:val="DGTextstand-alone"/>
        <w:rPr>
          <w:noProof w:val="0"/>
        </w:rPr>
      </w:pPr>
      <w:r>
        <w:t>L’attribution des ressources propres se fait dans le respect des règles énoncées dans la décision </w:t>
      </w:r>
      <w:r w:rsidRPr="00031A85">
        <w:t>2014</w:t>
      </w:r>
      <w:r>
        <w:t>/</w:t>
      </w:r>
      <w:r w:rsidRPr="00031A85">
        <w:t>335</w:t>
      </w:r>
      <w:r>
        <w:t xml:space="preserve">/UE, Euratom du Conseil du </w:t>
      </w:r>
      <w:r w:rsidRPr="00031A85">
        <w:t>26</w:t>
      </w:r>
      <w:r>
        <w:t> mai </w:t>
      </w:r>
      <w:r w:rsidRPr="00031A85">
        <w:t>2014</w:t>
      </w:r>
      <w:r>
        <w:t xml:space="preserve"> relative au système des ressources propres de l'Union européenne (DRP </w:t>
      </w:r>
      <w:r w:rsidRPr="00031A85">
        <w:t>2014</w:t>
      </w:r>
      <w:r>
        <w:t xml:space="preserve">). Cette décision est entrée en vigueur le </w:t>
      </w:r>
      <w:r w:rsidRPr="00031A85">
        <w:t>1</w:t>
      </w:r>
      <w:r>
        <w:rPr>
          <w:vertAlign w:val="superscript"/>
        </w:rPr>
        <w:t>er</w:t>
      </w:r>
      <w:r>
        <w:t> octobre </w:t>
      </w:r>
      <w:r w:rsidRPr="00031A85">
        <w:t>2016</w:t>
      </w:r>
      <w:r>
        <w:t xml:space="preserve"> et s’applique rétroactivement à partir du </w:t>
      </w:r>
      <w:r w:rsidRPr="00031A85">
        <w:t>1</w:t>
      </w:r>
      <w:r>
        <w:rPr>
          <w:vertAlign w:val="superscript"/>
        </w:rPr>
        <w:t>er</w:t>
      </w:r>
      <w:r>
        <w:t> janvier </w:t>
      </w:r>
      <w:r w:rsidRPr="00031A85">
        <w:t>2014</w:t>
      </w:r>
      <w:r>
        <w:t>. Ses effets pour </w:t>
      </w:r>
      <w:r w:rsidRPr="00031A85">
        <w:t>2014</w:t>
      </w:r>
      <w:r>
        <w:t xml:space="preserve"> et </w:t>
      </w:r>
      <w:r w:rsidRPr="00031A85">
        <w:t>2015</w:t>
      </w:r>
      <w:r>
        <w:t xml:space="preserve"> ont été pris en considération dans l’exercice </w:t>
      </w:r>
      <w:r w:rsidRPr="00031A85">
        <w:t>2016</w:t>
      </w:r>
      <w:r>
        <w:t>.</w:t>
      </w:r>
    </w:p>
    <w:p w:rsidR="00FB0C75" w:rsidRDefault="00525E53" w:rsidP="00FB0C75">
      <w:pPr>
        <w:pStyle w:val="DGTextstand-alone"/>
        <w:rPr>
          <w:noProof w:val="0"/>
        </w:rPr>
      </w:pPr>
      <w:r>
        <w:rPr>
          <w:noProof w:val="0"/>
          <w:sz w:val="19"/>
        </w:rPr>
        <w:t xml:space="preserve">Le montant total de ressources propres alloué à l’Union pour couvrir les crédits de paiement annuels n’excède pas </w:t>
      </w:r>
      <w:r w:rsidRPr="00031A85">
        <w:rPr>
          <w:noProof w:val="0"/>
          <w:sz w:val="19"/>
        </w:rPr>
        <w:t>1</w:t>
      </w:r>
      <w:r>
        <w:rPr>
          <w:noProof w:val="0"/>
          <w:sz w:val="19"/>
        </w:rPr>
        <w:t>,</w:t>
      </w:r>
      <w:r w:rsidRPr="00031A85">
        <w:rPr>
          <w:noProof w:val="0"/>
          <w:sz w:val="19"/>
        </w:rPr>
        <w:t>20</w:t>
      </w:r>
      <w:r>
        <w:rPr>
          <w:noProof w:val="0"/>
          <w:sz w:val="19"/>
        </w:rPr>
        <w:t> % de la somme des RNB de tous les États membres.</w:t>
      </w:r>
    </w:p>
    <w:p w:rsidR="00FB0C75" w:rsidRDefault="00525E53" w:rsidP="006C4C5B">
      <w:pPr>
        <w:pStyle w:val="HEADER3Part3"/>
        <w:numPr>
          <w:ilvl w:val="2"/>
          <w:numId w:val="1"/>
        </w:numPr>
        <w:ind w:hanging="1224"/>
      </w:pPr>
      <w:r>
        <w:t>Ressources propres traditionnelles (RPT)</w:t>
      </w:r>
    </w:p>
    <w:p w:rsidR="00FB0C75" w:rsidRDefault="00525E53" w:rsidP="00FB0C75">
      <w:pPr>
        <w:pStyle w:val="DGTextstand-alone"/>
        <w:rPr>
          <w:noProof w:val="0"/>
        </w:rPr>
      </w:pPr>
      <w:r>
        <w:t xml:space="preserve">Les ressources propres traditionnelles (RPT) se composent des droits de douane (perçus sur les importations en provenance de pays tiers) et des cotisations «sucre» (versées par les producteurs de sucre pour financer les dépenses liées à l’organisation commune du marché du sucre). Elles sont perçues auprès des opérateurs économiques par les États membres pour le compte de l’Union européenne. Cependant, les États membres conservent </w:t>
      </w:r>
      <w:r w:rsidRPr="00031A85">
        <w:t>20</w:t>
      </w:r>
      <w:r>
        <w:t> % du montant à titre de compensation pour leurs frais de perception. Toutes les ressources propres traditionnelles constatées doivent être reprises dans l’un ou l’autre des livres comptables tenus par les autorités compétentes, à savoir:</w:t>
      </w:r>
    </w:p>
    <w:p w:rsidR="00FB0C75" w:rsidRPr="00FA3EA7" w:rsidRDefault="00525E53" w:rsidP="00FB0C75">
      <w:pPr>
        <w:pStyle w:val="Textstand-aloneBulletpoint"/>
        <w:numPr>
          <w:ilvl w:val="0"/>
          <w:numId w:val="25"/>
        </w:numPr>
        <w:spacing w:after="240"/>
        <w:ind w:left="357" w:hanging="357"/>
        <w:jc w:val="both"/>
      </w:pPr>
      <w:r>
        <w:t>dans la comptabilité normale prévue à l’article </w:t>
      </w:r>
      <w:r w:rsidRPr="00031A85">
        <w:t>6</w:t>
      </w:r>
      <w:r>
        <w:t>, paragraphe </w:t>
      </w:r>
      <w:r w:rsidRPr="00031A85">
        <w:t>3</w:t>
      </w:r>
      <w:r>
        <w:t>, du règlement (UE, Euratom) nº </w:t>
      </w:r>
      <w:r w:rsidRPr="00031A85">
        <w:t>609</w:t>
      </w:r>
      <w:r>
        <w:t>/</w:t>
      </w:r>
      <w:r w:rsidRPr="00031A85">
        <w:t>2014</w:t>
      </w:r>
      <w:r>
        <w:t xml:space="preserve"> pour tout montant recouvré ou garanti;</w:t>
      </w:r>
    </w:p>
    <w:p w:rsidR="00FB0C75" w:rsidRDefault="00525E53" w:rsidP="00FB0C75">
      <w:pPr>
        <w:pStyle w:val="Textstand-aloneBulletpoint"/>
        <w:numPr>
          <w:ilvl w:val="0"/>
          <w:numId w:val="25"/>
        </w:numPr>
        <w:spacing w:after="240"/>
        <w:ind w:left="357" w:hanging="357"/>
        <w:jc w:val="both"/>
      </w:pPr>
      <w:r>
        <w:t>dans la comptabilité séparée prévue dans le même article pour tout montant non encore recouvré et/ou non garanti; les montants garantis mais contestés peuvent également être inscrits dans cette comptabilité.</w:t>
      </w:r>
    </w:p>
    <w:p w:rsidR="00FB0C75" w:rsidRDefault="00525E53" w:rsidP="00FB0C75">
      <w:pPr>
        <w:pStyle w:val="DGTextstand-alone"/>
        <w:rPr>
          <w:noProof w:val="0"/>
        </w:rPr>
      </w:pPr>
      <w:r>
        <w:t xml:space="preserve">Les ressources propres traditionnelles doivent être inscrites au compte de la Commission auprès du Trésor de l’État membre ou de sa banque centrale nationale au plus tard le premier jour ouvrable après le </w:t>
      </w:r>
      <w:r w:rsidRPr="00031A85">
        <w:t>19</w:t>
      </w:r>
      <w:r>
        <w:t xml:space="preserve"> du deuxième mois suivant celui au cours duquel les droits ont été constatés (ou recouvrés dans le cas de la comptabilité séparée).</w:t>
      </w:r>
    </w:p>
    <w:p w:rsidR="00FB0C75" w:rsidRDefault="00525E53" w:rsidP="006C4C5B">
      <w:pPr>
        <w:pStyle w:val="HEADER3Part3"/>
        <w:numPr>
          <w:ilvl w:val="2"/>
          <w:numId w:val="1"/>
        </w:numPr>
        <w:ind w:hanging="1224"/>
      </w:pPr>
      <w:r>
        <w:t>Taxe sur la valeur ajoutée (TVA)</w:t>
      </w:r>
    </w:p>
    <w:p w:rsidR="00FB0C75" w:rsidRDefault="00525E53" w:rsidP="00FB0C75">
      <w:pPr>
        <w:pStyle w:val="DGTextstand-alone"/>
        <w:rPr>
          <w:noProof w:val="0"/>
        </w:rPr>
      </w:pPr>
      <w:r>
        <w:t xml:space="preserve">La ressource fondée sur la taxe sur la valeur ajoutée (TVA) est prélevée sur les assiettes TVA des États membres, qui sont harmonisées à cette fin conformément aux règles de l’UE. Cependant, l’assiette de TVA est écrêtée à </w:t>
      </w:r>
      <w:r w:rsidRPr="00031A85">
        <w:t>50</w:t>
      </w:r>
      <w:r>
        <w:t xml:space="preserve"> % du RNB de chaque État membre. Le taux de TVA uniforme appliqué est fixé à </w:t>
      </w:r>
      <w:r w:rsidRPr="00031A85">
        <w:t>0</w:t>
      </w:r>
      <w:r>
        <w:t>,</w:t>
      </w:r>
      <w:r w:rsidRPr="00031A85">
        <w:t>30</w:t>
      </w:r>
      <w:r>
        <w:t> %, sauf pour la période </w:t>
      </w:r>
      <w:r w:rsidRPr="00031A85">
        <w:t>2014</w:t>
      </w:r>
      <w:r>
        <w:t>-</w:t>
      </w:r>
      <w:r w:rsidRPr="00031A85">
        <w:t>2020</w:t>
      </w:r>
      <w:r>
        <w:t xml:space="preserve">, où le taux d'appel pour l’Allemagne, les Pays-Bas et la Suède a été fixé à </w:t>
      </w:r>
      <w:r w:rsidRPr="00031A85">
        <w:t>0</w:t>
      </w:r>
      <w:r>
        <w:t>,</w:t>
      </w:r>
      <w:r w:rsidRPr="00031A85">
        <w:t>15</w:t>
      </w:r>
      <w:r>
        <w:t> %.</w:t>
      </w:r>
    </w:p>
    <w:p w:rsidR="00FB0C75" w:rsidRDefault="00525E53" w:rsidP="006C4C5B">
      <w:pPr>
        <w:pStyle w:val="HEADER3Part3"/>
        <w:numPr>
          <w:ilvl w:val="2"/>
          <w:numId w:val="1"/>
        </w:numPr>
        <w:ind w:hanging="1224"/>
      </w:pPr>
      <w:r>
        <w:t>Revenu national brut (RNB)</w:t>
      </w:r>
    </w:p>
    <w:p w:rsidR="00FB0C75" w:rsidRDefault="00525E53" w:rsidP="00FB0C75">
      <w:pPr>
        <w:pStyle w:val="DGTextstand-alone"/>
        <w:rPr>
          <w:noProof w:val="0"/>
        </w:rPr>
      </w:pPr>
      <w:r>
        <w:t>La ressource fondée sur le revenu national brut (RNB) sert à financer la partie du budget qui n’est pas couverte par d’autres sources de recettes. Le même pourcentage est prélevé sur le RNB de chaque État membre, établi conformément aux règles de l’UE.</w:t>
      </w:r>
    </w:p>
    <w:p w:rsidR="00FB0C75" w:rsidRDefault="00525E53" w:rsidP="00FB0C75">
      <w:pPr>
        <w:pStyle w:val="DGTextstand-alone"/>
        <w:rPr>
          <w:noProof w:val="0"/>
        </w:rPr>
      </w:pPr>
      <w:r>
        <w:t>Les ressources TVA et RNB sont déterminées sur la base des prévisions relatives aux assiettes correspondantes établies au moment de l’élaboration du projet de budget. Ces prévisions font ensuite l’objet d’une révision et d'une mise à jour au cours de l’exercice en question par voie de budget rectificatif. Les différences, positives ou négatives, entre les montants dus par les États membres en fonction des assiettes réelles et les sommes qu’ils ont effectivement versées sur la base des prévisions (révisées) sont appelées par la Commission auprès des États membres pour le premier jour ouvrable du mois de juin du deuxième exercice suivant l’exercice en question.</w:t>
      </w:r>
      <w:r>
        <w:rPr>
          <w:rFonts w:ascii="Book Antiqua" w:hAnsi="Book Antiqua"/>
          <w:noProof w:val="0"/>
          <w:sz w:val="16"/>
        </w:rPr>
        <w:t xml:space="preserve"> </w:t>
      </w:r>
      <w:r>
        <w:t>Sauf réserve formulée, des corrections peuvent être apportées aux assiettes TVA et RNB au cours des quatre exercices suivants. Elles doivent être considérées comme des créances potentielles sur les États membres, dont le montant est incertain du fait que leur incidence financière ne peut être estimée avec précision. Lorsque le montant de ces créances peut être déterminé, les ressources TVA et RNB correspondantes sont appelées, soit en rapport avec les soldes TVA ou RNB, soit via des appels de fonds individuels.</w:t>
      </w:r>
    </w:p>
    <w:p w:rsidR="00FB0C75" w:rsidRPr="00C72D18" w:rsidRDefault="00525E53" w:rsidP="006C4C5B">
      <w:pPr>
        <w:pStyle w:val="HEADER3Part3"/>
        <w:numPr>
          <w:ilvl w:val="2"/>
          <w:numId w:val="1"/>
        </w:numPr>
        <w:ind w:hanging="1224"/>
      </w:pPr>
      <w:r>
        <w:t>Correction en faveur du Royaume-Uni</w:t>
      </w:r>
    </w:p>
    <w:p w:rsidR="00FB0C75" w:rsidRDefault="00525E53" w:rsidP="00FB0C75">
      <w:pPr>
        <w:pStyle w:val="DGTextstand-alone"/>
        <w:rPr>
          <w:noProof w:val="0"/>
        </w:rPr>
      </w:pPr>
      <w:r>
        <w:t>Un mécanisme de correction des déséquilibres budgétaires en faveur du Royaume-Uni (qui réduit les versements de ressources propres du Royaume-Uni tout en augmentant ceux des autres États membres) a été institué par le Conseil européen de Fontainebleau (juin </w:t>
      </w:r>
      <w:r w:rsidRPr="00031A85">
        <w:t>1984</w:t>
      </w:r>
      <w:r>
        <w:t>). L’Allemagne, l’Autriche, la Suède et les Pays-Bas bénéficient d’un financement réduit de la correction britannique (restreint à un quart de leur part normale).</w:t>
      </w:r>
    </w:p>
    <w:p w:rsidR="00FB0C75" w:rsidRPr="00C72D18" w:rsidRDefault="00525E53" w:rsidP="006C4C5B">
      <w:pPr>
        <w:pStyle w:val="HEADER3Part3"/>
        <w:numPr>
          <w:ilvl w:val="2"/>
          <w:numId w:val="1"/>
        </w:numPr>
        <w:ind w:hanging="1224"/>
      </w:pPr>
      <w:r>
        <w:t>Réduction brute</w:t>
      </w:r>
    </w:p>
    <w:p w:rsidR="00FB0C75" w:rsidRDefault="00525E53" w:rsidP="00FB0C75">
      <w:pPr>
        <w:pStyle w:val="DGTextstand-alone"/>
        <w:spacing w:after="0"/>
        <w:rPr>
          <w:noProof w:val="0"/>
        </w:rPr>
      </w:pPr>
      <w:r>
        <w:t xml:space="preserve">Le Conseil européen des </w:t>
      </w:r>
      <w:r w:rsidRPr="00031A85">
        <w:t>7</w:t>
      </w:r>
      <w:r>
        <w:t xml:space="preserve"> et </w:t>
      </w:r>
      <w:r w:rsidRPr="00031A85">
        <w:t>8</w:t>
      </w:r>
      <w:r>
        <w:t> février </w:t>
      </w:r>
      <w:r w:rsidRPr="00031A85">
        <w:t>2013</w:t>
      </w:r>
      <w:r>
        <w:t xml:space="preserve"> a conclu que le Danemark, les Pays-Bas et la Suède devaient bénéficier de réductions brutes de leurs contributions annuelles fondées sur le RNB pour la période </w:t>
      </w:r>
      <w:r w:rsidRPr="00031A85">
        <w:t>2014</w:t>
      </w:r>
      <w:r>
        <w:t>-</w:t>
      </w:r>
      <w:r w:rsidRPr="00031A85">
        <w:t>2020</w:t>
      </w:r>
      <w:r>
        <w:t xml:space="preserve"> et que l’Autriche bénéficierait de réductions brutes pour la période </w:t>
      </w:r>
      <w:r w:rsidRPr="00031A85">
        <w:t>2014</w:t>
      </w:r>
      <w:r>
        <w:t>-</w:t>
      </w:r>
      <w:r w:rsidRPr="00031A85">
        <w:t>2016</w:t>
      </w:r>
      <w:r>
        <w:t xml:space="preserve"> uniquement. Les réductions annuelles sont les suivantes: </w:t>
      </w:r>
      <w:r w:rsidRPr="00031A85">
        <w:t>130</w:t>
      </w:r>
      <w:r>
        <w:t xml:space="preserve"> millions d’EUR pour le Danemark, </w:t>
      </w:r>
      <w:r w:rsidRPr="00031A85">
        <w:t>695</w:t>
      </w:r>
      <w:r>
        <w:t xml:space="preserve"> millions d’EUR pour les Pays-Bas et </w:t>
      </w:r>
      <w:r w:rsidRPr="00031A85">
        <w:t>185</w:t>
      </w:r>
      <w:r>
        <w:t xml:space="preserve"> millions d’EUR pour la Suède. La réduction brute de l’Autriche a été fixée à </w:t>
      </w:r>
      <w:r w:rsidRPr="00031A85">
        <w:t>30</w:t>
      </w:r>
      <w:r>
        <w:t xml:space="preserve"> millions d’EUR en </w:t>
      </w:r>
      <w:r w:rsidRPr="00031A85">
        <w:t>2014</w:t>
      </w:r>
      <w:r>
        <w:t xml:space="preserve">, </w:t>
      </w:r>
      <w:r w:rsidRPr="00031A85">
        <w:t>20</w:t>
      </w:r>
      <w:r>
        <w:t xml:space="preserve"> millions d’EUR en </w:t>
      </w:r>
      <w:r w:rsidRPr="00031A85">
        <w:t>2015</w:t>
      </w:r>
      <w:r>
        <w:t xml:space="preserve"> et </w:t>
      </w:r>
      <w:r w:rsidRPr="00031A85">
        <w:t>10</w:t>
      </w:r>
      <w:r>
        <w:t xml:space="preserve"> millions d’EUR en </w:t>
      </w:r>
      <w:r w:rsidRPr="00031A85">
        <w:t>2016</w:t>
      </w:r>
      <w:r>
        <w:t xml:space="preserve"> (tous ces montants s’entendent aux prix de </w:t>
      </w:r>
      <w:r w:rsidRPr="00031A85">
        <w:t>2011</w:t>
      </w:r>
      <w:r>
        <w:t>).</w:t>
      </w:r>
    </w:p>
    <w:p w:rsidR="00FB0C75" w:rsidRDefault="00525E53" w:rsidP="006C4C5B">
      <w:pPr>
        <w:pStyle w:val="HEADER3Part3"/>
        <w:numPr>
          <w:ilvl w:val="2"/>
          <w:numId w:val="1"/>
        </w:numPr>
        <w:ind w:hanging="1224"/>
      </w:pPr>
      <w:r>
        <w:t>Ajustement concernant la mise en œuvre de la DRP </w:t>
      </w:r>
      <w:r w:rsidRPr="00031A85">
        <w:t>2014</w:t>
      </w:r>
      <w:r>
        <w:t xml:space="preserve"> pour les exercices </w:t>
      </w:r>
      <w:r w:rsidRPr="00031A85">
        <w:t>2014</w:t>
      </w:r>
      <w:r>
        <w:t xml:space="preserve"> et </w:t>
      </w:r>
      <w:r w:rsidRPr="00031A85">
        <w:t>2015</w:t>
      </w:r>
    </w:p>
    <w:p w:rsidR="00FB0C75" w:rsidRDefault="00525E53" w:rsidP="00FB0C75">
      <w:pPr>
        <w:pStyle w:val="DGTextstand-alone"/>
        <w:spacing w:before="0" w:after="0"/>
        <w:rPr>
          <w:noProof w:val="0"/>
        </w:rPr>
      </w:pPr>
      <w:r>
        <w:t>L’article </w:t>
      </w:r>
      <w:r w:rsidRPr="00031A85">
        <w:t>11</w:t>
      </w:r>
      <w:r>
        <w:t xml:space="preserve"> de la DRP </w:t>
      </w:r>
      <w:r w:rsidRPr="00031A85">
        <w:t>2014</w:t>
      </w:r>
      <w:r>
        <w:t xml:space="preserve"> dispose qu’une fois la décision entrée en vigueur, elle est applicable à partir du </w:t>
      </w:r>
      <w:r w:rsidRPr="00031A85">
        <w:t>1</w:t>
      </w:r>
      <w:r>
        <w:rPr>
          <w:vertAlign w:val="superscript"/>
        </w:rPr>
        <w:t>er</w:t>
      </w:r>
      <w:r>
        <w:t> janvier </w:t>
      </w:r>
      <w:r w:rsidRPr="00031A85">
        <w:t>2014</w:t>
      </w:r>
      <w:r>
        <w:t>. Cela signifie que le financement pour les exercices </w:t>
      </w:r>
      <w:r w:rsidRPr="00031A85">
        <w:t>2014</w:t>
      </w:r>
      <w:r>
        <w:t xml:space="preserve"> et </w:t>
      </w:r>
      <w:r w:rsidRPr="00031A85">
        <w:t>2015</w:t>
      </w:r>
      <w:r>
        <w:t xml:space="preserve"> a dû être recalculé conformément aux nouvelles règles. L’ajustement (c'est-à-dire la différence entre l’ancienne et la nouvelle DRP pour les exercices </w:t>
      </w:r>
      <w:r w:rsidRPr="00031A85">
        <w:t>2014</w:t>
      </w:r>
      <w:r>
        <w:t xml:space="preserve"> et </w:t>
      </w:r>
      <w:r w:rsidRPr="00031A85">
        <w:t>2015</w:t>
      </w:r>
      <w:r>
        <w:t>) a été inscrit dans le budget rectificatif nº </w:t>
      </w:r>
      <w:r w:rsidRPr="00031A85">
        <w:t>5</w:t>
      </w:r>
      <w:r>
        <w:t>/</w:t>
      </w:r>
      <w:r w:rsidRPr="00031A85">
        <w:t>2016</w:t>
      </w:r>
      <w:r>
        <w:t xml:space="preserve"> et a été exécuté au moyen d'un versement unique le premier jour ouvrable de janvier </w:t>
      </w:r>
      <w:r w:rsidRPr="00031A85">
        <w:t>2017</w:t>
      </w:r>
      <w:r>
        <w:t>.</w:t>
      </w:r>
    </w:p>
    <w:p w:rsidR="00FB0C75" w:rsidRDefault="00FB0C75" w:rsidP="00FB0C75">
      <w:pPr>
        <w:pStyle w:val="DGTextstand-alone"/>
        <w:spacing w:before="0" w:after="0"/>
        <w:rPr>
          <w:noProof w:val="0"/>
        </w:rPr>
      </w:pPr>
    </w:p>
    <w:p w:rsidR="00FB0C75" w:rsidRDefault="00525E53" w:rsidP="00FB0C75">
      <w:pPr>
        <w:pStyle w:val="HEADER2Part3"/>
        <w:numPr>
          <w:ilvl w:val="1"/>
          <w:numId w:val="1"/>
        </w:numPr>
        <w:ind w:left="907" w:hanging="907"/>
        <w:rPr>
          <w:noProof w:val="0"/>
        </w:rPr>
      </w:pPr>
      <w:bookmarkStart w:id="645" w:name="_Toc485391780"/>
      <w:bookmarkStart w:id="646" w:name="_Toc491681446"/>
      <w:r>
        <w:t>CALCUL DU RÉSULTAT DE L’EXÉCUTION DU BUDGET</w:t>
      </w:r>
      <w:bookmarkEnd w:id="645"/>
      <w:bookmarkEnd w:id="646"/>
    </w:p>
    <w:p w:rsidR="00FB0C75" w:rsidRDefault="00525E53" w:rsidP="00FB0C75">
      <w:pPr>
        <w:pStyle w:val="Textstand-alone"/>
        <w:rPr>
          <w:noProof w:val="0"/>
        </w:rPr>
      </w:pPr>
      <w:r>
        <w:t>Le résultat de l’exécution du budget de l’UE est restitué aux États membres au cours de l’exercice suivant: il est porté en déduction des montants dont ils sont redevables pour cet exercice.</w:t>
      </w:r>
    </w:p>
    <w:p w:rsidR="00FB0C75" w:rsidRDefault="00525E53" w:rsidP="00FB0C75">
      <w:pPr>
        <w:pStyle w:val="Textstand-alone"/>
        <w:rPr>
          <w:noProof w:val="0"/>
        </w:rPr>
      </w:pPr>
      <w:r>
        <w:t>Les ressources propres sont comptabilisées sur la base des montants dont sont crédités, au cours de l’exercice, les comptes ouverts au nom de la Commission par les administrations des États membres. Les recettes incluent également le solde budgétaire de l’exercice précédent, lorsque celui-ci est positif (excédent). Les autres recettes sont prises en compte sur la base des montants effectivement perçus au cours de l’exercice.</w:t>
      </w:r>
    </w:p>
    <w:p w:rsidR="00FB0C75" w:rsidRDefault="00525E53" w:rsidP="00FB0C75">
      <w:pPr>
        <w:pStyle w:val="Textstand-alone"/>
        <w:rPr>
          <w:noProof w:val="0"/>
        </w:rPr>
      </w:pPr>
      <w:r>
        <w:t xml:space="preserve">Pour le calcul du résultat de l’exécution du budget de l’exercice, les dépenses comprennent les paiements sur crédits de l’exercice auxquels s’ajoutent les crédits du même exercice reportés à l’exercice suivant. Les paiements effectués sur les crédits de l’exercice sont ceux qui ont été exécutés par le comptable au plus tard le </w:t>
      </w:r>
      <w:r w:rsidRPr="00031A85">
        <w:t>31</w:t>
      </w:r>
      <w:r>
        <w:t xml:space="preserve"> décembre de l’exercice. Pour le FEAGA, les paiements pris en compte sont ceux effectués par les États membres du </w:t>
      </w:r>
      <w:r w:rsidRPr="00031A85">
        <w:t>16</w:t>
      </w:r>
      <w:r>
        <w:t xml:space="preserve"> octobre N-</w:t>
      </w:r>
      <w:r w:rsidRPr="00031A85">
        <w:t>1</w:t>
      </w:r>
      <w:r>
        <w:t xml:space="preserve"> au </w:t>
      </w:r>
      <w:r w:rsidRPr="00031A85">
        <w:t>15</w:t>
      </w:r>
      <w:r>
        <w:t xml:space="preserve"> octobre N, pour autant que leur engagement et leur ordonnancement soient parvenus au comptable au plus tard le </w:t>
      </w:r>
      <w:r w:rsidRPr="00031A85">
        <w:t>31</w:t>
      </w:r>
      <w:r>
        <w:t xml:space="preserve"> janvier N+</w:t>
      </w:r>
      <w:r w:rsidRPr="00031A85">
        <w:t>1</w:t>
      </w:r>
      <w:r>
        <w:t>. Les dépenses du FEAGA peuvent faire l’objet d’une décision de conformité à la suite des contrôles effectués dans les États membres.</w:t>
      </w:r>
    </w:p>
    <w:p w:rsidR="00FB0C75" w:rsidRDefault="00525E53" w:rsidP="00FB0C75">
      <w:pPr>
        <w:pStyle w:val="Textstand-alone"/>
        <w:rPr>
          <w:noProof w:val="0"/>
        </w:rPr>
      </w:pPr>
      <w:r>
        <w:t>Le résultat de l’exécution du budget de l’exercice a deux composantes: le résultat de l’UE et le résultat de la participation des pays de l’AELE membres de l’Espace économique européen (EEE). Aux termes de l’article </w:t>
      </w:r>
      <w:r w:rsidRPr="00031A85">
        <w:t>1</w:t>
      </w:r>
      <w:r>
        <w:rPr>
          <w:vertAlign w:val="superscript"/>
        </w:rPr>
        <w:t>er</w:t>
      </w:r>
      <w:r>
        <w:t>, paragraphe </w:t>
      </w:r>
      <w:r w:rsidRPr="00031A85">
        <w:t>1</w:t>
      </w:r>
      <w:r>
        <w:t>, du règlement (UE, Euratom) nº </w:t>
      </w:r>
      <w:r w:rsidRPr="00031A85">
        <w:t>608</w:t>
      </w:r>
      <w:r>
        <w:t>/</w:t>
      </w:r>
      <w:r w:rsidRPr="00031A85">
        <w:t>2014</w:t>
      </w:r>
      <w:r>
        <w:t xml:space="preserve"> portant mesures d'exécution du système des ressources propres de l'Union européenne, ce résultat est constitué par la différence entre:</w:t>
      </w:r>
    </w:p>
    <w:p w:rsidR="00FB0C75" w:rsidRDefault="00525E53" w:rsidP="00FB0C75">
      <w:pPr>
        <w:pStyle w:val="Textstand-aloneBulletpoint"/>
        <w:numPr>
          <w:ilvl w:val="0"/>
          <w:numId w:val="25"/>
        </w:numPr>
        <w:spacing w:after="120"/>
        <w:ind w:left="357" w:hanging="357"/>
      </w:pPr>
      <w:r>
        <w:t>l’ensemble des recettes budgétaires perçues au titre de l’exercice et</w:t>
      </w:r>
    </w:p>
    <w:p w:rsidR="00FB0C75" w:rsidRDefault="00FB0C75" w:rsidP="00FB0C75">
      <w:pPr>
        <w:pStyle w:val="Textstand-aloneBulletpoint"/>
        <w:numPr>
          <w:ilvl w:val="0"/>
          <w:numId w:val="0"/>
        </w:numPr>
        <w:spacing w:after="120"/>
        <w:ind w:left="1080"/>
      </w:pPr>
    </w:p>
    <w:p w:rsidR="00FB0C75" w:rsidRDefault="00525E53" w:rsidP="00FB0C75">
      <w:pPr>
        <w:pStyle w:val="Textstand-aloneBulletpoint"/>
        <w:numPr>
          <w:ilvl w:val="0"/>
          <w:numId w:val="25"/>
        </w:numPr>
        <w:spacing w:after="240"/>
        <w:ind w:left="357" w:hanging="357"/>
      </w:pPr>
      <w:r>
        <w:t>le montant total des paiements effectués sur les crédits de l’exercice en cours, augmenté du montant total des crédits du même exercice reportés à l’exercice suivant.</w:t>
      </w:r>
    </w:p>
    <w:p w:rsidR="00FB0C75" w:rsidRDefault="00525E53" w:rsidP="00FB0C75">
      <w:pPr>
        <w:pStyle w:val="Textstand-alone"/>
        <w:rPr>
          <w:noProof w:val="0"/>
        </w:rPr>
      </w:pPr>
      <w:r>
        <w:t>Cette différence est augmentée ou diminuée:</w:t>
      </w:r>
    </w:p>
    <w:p w:rsidR="00FB0C75" w:rsidRDefault="00525E53" w:rsidP="00FB0C75">
      <w:pPr>
        <w:pStyle w:val="Textstand-aloneBulletpoint"/>
        <w:numPr>
          <w:ilvl w:val="0"/>
          <w:numId w:val="25"/>
        </w:numPr>
        <w:spacing w:after="240"/>
        <w:ind w:left="357" w:hanging="357"/>
      </w:pPr>
      <w:r>
        <w:t xml:space="preserve">du montant net qui résulte des annulations de crédits de paiement reportés des exercices antérieurs et des dépassements éventuels, en paiements, dus à la variation des cours de l’euro, des crédits non dissociés reportés de l’exercice précédent, </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de l’évolution des recettes affectées, et</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des gains et des pertes de change nets enregistrés pendant l’exercice.</w:t>
      </w:r>
    </w:p>
    <w:p w:rsidR="00FB0C75" w:rsidRDefault="00525E53" w:rsidP="00FB0C75">
      <w:pPr>
        <w:pStyle w:val="Textstand-alone"/>
        <w:rPr>
          <w:noProof w:val="0"/>
        </w:rPr>
      </w:pPr>
      <w:r>
        <w:t>Les crédits reportés de l’exercice précédent relatifs à des participations de tiers et à des travaux pour des tiers, qui, par nature, ne tombent jamais en annulation, sont repris comme crédits additionnels de l’exercice. Cela explique la différence entre le montant des crédits reportés de l’exercice précédent repris dans les états sur l’exécution budgétaire relatifs à l’exercice N et le montant des crédits reportés à l’exercice suivant figurant dans les états sur l’exécution budgétaire relatifs à l’exercice N-</w:t>
      </w:r>
      <w:r w:rsidRPr="00031A85">
        <w:t>1</w:t>
      </w:r>
      <w:r>
        <w:t>. Les crédits reconstitués à la suite de reversements d’acomptes ne font pas partie du calcul du résultat de l’exécution du budget.</w:t>
      </w:r>
    </w:p>
    <w:p w:rsidR="00FB0C75" w:rsidRDefault="00525E53" w:rsidP="00FB0C75">
      <w:pPr>
        <w:pStyle w:val="Textstand-alone"/>
        <w:rPr>
          <w:noProof w:val="0"/>
        </w:rPr>
      </w:pPr>
      <w:r>
        <w:t>Les crédits de paiement reportés comprennent: les reports de droit et les reports par décision. La rubrique annulation des crédits de paiement inutilisés reportés de l’exercice précédent fait apparaître les annulations de crédits reportés de droit et par décision.</w:t>
      </w:r>
    </w:p>
    <w:bookmarkEnd w:id="644"/>
    <w:p w:rsidR="00FB0C75" w:rsidRDefault="00FB0C75" w:rsidP="00FB0C75">
      <w:pPr>
        <w:pStyle w:val="DGTextstand-alone"/>
        <w:spacing w:before="0" w:after="0"/>
        <w:rPr>
          <w:noProof w:val="0"/>
        </w:rPr>
      </w:pPr>
    </w:p>
    <w:p w:rsidR="00FB0C75" w:rsidRDefault="00525E53" w:rsidP="00FB0C75">
      <w:pPr>
        <w:pStyle w:val="HEADER2Part3"/>
        <w:numPr>
          <w:ilvl w:val="1"/>
          <w:numId w:val="1"/>
        </w:numPr>
        <w:ind w:left="907" w:hanging="907"/>
      </w:pPr>
      <w:bookmarkStart w:id="647" w:name="_Toc485391781"/>
      <w:bookmarkStart w:id="648" w:name="_Toc491681447"/>
      <w:bookmarkStart w:id="649" w:name="_DMBM_9091"/>
      <w:r>
        <w:t>RAPPROCHEMENT ENTRE LE RÉSULTAT ÉCONOMIQUE ET LE RÉSULTAT DE L’EXÉCUTION DU BUDGET</w:t>
      </w:r>
      <w:bookmarkEnd w:id="647"/>
      <w:bookmarkEnd w:id="64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rsidRPr="00031A85">
              <w:t>2015</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RÉSULTAT ÉCONOMIQUE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 xml:space="preserve"> </w:t>
            </w:r>
            <w:r w:rsidRPr="00031A85">
              <w:t>733</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w:t>
            </w:r>
            <w:r w:rsidRPr="00031A85">
              <w:t>13</w:t>
            </w:r>
            <w:r>
              <w:t xml:space="preserve"> </w:t>
            </w:r>
            <w:r w:rsidRPr="00031A85">
              <w:t>033</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Recettes</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Droits constatés en cours d’exercice mais non encore recouvrés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1</w:t>
            </w:r>
            <w:r>
              <w:t xml:space="preserve"> </w:t>
            </w:r>
            <w:r w:rsidRPr="00031A85">
              <w:t>969</w:t>
            </w: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w:t>
            </w:r>
            <w:r w:rsidRPr="00031A85">
              <w:t>318</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Droits constatés au cours des exercices antérieurs et recouvrés au cours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3</w:t>
            </w:r>
            <w:r>
              <w:t xml:space="preserve"> </w:t>
            </w:r>
            <w:r w:rsidRPr="00031A85">
              <w:t>363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7</w:t>
            </w:r>
            <w:r>
              <w:t xml:space="preserve"> </w:t>
            </w:r>
            <w:r w:rsidRPr="00031A85">
              <w:t>943</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Produits à recevoir (nets)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w:t>
            </w:r>
            <w:r w:rsidRPr="00031A85">
              <w:t>611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w:t>
            </w:r>
            <w:r w:rsidRPr="00031A85">
              <w:t>359</w:t>
            </w:r>
            <w:r>
              <w:t>)</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Dépenses</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Charges à payer (nettes)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10</w:t>
            </w:r>
            <w:r>
              <w:t xml:space="preserve"> </w:t>
            </w:r>
            <w:r w:rsidRPr="00031A85">
              <w:t>678</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9</w:t>
            </w:r>
            <w:r>
              <w:t xml:space="preserve"> </w:t>
            </w:r>
            <w:r w:rsidRPr="00031A85">
              <w:t>920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Charges de l’exercice précédent payées au cours de l’exercice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7</w:t>
            </w:r>
            <w:r>
              <w:t xml:space="preserve"> </w:t>
            </w:r>
            <w:r w:rsidRPr="00031A85">
              <w:t>656</w:t>
            </w: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1</w:t>
            </w:r>
            <w:r>
              <w:t xml:space="preserve"> </w:t>
            </w:r>
            <w:r w:rsidRPr="00031A85">
              <w:t>208</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Effet net des préfinancements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w:t>
            </w:r>
            <w:r w:rsidRPr="00031A85">
              <w:t>468</w:t>
            </w: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4</w:t>
            </w:r>
            <w:r>
              <w:t xml:space="preserve"> </w:t>
            </w:r>
            <w:r w:rsidRPr="00031A85">
              <w:t>831</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Crédits de paiement reportés à l’exercice suivant</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3</w:t>
            </w:r>
            <w:r>
              <w:t xml:space="preserve"> </w:t>
            </w:r>
            <w:r w:rsidRPr="00031A85">
              <w:t>102</w:t>
            </w: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2</w:t>
            </w:r>
            <w:r>
              <w:t xml:space="preserve"> </w:t>
            </w:r>
            <w:r w:rsidRPr="00031A85">
              <w:t>195</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Paiements effectués sur crédits reportés et annulation de crédits de paiement inutilisés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1</w:t>
            </w:r>
            <w:r>
              <w:t xml:space="preserve"> </w:t>
            </w:r>
            <w:r w:rsidRPr="00031A85">
              <w:t>379</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1</w:t>
            </w:r>
            <w:r>
              <w:t xml:space="preserve"> </w:t>
            </w:r>
            <w:r w:rsidRPr="00031A85">
              <w:t>979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Variations des provisions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3</w:t>
            </w:r>
            <w:r>
              <w:t xml:space="preserve"> </w:t>
            </w:r>
            <w:r w:rsidRPr="00031A85">
              <w:t>962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rsidRPr="00031A85">
              <w:t>4</w:t>
            </w:r>
            <w:r>
              <w:t xml:space="preserve"> </w:t>
            </w:r>
            <w:r w:rsidRPr="00031A85">
              <w:t>950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2</w:t>
            </w:r>
            <w:r>
              <w:t xml:space="preserve"> </w:t>
            </w:r>
            <w:r w:rsidRPr="00031A85">
              <w:t>142</w:t>
            </w:r>
            <w:r>
              <w:t>)</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w:t>
            </w:r>
            <w:r w:rsidRPr="00031A85">
              <w:t>1</w:t>
            </w:r>
            <w:r>
              <w:t xml:space="preserve"> </w:t>
            </w:r>
            <w:r w:rsidRPr="00031A85">
              <w:t>671</w:t>
            </w:r>
            <w:r>
              <w:t>)</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Résultat économique agences et CECA</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 xml:space="preserve"> </w:t>
            </w:r>
            <w:r w:rsidRPr="00031A85">
              <w:t>16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 xml:space="preserve"> </w:t>
            </w:r>
            <w:r w:rsidRPr="00031A85">
              <w:t>169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RÉSULTAT DE L’EXÉCUTION DU BUDGET DE L’EXERCICE</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6</w:t>
            </w:r>
            <w:r>
              <w:t xml:space="preserve"> </w:t>
            </w:r>
            <w:r w:rsidRPr="00031A85">
              <w:t>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1</w:t>
            </w:r>
            <w:r>
              <w:t xml:space="preserve"> </w:t>
            </w:r>
            <w:r w:rsidRPr="00031A85">
              <w:t>347</w:t>
            </w:r>
          </w:p>
        </w:tc>
      </w:tr>
    </w:tbl>
    <w:p w:rsidR="00FB0C75" w:rsidRDefault="00FB0C75" w:rsidP="00FB0C75">
      <w:pPr>
        <w:pStyle w:val="Textstand-alone"/>
      </w:pPr>
    </w:p>
    <w:p w:rsidR="00FB0C75" w:rsidRDefault="00525E53" w:rsidP="00FB0C75">
      <w:pPr>
        <w:pStyle w:val="Textstand-alone"/>
      </w:pPr>
      <w:r>
        <w:t xml:space="preserve">En vertu du règlement financier, le résultat économique de l’exercice est calculé selon les principes de la comptabilité d’exercice, tandis que le résultat de l’exécution du budget est établi sur la base d’une comptabilité de caisse modifiée. Le résultat économique et le résultat de l’exécution budgétaire couvrant tous deux les mêmes opérations sous-jacentes, il est utile de vérifier leur concordance par un rapprochement. </w:t>
      </w:r>
    </w:p>
    <w:p w:rsidR="00FB0C75" w:rsidRPr="00F62650" w:rsidRDefault="00525E53" w:rsidP="00FB0C75">
      <w:pPr>
        <w:pStyle w:val="Textstand-alone"/>
        <w:rPr>
          <w:rFonts w:eastAsiaTheme="minorHAnsi" w:cstheme="minorBidi"/>
          <w:noProof w:val="0"/>
          <w:color w:val="016794"/>
        </w:rPr>
      </w:pPr>
      <w:r>
        <w:rPr>
          <w:rFonts w:eastAsiaTheme="minorHAnsi" w:cstheme="minorBidi"/>
          <w:noProof w:val="0"/>
          <w:color w:val="016794"/>
        </w:rPr>
        <w:t>Éléments de rapprochement — Recettes</w:t>
      </w:r>
    </w:p>
    <w:p w:rsidR="00FB0C75" w:rsidRDefault="00525E53" w:rsidP="00FB0C75">
      <w:pPr>
        <w:pStyle w:val="Textstand-alone"/>
      </w:pPr>
      <w:r>
        <w:t xml:space="preserve">Les recettes effectives d’un exercice budgétaire correspondent aux recettes encaissées sur les droits constatés au cours de l’exercice et aux encaissements sur les droits constatés au cours d’exercices précédents. Par conséquent, les droits constatés en cours d’exercice mais non encore recouvrés doivent être déduits du résultat économique aux fins du rapprochement, puisqu’ils ne font pas partie des recettes budgétaires. En revanche, les droits constatés antérieurement à l’exercice et recouvrés au cours de l’exercice doivent être ajoutés au résultat économique aux fins du rapprochement. </w:t>
      </w:r>
    </w:p>
    <w:p w:rsidR="00FB0C75" w:rsidRDefault="00525E53" w:rsidP="00FB0C75">
      <w:pPr>
        <w:pStyle w:val="Textstand-alone"/>
      </w:pPr>
      <w:r>
        <w:t xml:space="preserve">Les produits nets à recevoir consistent principalement en recettes à percevoir au titre de l’agriculture, des ressources propres et des intérêts et dividendes. Seul l’effet net, à savoir les produits à recevoir de l’exercice en cours moins les encaissements sur les produits à recevoir de l’exercice précédent, est pris en considération. </w:t>
      </w:r>
    </w:p>
    <w:p w:rsidR="00FB0C75" w:rsidRPr="00F62650" w:rsidRDefault="00525E53" w:rsidP="00FB0C75">
      <w:pPr>
        <w:pStyle w:val="Textstand-alone"/>
        <w:rPr>
          <w:rFonts w:eastAsiaTheme="minorHAnsi" w:cstheme="minorBidi"/>
          <w:noProof w:val="0"/>
          <w:color w:val="016794"/>
        </w:rPr>
      </w:pPr>
      <w:r>
        <w:rPr>
          <w:rFonts w:eastAsiaTheme="minorHAnsi" w:cstheme="minorBidi"/>
          <w:noProof w:val="0"/>
          <w:color w:val="016794"/>
        </w:rPr>
        <w:t xml:space="preserve">Éléments de rapprochement — Dépenses </w:t>
      </w:r>
    </w:p>
    <w:p w:rsidR="00FB0C75" w:rsidRDefault="00525E53" w:rsidP="00FB0C75">
      <w:pPr>
        <w:pStyle w:val="Textstand-alone"/>
      </w:pPr>
      <w:r>
        <w:t>Les charges nettes à payer consistent principalement en régularisations de fin d’exercice qui concernent des dépenses éligibles exposées par les bénéficiaires des fonds de l’UE mais n’ayant pas encore été déclarées à la Commission. Tandis que les charges à payer ne sont pas considérées comme des dépenses budgétaires, les paiements effectués au cours de l’exercice et concernant des factures enregistrées antérieurement à celui-ci font partie des dépenses budgétaires de l’exercice.</w:t>
      </w:r>
    </w:p>
    <w:p w:rsidR="00FB0C75" w:rsidRDefault="00525E53" w:rsidP="00FB0C75">
      <w:pPr>
        <w:pStyle w:val="Textstand-alone"/>
      </w:pPr>
      <w:r>
        <w:t xml:space="preserve">L’effet net des préfinancements tient compte à la fois </w:t>
      </w:r>
      <w:r w:rsidRPr="00031A85">
        <w:t>1</w:t>
      </w:r>
      <w:r>
        <w:t xml:space="preserve">) des nouveaux préfinancements versés au cours de l’exercice et comptabilisés en dépenses budgétaires de l’exercice et </w:t>
      </w:r>
      <w:r w:rsidRPr="00031A85">
        <w:t>2</w:t>
      </w:r>
      <w:r>
        <w:t xml:space="preserve">) de tous les préfinancements apurés au cours de l’exercice par l’acceptation de dépenses éligibles. Les seconds constituent des charges comptables, mais non des dépenses budgétaires, puisque les préfinancements initiaux avaient déjà été considérés comme des dépenses budgétaires lors du versement. </w:t>
      </w:r>
    </w:p>
    <w:p w:rsidR="00FB0C75" w:rsidRDefault="00525E53" w:rsidP="00FB0C75">
      <w:pPr>
        <w:pStyle w:val="Textstand-alone"/>
      </w:pPr>
      <w:r>
        <w:t>Outre les paiements effectués sur les crédits d’un exercice, les crédits reportés à l’exercice suivant doivent également être pris en considération dans le calcul du résultat de l’exécution budgétaire [conformément à l’article </w:t>
      </w:r>
      <w:r w:rsidRPr="00031A85">
        <w:t>1</w:t>
      </w:r>
      <w:r>
        <w:rPr>
          <w:vertAlign w:val="superscript"/>
        </w:rPr>
        <w:t>er</w:t>
      </w:r>
      <w:r>
        <w:t>, paragraphe </w:t>
      </w:r>
      <w:r w:rsidRPr="00031A85">
        <w:t>1</w:t>
      </w:r>
      <w:r>
        <w:t>, du règlement (UE, Euratom) nº </w:t>
      </w:r>
      <w:r w:rsidRPr="00031A85">
        <w:t>608</w:t>
      </w:r>
      <w:r>
        <w:t>/</w:t>
      </w:r>
      <w:r w:rsidRPr="00031A85">
        <w:t>2014</w:t>
      </w:r>
      <w:r>
        <w:t>]. La même règle s’applique aux paiements exécutés sur les crédits reportés d’exercices précédents ainsi qu’aux annulations de crédits de paiement inutilisés.</w:t>
      </w:r>
    </w:p>
    <w:p w:rsidR="00FB0C75" w:rsidRDefault="00525E53" w:rsidP="00FB0C75">
      <w:pPr>
        <w:pStyle w:val="Textstand-alone"/>
      </w:pPr>
      <w:r>
        <w:t>Les variations des provisions concernent des estimations de fin d’exercice enregistrées dans les états financiers (portant essentiellement sur les avantages du personnel), qui sont sans incidence sur la comptabilité budgétaire. Les autres éléments de rapprochement comprennent entre autres les amortissements, les acquisitions d’actifs, les paiements au titre de la location-financement et les participations financières, qui font l’objet de traitements différents en comptabilité budgétaire et en comptabilité d’exercice.</w:t>
      </w:r>
    </w:p>
    <w:bookmarkEnd w:id="649"/>
    <w:p w:rsidR="00FB0C75" w:rsidRDefault="00FB0C75" w:rsidP="00FB0C75">
      <w:pPr>
        <w:pStyle w:val="Textstand-alone"/>
      </w:pPr>
    </w:p>
    <w:p w:rsidR="00FB0C75" w:rsidRDefault="00525E53" w:rsidP="00FB0C75">
      <w:pPr>
        <w:pStyle w:val="HEADER1Part3"/>
        <w:numPr>
          <w:ilvl w:val="0"/>
          <w:numId w:val="1"/>
        </w:numPr>
        <w:ind w:left="907" w:hanging="907"/>
      </w:pPr>
      <w:bookmarkStart w:id="650" w:name="_Toc485391782"/>
      <w:bookmarkStart w:id="651" w:name="_Toc491681448"/>
      <w:bookmarkStart w:id="652" w:name="_DMBM_9087"/>
      <w:r>
        <w:t xml:space="preserve">EXÉCUTION DU BUDGET </w:t>
      </w:r>
      <w:r w:rsidRPr="00031A85">
        <w:t>2016</w:t>
      </w:r>
      <w:r>
        <w:t xml:space="preserve"> DE L’UE – COMMENTAIRES</w:t>
      </w:r>
      <w:bookmarkEnd w:id="650"/>
      <w:bookmarkEnd w:id="651"/>
    </w:p>
    <w:p w:rsidR="00FB0C75" w:rsidRPr="00C72D18" w:rsidRDefault="00525E53" w:rsidP="00FB0C75">
      <w:pPr>
        <w:pStyle w:val="HEADER2Part3"/>
        <w:numPr>
          <w:ilvl w:val="1"/>
          <w:numId w:val="1"/>
        </w:numPr>
        <w:ind w:left="907" w:hanging="907"/>
      </w:pPr>
      <w:bookmarkStart w:id="653" w:name="_Toc485391783"/>
      <w:bookmarkStart w:id="654" w:name="_Toc491681449"/>
      <w:r>
        <w:t>RECETTES</w:t>
      </w:r>
      <w:bookmarkEnd w:id="653"/>
      <w:bookmarkEnd w:id="654"/>
    </w:p>
    <w:p w:rsidR="00FB0C75" w:rsidRDefault="00525E53" w:rsidP="00FB0C75">
      <w:pPr>
        <w:pStyle w:val="DGTextstand-alone"/>
        <w:spacing w:after="0"/>
      </w:pPr>
      <w:r>
        <w:t xml:space="preserve">Dans le budget initial adopté, signé par le président du Parlement européen le </w:t>
      </w:r>
      <w:r w:rsidRPr="00031A85">
        <w:t>25</w:t>
      </w:r>
      <w:r>
        <w:t> novembre </w:t>
      </w:r>
      <w:r w:rsidRPr="00031A85">
        <w:t>2015</w:t>
      </w:r>
      <w:r>
        <w:t xml:space="preserve">, le montant des crédits de paiement était fixé à </w:t>
      </w:r>
      <w:r w:rsidRPr="00031A85">
        <w:t>143</w:t>
      </w:r>
      <w:r>
        <w:t>,</w:t>
      </w:r>
      <w:r w:rsidRPr="00031A85">
        <w:t>885</w:t>
      </w:r>
      <w:r>
        <w:t xml:space="preserve"> milliards d’EUR et le montant à financer par les ressources propres atteignait un total de </w:t>
      </w:r>
      <w:r w:rsidRPr="00031A85">
        <w:t>142</w:t>
      </w:r>
      <w:r>
        <w:t>,</w:t>
      </w:r>
      <w:r w:rsidRPr="00031A85">
        <w:t>269</w:t>
      </w:r>
      <w:r>
        <w:t> milliards d’EUR. Les montants estimatifs des recettes et dépenses inscrites au budget initial sont généralement ajustés en cours d’exercice budgétaire, par la voie de budgets rectificatifs. Les ajustements des ressources propres RNB assurent l’équilibre entre les recettes et les dépenses budgétaires. Conformément au principe de l’équilibre budgétaire, les recettes et les dépenses (crédits de paiement) inscrites au budget doivent être en équilibre.</w:t>
      </w:r>
    </w:p>
    <w:p w:rsidR="00FB0C75" w:rsidRDefault="00525E53" w:rsidP="00FB0C75">
      <w:pPr>
        <w:pStyle w:val="DGTextstand-alone"/>
        <w:spacing w:after="0"/>
      </w:pPr>
      <w:r>
        <w:t xml:space="preserve">En </w:t>
      </w:r>
      <w:r w:rsidRPr="00031A85">
        <w:t>2016</w:t>
      </w:r>
      <w:r>
        <w:t xml:space="preserve">, six budgets rectificatifs ont été adoptés. Leur prise en compte porte les recettes finales adoptées pour </w:t>
      </w:r>
      <w:r w:rsidRPr="00031A85">
        <w:t>2016</w:t>
      </w:r>
      <w:r>
        <w:t xml:space="preserve"> à </w:t>
      </w:r>
      <w:r w:rsidRPr="00031A85">
        <w:t>136</w:t>
      </w:r>
      <w:r>
        <w:t>,</w:t>
      </w:r>
      <w:r w:rsidRPr="00031A85">
        <w:t>642</w:t>
      </w:r>
      <w:r>
        <w:t xml:space="preserve"> milliards d’EUR. Ce montant a été financé par des ressources propres à hauteur de </w:t>
      </w:r>
      <w:r w:rsidRPr="00031A85">
        <w:t>133</w:t>
      </w:r>
      <w:r>
        <w:t>,</w:t>
      </w:r>
      <w:r w:rsidRPr="00031A85">
        <w:t>667</w:t>
      </w:r>
      <w:r>
        <w:t xml:space="preserve"> milliards d’EUR (soit </w:t>
      </w:r>
      <w:r w:rsidRPr="00031A85">
        <w:t>8</w:t>
      </w:r>
      <w:r>
        <w:t>,</w:t>
      </w:r>
      <w:r w:rsidRPr="00031A85">
        <w:t>592</w:t>
      </w:r>
      <w:r>
        <w:t xml:space="preserve"> milliards d’EUR de moins que prévu initialement) et par d’autres recettes pour le restant. Cette situation s'explique principalement par l’excédent de l’exercice précédent et la forte diminution des crédits de paiement, qui ont réduit la contribution RNB d'équilibrage des États membres en </w:t>
      </w:r>
      <w:r w:rsidRPr="00031A85">
        <w:t>2016</w:t>
      </w:r>
      <w:r>
        <w:t xml:space="preserve">. </w:t>
      </w:r>
    </w:p>
    <w:p w:rsidR="00FB0C75" w:rsidRDefault="00525E53" w:rsidP="00FB0C75">
      <w:pPr>
        <w:pStyle w:val="DGTextstand-alone"/>
        <w:spacing w:after="0"/>
      </w:pPr>
      <w:r>
        <w:t>En ce qui concerne le résultat des ressources propres, la perception des RPT était très proche des montants figurant dans les prévisions, principalement parce que les estimations budgétaires ont été modifiées au moment de l’établissement du budget rectificatif nº </w:t>
      </w:r>
      <w:r w:rsidRPr="00031A85">
        <w:t>4</w:t>
      </w:r>
      <w:r>
        <w:t>/</w:t>
      </w:r>
      <w:r w:rsidRPr="00031A85">
        <w:t>2016</w:t>
      </w:r>
      <w:r>
        <w:t xml:space="preserve"> (conformément aux nouvelles prévisions du printemps </w:t>
      </w:r>
      <w:r w:rsidRPr="00031A85">
        <w:t>2016</w:t>
      </w:r>
      <w:r>
        <w:t>).</w:t>
      </w:r>
    </w:p>
    <w:p w:rsidR="00FB0C75" w:rsidRDefault="00525E53" w:rsidP="00FB0C75">
      <w:pPr>
        <w:pStyle w:val="DGTextstand-alone"/>
        <w:spacing w:after="0"/>
      </w:pPr>
      <w:r>
        <w:t>Les montants définitifs des ressources TVA et RNB versés par les États membres sont aussi très proches des estimations budgétaires finales. Les différences entre montants prévisionnels et paiements effectifs sont dues à l’écart entre les taux de change de l’euro utilisés à des fins budgétaires et les taux en vigueur au moment où les États membres qui ne font pas partie de l’UEM ont procédé aux paiements.</w:t>
      </w:r>
    </w:p>
    <w:p w:rsidR="00FB0C75" w:rsidRDefault="00525E53" w:rsidP="00FB0C75">
      <w:pPr>
        <w:pStyle w:val="DGTextstand-alone"/>
        <w:spacing w:after="0"/>
      </w:pPr>
      <w:r>
        <w:t>Une nouvelle procédure relative aux soldes TVA et RNB a été mise en place. Les règles sont fixées à l’article </w:t>
      </w:r>
      <w:r w:rsidRPr="00031A85">
        <w:t>10</w:t>
      </w:r>
      <w:r>
        <w:t> </w:t>
      </w:r>
      <w:r>
        <w:rPr>
          <w:i/>
        </w:rPr>
        <w:t>bis</w:t>
      </w:r>
      <w:r>
        <w:t xml:space="preserve"> du règlement relatif à la procédure de mise à disposition (règlement nº </w:t>
      </w:r>
      <w:r w:rsidRPr="00031A85">
        <w:t>609</w:t>
      </w:r>
      <w:r>
        <w:t>/</w:t>
      </w:r>
      <w:r w:rsidRPr="00031A85">
        <w:t>2014</w:t>
      </w:r>
      <w:r>
        <w:t>). La nouvelle procédure ne nécessitant pas l’adoption d’un budget rectificatif, la Commission invitera directement les États membres à verser les montants nets. L'incidence sur le budget de l’UE sera presque nulle. La Commission communiquera les ajustements annuels aux États membres et les montants seront mis à disposition en juin </w:t>
      </w:r>
      <w:r w:rsidRPr="00031A85">
        <w:t>2017</w:t>
      </w:r>
      <w:r>
        <w:t xml:space="preserve">. En outre, en raison du changement opéré en </w:t>
      </w:r>
      <w:r w:rsidRPr="00031A85">
        <w:t>2016</w:t>
      </w:r>
      <w:r>
        <w:t>, il n’y a pas eu de solde.</w:t>
      </w:r>
    </w:p>
    <w:p w:rsidR="00FB0C75" w:rsidRDefault="00525E53" w:rsidP="00FB0C75">
      <w:pPr>
        <w:pStyle w:val="DGTextstand-alone"/>
        <w:spacing w:after="0"/>
      </w:pPr>
      <w:r>
        <w:t>Le titre «Contributions et restitutions dans le cadre des accords et programmes de l'Union» concerne principalement les recettes issues du FEAGA et du Feader (et en particulier l’apurement des comptes et les irrégularités), la participation de tiers à des programmes de recherche et d’autres contributions et restitutions à des programmes/activités de l’UE. Une partie substantielle de ce total est composée de recettes affectées, ce qui donne lieu généralement à l’inscription de crédits supplémentaires au volet des dépenses.</w:t>
      </w:r>
    </w:p>
    <w:p w:rsidR="00FB0C75" w:rsidRDefault="00525E53" w:rsidP="00FB0C75">
      <w:pPr>
        <w:pStyle w:val="DGTextstand-alone"/>
        <w:spacing w:after="0"/>
      </w:pPr>
      <w:r>
        <w:t>Les recettes tirées des amendes proviennent principalement d’amendes imposées dans le domaine de la concurrence.</w:t>
      </w:r>
    </w:p>
    <w:p w:rsidR="00FB0C75" w:rsidRDefault="00525E53" w:rsidP="00FB0C75">
      <w:pPr>
        <w:pStyle w:val="HEADER2Part3"/>
        <w:numPr>
          <w:ilvl w:val="1"/>
          <w:numId w:val="1"/>
        </w:numPr>
        <w:ind w:left="907" w:hanging="907"/>
      </w:pPr>
      <w:bookmarkStart w:id="655" w:name="_Toc485391784"/>
      <w:bookmarkStart w:id="656" w:name="_Toc491681450"/>
      <w:r>
        <w:t>DÉPENSES</w:t>
      </w:r>
      <w:bookmarkEnd w:id="655"/>
      <w:bookmarkEnd w:id="656"/>
      <w:r>
        <w:t xml:space="preserve"> </w:t>
      </w:r>
    </w:p>
    <w:p w:rsidR="00FB0C75" w:rsidRPr="00737F28" w:rsidRDefault="00525E53" w:rsidP="00FB0C75">
      <w:pPr>
        <w:pStyle w:val="DGTextstand-alone"/>
        <w:spacing w:after="0"/>
      </w:pPr>
      <w:r>
        <w:t xml:space="preserve">L’année </w:t>
      </w:r>
      <w:r w:rsidRPr="00031A85">
        <w:t>2016</w:t>
      </w:r>
      <w:r>
        <w:t xml:space="preserve"> était la troisième année de l’actuelle période de programmation </w:t>
      </w:r>
      <w:r w:rsidRPr="00031A85">
        <w:t>2014</w:t>
      </w:r>
      <w:r>
        <w:t>-</w:t>
      </w:r>
      <w:r w:rsidRPr="00031A85">
        <w:t>2020</w:t>
      </w:r>
      <w:r>
        <w:t>. Comme son prédécesseur, le budget </w:t>
      </w:r>
      <w:r w:rsidRPr="00031A85">
        <w:t>2016</w:t>
      </w:r>
      <w:r>
        <w:t xml:space="preserve"> fait de la croissance et de l’emploi des priorités. Toutefois, il souligne également l’importance des nouveaux défis posés par la migration en lien avec la crise en Syrie et en Afrique du Nord. </w:t>
      </w:r>
    </w:p>
    <w:p w:rsidR="00FB0C75" w:rsidRPr="00737F28" w:rsidRDefault="00525E53" w:rsidP="00FB0C75">
      <w:pPr>
        <w:pStyle w:val="DGTextstand-alone"/>
        <w:spacing w:after="0"/>
      </w:pPr>
      <w:r>
        <w:t>En ce qui concerne les engagements, le budget </w:t>
      </w:r>
      <w:r w:rsidRPr="00031A85">
        <w:t>2016</w:t>
      </w:r>
      <w:r>
        <w:t xml:space="preserve">, qui s’élevait à </w:t>
      </w:r>
      <w:r w:rsidRPr="00031A85">
        <w:t>155</w:t>
      </w:r>
      <w:r>
        <w:t>,</w:t>
      </w:r>
      <w:r w:rsidRPr="00031A85">
        <w:t>3</w:t>
      </w:r>
      <w:r>
        <w:t xml:space="preserve"> milliards d’EUR, était inférieur de </w:t>
      </w:r>
      <w:r w:rsidRPr="00031A85">
        <w:t>4</w:t>
      </w:r>
      <w:r>
        <w:t>,</w:t>
      </w:r>
      <w:r w:rsidRPr="00031A85">
        <w:t>3</w:t>
      </w:r>
      <w:r>
        <w:t> % au budget de </w:t>
      </w:r>
      <w:r w:rsidRPr="00031A85">
        <w:t>2015</w:t>
      </w:r>
      <w:r>
        <w:t>, avec une forte diminution de la rubrique </w:t>
      </w:r>
      <w:r w:rsidRPr="00031A85">
        <w:t>1</w:t>
      </w:r>
      <w:r>
        <w:t xml:space="preserve">b (baisse de </w:t>
      </w:r>
      <w:r w:rsidRPr="00031A85">
        <w:t>15</w:t>
      </w:r>
      <w:r>
        <w:t>,</w:t>
      </w:r>
      <w:r w:rsidRPr="00031A85">
        <w:t>8</w:t>
      </w:r>
      <w:r>
        <w:t xml:space="preserve"> % principalement due à l’effet ponctuel de la reprogrammation de </w:t>
      </w:r>
      <w:r w:rsidRPr="00031A85">
        <w:t>2014</w:t>
      </w:r>
      <w:r>
        <w:t xml:space="preserve"> à </w:t>
      </w:r>
      <w:r w:rsidRPr="00031A85">
        <w:t>2015</w:t>
      </w:r>
      <w:r>
        <w:t>), en partie compensée par une forte hausse de la rubrique </w:t>
      </w:r>
      <w:r w:rsidRPr="00031A85">
        <w:t>3</w:t>
      </w:r>
      <w:r>
        <w:t xml:space="preserve"> (+ </w:t>
      </w:r>
      <w:r w:rsidRPr="00031A85">
        <w:t>70</w:t>
      </w:r>
      <w:r>
        <w:t>,</w:t>
      </w:r>
      <w:r w:rsidRPr="00031A85">
        <w:t>2</w:t>
      </w:r>
      <w:r>
        <w:t> %).</w:t>
      </w:r>
    </w:p>
    <w:p w:rsidR="00FB0C75" w:rsidRPr="00737F28" w:rsidRDefault="00525E53" w:rsidP="00FB0C75">
      <w:pPr>
        <w:pStyle w:val="DGTextstand-alone"/>
        <w:spacing w:after="0"/>
      </w:pPr>
      <w:r>
        <w:t xml:space="preserve">En </w:t>
      </w:r>
      <w:r w:rsidRPr="00031A85">
        <w:t>2016</w:t>
      </w:r>
      <w:r>
        <w:t>, le budget rectificatif nº </w:t>
      </w:r>
      <w:r w:rsidRPr="00031A85">
        <w:t>4</w:t>
      </w:r>
      <w:r>
        <w:t xml:space="preserve"> a encore revu à la hausse les crédits d’engagement en faveur de programmes portant sur la migration et la sécurité dans la rubrique </w:t>
      </w:r>
      <w:r w:rsidRPr="00031A85">
        <w:t>3</w:t>
      </w:r>
      <w:r>
        <w:t xml:space="preserve"> - Sécurité et citoyenneté, à hauteur de </w:t>
      </w:r>
      <w:r w:rsidRPr="00031A85">
        <w:t>250</w:t>
      </w:r>
      <w:r>
        <w:t xml:space="preserve"> millions d’EUR. Sur cette majoration, </w:t>
      </w:r>
      <w:r w:rsidRPr="00031A85">
        <w:t>130</w:t>
      </w:r>
      <w:r>
        <w:t xml:space="preserve"> millions d’EUR ont été alloués au Fonds «Asile, migration et intégration» (AMIF) et </w:t>
      </w:r>
      <w:r w:rsidRPr="00031A85">
        <w:t>70</w:t>
      </w:r>
      <w:r>
        <w:t> millions d’EUR au Fonds pour la sécurité intérieure (FSI). À la rubrique </w:t>
      </w:r>
      <w:r w:rsidRPr="00031A85">
        <w:t>1</w:t>
      </w:r>
      <w:r>
        <w:t xml:space="preserve">a, </w:t>
      </w:r>
      <w:r w:rsidRPr="00031A85">
        <w:t>74</w:t>
      </w:r>
      <w:r>
        <w:t> millions d’EUR de crédits d’engagement supplémentaires ont été alloués à l’EFSI afin de couvrir sa prolongation jusqu’en </w:t>
      </w:r>
      <w:r w:rsidRPr="00031A85">
        <w:t>2020</w:t>
      </w:r>
      <w:r>
        <w:t xml:space="preserve">. </w:t>
      </w:r>
    </w:p>
    <w:p w:rsidR="00FB0C75" w:rsidRPr="00737F28" w:rsidRDefault="00525E53" w:rsidP="00FB0C75">
      <w:pPr>
        <w:pStyle w:val="DGTextstand-alone"/>
        <w:spacing w:after="0"/>
      </w:pPr>
      <w:r>
        <w:t>Les engagements de la rubrique </w:t>
      </w:r>
      <w:r w:rsidRPr="00031A85">
        <w:t>4</w:t>
      </w:r>
      <w:r>
        <w:t xml:space="preserve"> (L’Europe dans le monde) ont été renforcés à hauteur de </w:t>
      </w:r>
      <w:r w:rsidRPr="00031A85">
        <w:t>210</w:t>
      </w:r>
      <w:r>
        <w:t> millions d’EUR au moyen de budgets rectificatifs, principalement en faveur de l’instrument européen de voisinage et des programmes d’aide humanitaire. Une partie du financement résulte des réductions appliquées à la politique étrangère et de sécurité commune et aux programmes d’assistance macrofinancière.</w:t>
      </w:r>
    </w:p>
    <w:p w:rsidR="00FB0C75" w:rsidRPr="00737F28" w:rsidRDefault="00525E53" w:rsidP="00FB0C75">
      <w:pPr>
        <w:pStyle w:val="DGTextstand-alone"/>
        <w:spacing w:after="0"/>
      </w:pPr>
      <w:r>
        <w:t xml:space="preserve">Les crédits de paiement du budget final adopté s'élevaient à </w:t>
      </w:r>
      <w:r w:rsidRPr="00031A85">
        <w:t>136</w:t>
      </w:r>
      <w:r>
        <w:t>,</w:t>
      </w:r>
      <w:r w:rsidRPr="00031A85">
        <w:t>6</w:t>
      </w:r>
      <w:r>
        <w:t xml:space="preserve"> milliards d’EUR, soit </w:t>
      </w:r>
      <w:r w:rsidRPr="00031A85">
        <w:t>3</w:t>
      </w:r>
      <w:r>
        <w:t>,</w:t>
      </w:r>
      <w:r w:rsidRPr="00031A85">
        <w:t>3</w:t>
      </w:r>
      <w:r>
        <w:t xml:space="preserve"> % de moins qu’en </w:t>
      </w:r>
      <w:r w:rsidRPr="00031A85">
        <w:t>2015</w:t>
      </w:r>
      <w:r>
        <w:t xml:space="preserve">. Cette baisse s’explique principalement par une diminution de </w:t>
      </w:r>
      <w:r w:rsidRPr="00031A85">
        <w:t>7</w:t>
      </w:r>
      <w:r>
        <w:t>,</w:t>
      </w:r>
      <w:r w:rsidRPr="00031A85">
        <w:t>3</w:t>
      </w:r>
      <w:r>
        <w:t> milliards d’EUR introduite par le budget rectificatif nº </w:t>
      </w:r>
      <w:r w:rsidRPr="00031A85">
        <w:t>4</w:t>
      </w:r>
      <w:r>
        <w:t>, portant en majeure partie sur la rubrique </w:t>
      </w:r>
      <w:r w:rsidRPr="00031A85">
        <w:t>1</w:t>
      </w:r>
      <w:r>
        <w:t>b - Cohésion économique, sociale et territoriale et, dans une moindre mesure, sur la rubrique </w:t>
      </w:r>
      <w:r w:rsidRPr="00031A85">
        <w:t>2</w:t>
      </w:r>
      <w:r>
        <w:t> - Croissance durable. De plus amples précisions concernant les raisons sous-jacentes de cette diminution figurent dans la section ci-dessous.</w:t>
      </w:r>
    </w:p>
    <w:p w:rsidR="00FB0C75" w:rsidRPr="00D63354" w:rsidRDefault="00525E53" w:rsidP="00FB0C75">
      <w:pPr>
        <w:pStyle w:val="DGTextstand-alone"/>
        <w:spacing w:after="0"/>
        <w:rPr>
          <w:rFonts w:eastAsiaTheme="minorHAnsi" w:cstheme="minorBidi"/>
          <w:noProof w:val="0"/>
          <w:color w:val="016794"/>
        </w:rPr>
      </w:pPr>
      <w:r>
        <w:rPr>
          <w:rFonts w:eastAsiaTheme="minorHAnsi" w:cstheme="minorBidi"/>
          <w:noProof w:val="0"/>
          <w:color w:val="016794"/>
        </w:rPr>
        <w:t xml:space="preserve">Exécution des crédits disponibles en </w:t>
      </w:r>
      <w:r w:rsidRPr="00031A85">
        <w:rPr>
          <w:rFonts w:eastAsiaTheme="minorHAnsi" w:cstheme="minorBidi"/>
          <w:noProof w:val="0"/>
          <w:color w:val="016794"/>
        </w:rPr>
        <w:t>2016</w:t>
      </w:r>
    </w:p>
    <w:p w:rsidR="00FB0C75" w:rsidRPr="00737F28" w:rsidRDefault="00525E53" w:rsidP="00FB0C75">
      <w:pPr>
        <w:pStyle w:val="DGTextstand-alone"/>
        <w:spacing w:after="0"/>
        <w:rPr>
          <w:noProof w:val="0"/>
        </w:rPr>
      </w:pPr>
      <w:r>
        <w:t>L’exercice </w:t>
      </w:r>
      <w:r w:rsidRPr="00031A85">
        <w:t>2016</w:t>
      </w:r>
      <w:r>
        <w:t xml:space="preserve"> s'est clôturé sur une exécution des crédits de </w:t>
      </w:r>
      <w:r w:rsidRPr="00031A85">
        <w:t>97</w:t>
      </w:r>
      <w:r>
        <w:t xml:space="preserve"> % et un reliquat de crédits de paiement de </w:t>
      </w:r>
      <w:r w:rsidRPr="00031A85">
        <w:t>4</w:t>
      </w:r>
      <w:r>
        <w:t>,</w:t>
      </w:r>
      <w:r w:rsidRPr="00031A85">
        <w:t>8</w:t>
      </w:r>
      <w:r>
        <w:t xml:space="preserve"> milliards d’EUR. L’exécution des engagements s’élevait à </w:t>
      </w:r>
      <w:r w:rsidRPr="00031A85">
        <w:t>157</w:t>
      </w:r>
      <w:r>
        <w:t>,</w:t>
      </w:r>
      <w:r w:rsidRPr="00031A85">
        <w:t>3</w:t>
      </w:r>
      <w:r>
        <w:t xml:space="preserve"> milliards d’EUR. En ce qui concerne les paiements, l’exécution a atteint </w:t>
      </w:r>
      <w:r w:rsidRPr="00031A85">
        <w:t>132</w:t>
      </w:r>
      <w:r>
        <w:t>,</w:t>
      </w:r>
      <w:r w:rsidRPr="00031A85">
        <w:t>4</w:t>
      </w:r>
      <w:r>
        <w:t xml:space="preserve"> milliards d’EUR, soit </w:t>
      </w:r>
      <w:r w:rsidRPr="00031A85">
        <w:t>92</w:t>
      </w:r>
      <w:r>
        <w:t> % des crédits disponibles.</w:t>
      </w:r>
    </w:p>
    <w:p w:rsidR="00FB0C75" w:rsidRPr="00737F28" w:rsidRDefault="00525E53" w:rsidP="00FB0C75">
      <w:pPr>
        <w:pStyle w:val="DGTextstand-alone"/>
        <w:spacing w:after="0"/>
      </w:pPr>
      <w:r>
        <w:t xml:space="preserve">Après plusieurs années de limitation des crédits de paiement et d’accumulation de demandes de paiement non acquittées (principalement dans le domaine de la cohésion), l’arriéré anormal a été entièrement résorbé en </w:t>
      </w:r>
      <w:r w:rsidRPr="00031A85">
        <w:t>2016</w:t>
      </w:r>
      <w:r>
        <w:t>, conformément à l'«échéancier de paiement» convenu en </w:t>
      </w:r>
      <w:r w:rsidRPr="00031A85">
        <w:t>2015</w:t>
      </w:r>
      <w:r>
        <w:t xml:space="preserve"> avec le Parlement européen et le Conseil. Dès mars </w:t>
      </w:r>
      <w:r w:rsidRPr="00031A85">
        <w:t>2016</w:t>
      </w:r>
      <w:r>
        <w:t>, la Commission avait détecté le risque de sous-exécution des crédits de paiement dans le domaine de la cohésion et avait fortement revu à la hausse ses estimations relatives à l’excédent en septembre, à la suite des prévisions actualisées fournies par les États membres en juillet. Par ailleurs, la Commission a tenu compte des retards survenus dans la désignation des autorités nationales, du rythme de l’exécution sur le terrain et du taux d’exécution moyen prévisible appliqué lors des périodes de programmation précédentes. Elle a ensuite proposé le budget rectificatif nº </w:t>
      </w:r>
      <w:r w:rsidRPr="00031A85">
        <w:t>4</w:t>
      </w:r>
      <w:r>
        <w:t>/</w:t>
      </w:r>
      <w:r w:rsidRPr="00031A85">
        <w:t>2016</w:t>
      </w:r>
      <w:r>
        <w:t xml:space="preserve"> afin de diminuer le niveau des crédits de paiement de </w:t>
      </w:r>
      <w:r w:rsidRPr="00031A85">
        <w:t>7</w:t>
      </w:r>
      <w:r>
        <w:t>,</w:t>
      </w:r>
      <w:r w:rsidRPr="00031A85">
        <w:t>3</w:t>
      </w:r>
      <w:r>
        <w:t> milliards d’EUR, principalement sur les lignes budgétaires de la sous-rubrique </w:t>
      </w:r>
      <w:r w:rsidRPr="00031A85">
        <w:t>1</w:t>
      </w:r>
      <w:r>
        <w:t>b - Cohésion économique, sociale et territoriale. Le niveau des déclarations de dépenses effectivement présentées à la fin de l’année par les États membres pour les programmes </w:t>
      </w:r>
      <w:r w:rsidRPr="00031A85">
        <w:t>2014</w:t>
      </w:r>
      <w:r>
        <w:t>-</w:t>
      </w:r>
      <w:r w:rsidRPr="00031A85">
        <w:t>2020</w:t>
      </w:r>
      <w:r>
        <w:t xml:space="preserve"> était inférieur de </w:t>
      </w:r>
      <w:r w:rsidRPr="00031A85">
        <w:t>8</w:t>
      </w:r>
      <w:r>
        <w:t xml:space="preserve"> milliards d’EUR, chiffre sans précédent, au montant prévu, </w:t>
      </w:r>
      <w:r w:rsidRPr="00031A85">
        <w:t>26</w:t>
      </w:r>
      <w:r>
        <w:t> États membres ayant soumis des déclarations inférieures aux prévisions.</w:t>
      </w:r>
    </w:p>
    <w:p w:rsidR="00FB0C75" w:rsidRPr="00D63354" w:rsidRDefault="00525E53" w:rsidP="00FB0C75">
      <w:pPr>
        <w:pStyle w:val="DGTextstand-alone"/>
        <w:spacing w:after="0"/>
        <w:rPr>
          <w:rFonts w:eastAsiaTheme="minorHAnsi" w:cstheme="minorBidi"/>
          <w:noProof w:val="0"/>
          <w:color w:val="016794"/>
        </w:rPr>
      </w:pPr>
      <w:r>
        <w:rPr>
          <w:rFonts w:eastAsiaTheme="minorHAnsi" w:cstheme="minorBidi"/>
          <w:noProof w:val="0"/>
          <w:color w:val="016794"/>
        </w:rPr>
        <w:t>Engagements restant à liquider</w:t>
      </w:r>
    </w:p>
    <w:p w:rsidR="00FB0C75" w:rsidRPr="00737F28" w:rsidRDefault="00525E53" w:rsidP="00FB0C75">
      <w:pPr>
        <w:pStyle w:val="DGTextstand-alone"/>
        <w:spacing w:after="0"/>
        <w:rPr>
          <w:noProof w:val="0"/>
        </w:rPr>
      </w:pPr>
      <w:r>
        <w:t xml:space="preserve">Les engagements restant à liquider (le «RAL») en fin d’exercice ont considérablement augmenté, atteignant </w:t>
      </w:r>
      <w:r w:rsidRPr="00031A85">
        <w:t>238</w:t>
      </w:r>
      <w:r>
        <w:t>,</w:t>
      </w:r>
      <w:r w:rsidRPr="00031A85">
        <w:t>8</w:t>
      </w:r>
      <w:r>
        <w:t xml:space="preserve"> milliards d’EUR. Cette hausse, de plus de </w:t>
      </w:r>
      <w:r w:rsidRPr="00031A85">
        <w:t>21</w:t>
      </w:r>
      <w:r>
        <w:t xml:space="preserve"> milliards d’EUR par rapport à </w:t>
      </w:r>
      <w:r w:rsidRPr="00031A85">
        <w:t>2015</w:t>
      </w:r>
      <w:r>
        <w:t>, était deux fois plus élevée que celle initialement prévue à la suite de l’écart qui s'est creusé entre les engagements exécutés et les paiements (résultant du budget rectificatif nº </w:t>
      </w:r>
      <w:r w:rsidRPr="00031A85">
        <w:t>4</w:t>
      </w:r>
      <w:r>
        <w:t>/</w:t>
      </w:r>
      <w:r w:rsidRPr="00031A85">
        <w:t>2016</w:t>
      </w:r>
      <w:r>
        <w:t xml:space="preserve"> ainsi que de la sous-exécution en fin d’exercice). En </w:t>
      </w:r>
      <w:r w:rsidRPr="00031A85">
        <w:t>2017</w:t>
      </w:r>
      <w:r>
        <w:t xml:space="preserve">, une nouvelle augmentation du RAL est à prévoir du fait de l’écart entre les crédits d’engagement budgétisés et les crédits de paiement (ratio de </w:t>
      </w:r>
      <w:r w:rsidRPr="00031A85">
        <w:t>85</w:t>
      </w:r>
      <w:r>
        <w:t> %).</w:t>
      </w:r>
    </w:p>
    <w:p w:rsidR="00FB0C75" w:rsidRPr="00737F28" w:rsidRDefault="00525E53" w:rsidP="00FB0C75">
      <w:pPr>
        <w:pStyle w:val="DGTextstand-alone"/>
        <w:spacing w:after="0"/>
        <w:rPr>
          <w:noProof w:val="0"/>
        </w:rPr>
      </w:pPr>
      <w:r>
        <w:t xml:space="preserve">Les engagements juridiques restant à liquider issus des périodes de programmation précédentes, c’est-à-dire avant </w:t>
      </w:r>
      <w:r w:rsidRPr="00031A85">
        <w:t>2014</w:t>
      </w:r>
      <w:r>
        <w:t xml:space="preserve">, ont diminué en </w:t>
      </w:r>
      <w:r w:rsidRPr="00031A85">
        <w:t>2016</w:t>
      </w:r>
      <w:r>
        <w:t xml:space="preserve">, passant de </w:t>
      </w:r>
      <w:r w:rsidRPr="00031A85">
        <w:t>75</w:t>
      </w:r>
      <w:r>
        <w:t xml:space="preserve"> milliards d’EUR à </w:t>
      </w:r>
      <w:r w:rsidRPr="00031A85">
        <w:t>40</w:t>
      </w:r>
      <w:r>
        <w:t> milliards d’EUR (- </w:t>
      </w:r>
      <w:r w:rsidRPr="00031A85">
        <w:t>47</w:t>
      </w:r>
      <w:r>
        <w:t xml:space="preserve"> %). Par conséquent, une plus large part de crédits de paiement sera disponible pour les programmes actuels démarrant en </w:t>
      </w:r>
      <w:r w:rsidRPr="00031A85">
        <w:t>2017</w:t>
      </w:r>
      <w:r>
        <w:t xml:space="preserve">. </w:t>
      </w:r>
    </w:p>
    <w:p w:rsidR="00FB0C75" w:rsidRDefault="00525E53" w:rsidP="00FB0C75">
      <w:pPr>
        <w:pStyle w:val="DGTextstand-alone"/>
        <w:spacing w:after="0"/>
      </w:pPr>
      <w:r>
        <w:t xml:space="preserve">Le rapport de la Commission sur la gestion budgétaire et financière </w:t>
      </w:r>
      <w:r w:rsidRPr="00031A85">
        <w:t>2016</w:t>
      </w:r>
      <w:r>
        <w:t xml:space="preserve"> présente, dans sa partie A, qui offre une vue d’ensemble du budget, et dans sa partie B, qui traite de chaque rubrique du cadre financier pluriannuel (CFP), une analyse plus détaillée des ajustements budgétaires, du contexte dans lequel ils ont été opérés, de leur justification et de leurs répercussions.</w:t>
      </w:r>
    </w:p>
    <w:p w:rsidR="00FB0C75" w:rsidRPr="00D63354" w:rsidRDefault="00525E53" w:rsidP="00FB0C75">
      <w:pPr>
        <w:pStyle w:val="DGTextstand-alone"/>
        <w:spacing w:after="0"/>
      </w:pPr>
      <w:r>
        <w:rPr>
          <w:rFonts w:eastAsiaTheme="minorHAnsi" w:cstheme="minorBidi"/>
          <w:noProof w:val="0"/>
          <w:color w:val="016794"/>
        </w:rPr>
        <w:t>Excédent budgétaire</w:t>
      </w:r>
      <w:r>
        <w:t xml:space="preserve"> </w:t>
      </w:r>
    </w:p>
    <w:p w:rsidR="00FB0C75" w:rsidRDefault="00525E53" w:rsidP="00FB0C75">
      <w:pPr>
        <w:pStyle w:val="DGTextstand-alone"/>
        <w:spacing w:after="0"/>
      </w:pPr>
      <w:r>
        <w:t xml:space="preserve">L’excédent budgétaire, de </w:t>
      </w:r>
      <w:r w:rsidRPr="00031A85">
        <w:t>6</w:t>
      </w:r>
      <w:r>
        <w:t>,</w:t>
      </w:r>
      <w:r w:rsidRPr="00031A85">
        <w:t>4</w:t>
      </w:r>
      <w:r>
        <w:t> milliards d’EUR, provient en majeure partie du volet des dépenses. Il est dû à la sous-exécution, principalement dans la rubrique </w:t>
      </w:r>
      <w:r w:rsidRPr="00031A85">
        <w:t>1</w:t>
      </w:r>
      <w:r>
        <w:t>b (</w:t>
      </w:r>
      <w:r w:rsidRPr="00031A85">
        <w:t>4</w:t>
      </w:r>
      <w:r>
        <w:t>,</w:t>
      </w:r>
      <w:r w:rsidRPr="00031A85">
        <w:t>9</w:t>
      </w:r>
      <w:r>
        <w:t> milliards d’EUR). L’excédent dans le volet des recettes s’explique en grande partie par les recettes substantielles tirées des amendes et par le montant de ressources propres légèrement plus faible (+ </w:t>
      </w:r>
      <w:r w:rsidRPr="00031A85">
        <w:t>1</w:t>
      </w:r>
      <w:r>
        <w:t>,</w:t>
      </w:r>
      <w:r w:rsidRPr="00031A85">
        <w:t>7</w:t>
      </w:r>
      <w:r>
        <w:t xml:space="preserve"> milliard d’EUR). Une perte de change de </w:t>
      </w:r>
      <w:r w:rsidRPr="00031A85">
        <w:t>173</w:t>
      </w:r>
      <w:r>
        <w:t> millions d’EUR fait baisser le résultat final.</w:t>
      </w:r>
    </w:p>
    <w:p w:rsidR="00FB0C75" w:rsidRDefault="00525E53" w:rsidP="00FB0C75">
      <w:pPr>
        <w:pStyle w:val="DGTextstand-alone"/>
        <w:spacing w:after="0"/>
        <w:sectPr w:rsidR="00FB0C75" w:rsidSect="00FB0C75">
          <w:headerReference w:type="even" r:id="rId523"/>
          <w:headerReference w:type="default" r:id="rId524"/>
          <w:footerReference w:type="even" r:id="rId525"/>
          <w:footerReference w:type="default" r:id="rId526"/>
          <w:headerReference w:type="first" r:id="rId527"/>
          <w:footerReference w:type="first" r:id="rId528"/>
          <w:pgSz w:w="11907" w:h="16840" w:code="9"/>
          <w:pgMar w:top="1134" w:right="1134" w:bottom="1134" w:left="1134" w:header="709" w:footer="709" w:gutter="0"/>
          <w:cols w:space="708"/>
          <w:docGrid w:linePitch="360"/>
        </w:sectPr>
      </w:pPr>
      <w:r>
        <w:t xml:space="preserve"> </w:t>
      </w:r>
      <w:bookmarkEnd w:id="652"/>
    </w:p>
    <w:p w:rsidR="00FB0C75" w:rsidRPr="00B12889" w:rsidRDefault="00525E53" w:rsidP="00FB0C75">
      <w:pPr>
        <w:pStyle w:val="HEADER1Part3"/>
        <w:numPr>
          <w:ilvl w:val="0"/>
          <w:numId w:val="1"/>
        </w:numPr>
        <w:ind w:left="907" w:hanging="907"/>
        <w:rPr>
          <w:rFonts w:cs="Verdana"/>
          <w:bCs/>
        </w:rPr>
      </w:pPr>
      <w:bookmarkStart w:id="657" w:name="_Toc485391785"/>
      <w:bookmarkStart w:id="658" w:name="_Toc491681451"/>
      <w:bookmarkStart w:id="659" w:name="_DMBM_10653"/>
      <w:r>
        <w:t>EXÉCUTION DU BUDGET DE L’UE EN RECETTES</w:t>
      </w:r>
      <w:bookmarkEnd w:id="657"/>
      <w:bookmarkEnd w:id="658"/>
      <w:r>
        <w:t xml:space="preserve"> </w:t>
      </w:r>
    </w:p>
    <w:p w:rsidR="00FB0C75" w:rsidRPr="00B12889" w:rsidRDefault="00525E53" w:rsidP="00FB0C75">
      <w:pPr>
        <w:pStyle w:val="HEADER2Part3"/>
        <w:numPr>
          <w:ilvl w:val="1"/>
          <w:numId w:val="1"/>
        </w:numPr>
        <w:ind w:left="907" w:hanging="907"/>
        <w:rPr>
          <w:rFonts w:cs="Verdana"/>
          <w:bCs/>
        </w:rPr>
      </w:pPr>
      <w:bookmarkStart w:id="660" w:name="_Toc485391786"/>
      <w:bookmarkStart w:id="661" w:name="_Toc491681452"/>
      <w:r>
        <w:t>SYNTHÈSE DE L’EXÉCUTION DU BUDGET DE L’UE EN RECETTES</w:t>
      </w:r>
      <w:bookmarkEnd w:id="660"/>
      <w:bookmarkEnd w:id="661"/>
      <w: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rPr>
            </w:pPr>
            <w:r>
              <w:t>en Mio EUR</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Titre</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Budget recettes</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Droits constatés</w:t>
            </w:r>
          </w:p>
        </w:tc>
        <w:tc>
          <w:tcPr>
            <w:tcW w:w="3685"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Recettes</w:t>
            </w:r>
          </w:p>
        </w:tc>
        <w:tc>
          <w:tcPr>
            <w:tcW w:w="1134"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525E53" w:rsidP="00FB0C75">
            <w:pPr>
              <w:pStyle w:val="Heading7pBoldCentered"/>
              <w:rPr>
                <w:rFonts w:eastAsia="Verdana" w:cs="Verdana"/>
                <w:b w:val="0"/>
              </w:rPr>
            </w:pPr>
            <w:r>
              <w:rPr>
                <w:b w:val="0"/>
              </w:rPr>
              <w:t>Recettes en</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Reste à recevoir</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Budget initial adopté</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Budget définitif adopté</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Exercice courant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Crédits reportés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Total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sur les droits de l’exercice</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sur les droits reportés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Total</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 du budget</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color w:val="auto"/>
              </w:rPr>
            </w:pP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Ressources propres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142</w:t>
            </w:r>
            <w:r>
              <w:t xml:space="preserve"> </w:t>
            </w:r>
            <w:r w:rsidRPr="00031A85">
              <w:t>269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133</w:t>
            </w:r>
            <w:r>
              <w:t xml:space="preserve"> </w:t>
            </w:r>
            <w:r w:rsidRPr="00031A85">
              <w:t>677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132</w:t>
            </w:r>
            <w:r>
              <w:t xml:space="preserve"> </w:t>
            </w:r>
            <w:r w:rsidRPr="00031A85">
              <w:t>164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132</w:t>
            </w:r>
            <w:r>
              <w:t xml:space="preserve"> </w:t>
            </w:r>
            <w:r w:rsidRPr="00031A85">
              <w:t>192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132</w:t>
            </w:r>
            <w:r>
              <w:t xml:space="preserve"> </w:t>
            </w:r>
            <w:r w:rsidRPr="00031A85">
              <w:t>163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3</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rsidRPr="00031A85">
              <w:t>132</w:t>
            </w:r>
            <w:r>
              <w:t xml:space="preserve"> </w:t>
            </w:r>
            <w:r w:rsidRPr="00031A85">
              <w:t>166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99</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26</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Excédents, soldes et ajustements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349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rsidRPr="00031A85">
              <w:t>1</w:t>
            </w:r>
            <w:r>
              <w:t xml:space="preserve"> </w:t>
            </w:r>
            <w:r w:rsidRPr="00031A85">
              <w:t>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101</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Recettes provenant des personnes liées aux institutions et autres organismes de l’Union</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445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438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rsidRPr="00031A85">
              <w:t>1</w:t>
            </w:r>
            <w:r>
              <w:t xml:space="preserve"> </w:t>
            </w:r>
            <w:r w:rsidRPr="00031A85">
              <w:t>452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108</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7</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Recettes provenant du fonctionnement administratif des institutions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584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600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w:t>
            </w:r>
            <w:r w:rsidRPr="00031A85">
              <w:t>579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w:t>
            </w:r>
            <w:r w:rsidRPr="00031A85">
              <w:t>044</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21</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Contributions et restitutions dans le cadre des accords et programmes de l’Union</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5</w:t>
            </w:r>
            <w:r>
              <w:t xml:space="preserve"> </w:t>
            </w:r>
            <w:r w:rsidRPr="00031A85">
              <w:t>929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6</w:t>
            </w:r>
            <w:r>
              <w:t xml:space="preserve"> </w:t>
            </w:r>
            <w:r w:rsidRPr="00031A85">
              <w:t>204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5</w:t>
            </w:r>
            <w:r>
              <w:t xml:space="preserve"> </w:t>
            </w:r>
            <w:r w:rsidRPr="00031A85">
              <w:t>804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125</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rsidRPr="00031A85">
              <w:t>5</w:t>
            </w:r>
            <w:r>
              <w:t xml:space="preserve"> </w:t>
            </w:r>
            <w:r w:rsidRPr="00031A85">
              <w:t>928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9</w:t>
            </w:r>
            <w:r>
              <w:t> </w:t>
            </w:r>
            <w:r w:rsidRPr="00031A85">
              <w:t>880</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275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Intérêts de retard et amendes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2</w:t>
            </w:r>
            <w:r>
              <w:t xml:space="preserve"> </w:t>
            </w:r>
            <w:r w:rsidRPr="00031A85">
              <w:t>946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6</w:t>
            </w:r>
            <w:r>
              <w:t xml:space="preserve"> </w:t>
            </w:r>
            <w:r w:rsidRPr="00031A85">
              <w:t>793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9</w:t>
            </w:r>
            <w:r>
              <w:t xml:space="preserve"> </w:t>
            </w:r>
            <w:r w:rsidRPr="00031A85">
              <w:t>739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1</w:t>
            </w:r>
            <w:r>
              <w:t xml:space="preserve"> </w:t>
            </w:r>
            <w:r w:rsidRPr="00031A85">
              <w:t>045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2</w:t>
            </w:r>
            <w:r>
              <w:t xml:space="preserve"> </w:t>
            </w:r>
            <w:r w:rsidRPr="00031A85">
              <w:t>131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rsidRPr="00031A85">
              <w:t>3</w:t>
            </w:r>
            <w:r>
              <w:t xml:space="preserve"> </w:t>
            </w:r>
            <w:r w:rsidRPr="00031A85">
              <w:t>175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2</w:t>
            </w:r>
            <w:r>
              <w:t> </w:t>
            </w:r>
            <w:r w:rsidRPr="00031A85">
              <w:t>582</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6</w:t>
            </w:r>
            <w:r>
              <w:t xml:space="preserve"> </w:t>
            </w:r>
            <w:r w:rsidRPr="00031A85">
              <w:t>564</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Emprunts et prêts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40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6</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w:t>
            </w:r>
            <w:r w:rsidRPr="00031A85">
              <w:t>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792</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rsidRPr="00031A85">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Recettes diverses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2</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w:t>
            </w:r>
            <w:r w:rsidRPr="00031A85">
              <w:t>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rsidRPr="00031A85">
              <w:t>69</w:t>
            </w:r>
            <w:r>
              <w:t>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w:t>
            </w:r>
            <w:r w:rsidRPr="00031A85">
              <w:t>10</w:t>
            </w:r>
          </w:p>
        </w:tc>
      </w:tr>
      <w:tr w:rsidR="005B4EEC" w:rsidTr="00FB0C75">
        <w:trPr>
          <w:cantSplit/>
        </w:trPr>
        <w:tc>
          <w:tcPr>
            <w:tcW w:w="3261"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7pBoldLeft"/>
              <w:rPr>
                <w:rFonts w:eastAsia="Verdana"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143</w:t>
            </w:r>
            <w:r>
              <w:t xml:space="preserve"> </w:t>
            </w:r>
            <w:r w:rsidRPr="00031A85">
              <w:t>885</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136</w:t>
            </w:r>
            <w:r>
              <w:t xml:space="preserve"> </w:t>
            </w:r>
            <w:r w:rsidRPr="00031A85">
              <w:t>642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144</w:t>
            </w:r>
            <w:r>
              <w:t xml:space="preserve"> </w:t>
            </w:r>
            <w:r w:rsidRPr="00031A85">
              <w:t>483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7</w:t>
            </w:r>
            <w:r>
              <w:t xml:space="preserve"> </w:t>
            </w:r>
            <w:r w:rsidRPr="00031A85">
              <w:t>141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151</w:t>
            </w:r>
            <w:r>
              <w:t xml:space="preserve"> </w:t>
            </w:r>
            <w:r w:rsidRPr="00031A85">
              <w:t>624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142</w:t>
            </w:r>
            <w:r>
              <w:t xml:space="preserve"> </w:t>
            </w:r>
            <w:r w:rsidRPr="00031A85">
              <w:t>427</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2</w:t>
            </w:r>
            <w:r>
              <w:t xml:space="preserve"> </w:t>
            </w:r>
            <w:r w:rsidRPr="00031A85">
              <w:t>290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144</w:t>
            </w:r>
            <w:r>
              <w:t xml:space="preserve"> </w:t>
            </w:r>
            <w:r w:rsidRPr="00031A85">
              <w:t>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106</w:t>
            </w:r>
            <w:r>
              <w:t> %</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rsidRPr="00031A85">
              <w:t>6</w:t>
            </w:r>
            <w:r>
              <w:t xml:space="preserve"> </w:t>
            </w:r>
            <w:r w:rsidRPr="00031A85">
              <w:t>907</w:t>
            </w:r>
          </w:p>
        </w:tc>
      </w:tr>
      <w:bookmarkEnd w:id="659"/>
    </w:tbl>
    <w:p w:rsidR="00FB0C75" w:rsidRDefault="00FB0C75" w:rsidP="00FB0C75">
      <w:pPr>
        <w:pStyle w:val="Textstand-alone"/>
        <w:sectPr w:rsidR="00FB0C75" w:rsidSect="00FB0C75">
          <w:headerReference w:type="even" r:id="rId529"/>
          <w:headerReference w:type="default" r:id="rId530"/>
          <w:footerReference w:type="even" r:id="rId531"/>
          <w:footerReference w:type="default" r:id="rId532"/>
          <w:headerReference w:type="first" r:id="rId533"/>
          <w:footerReference w:type="first" r:id="rId534"/>
          <w:pgSz w:w="16840" w:h="11900" w:orient="landscape"/>
          <w:pgMar w:top="1134" w:right="1134" w:bottom="1134" w:left="1134" w:header="708" w:footer="708" w:gutter="0"/>
          <w:cols w:space="720"/>
        </w:sectPr>
      </w:pPr>
    </w:p>
    <w:p w:rsidR="00FB0C75" w:rsidRDefault="00525E53" w:rsidP="00FB0C75">
      <w:pPr>
        <w:pStyle w:val="HEADER1Part3"/>
        <w:numPr>
          <w:ilvl w:val="0"/>
          <w:numId w:val="1"/>
        </w:numPr>
        <w:ind w:left="907" w:hanging="907"/>
        <w:rPr>
          <w:rFonts w:cs="Verdana"/>
          <w:bCs/>
        </w:rPr>
      </w:pPr>
      <w:bookmarkStart w:id="662" w:name="_Toc485391787"/>
      <w:bookmarkStart w:id="663" w:name="_Toc491681453"/>
      <w:bookmarkStart w:id="664" w:name="_DMBM_10646"/>
      <w:r>
        <w:t>EXÉCUTION DU BUDGET DE L'UE EN DÉPENSES</w:t>
      </w:r>
      <w:bookmarkEnd w:id="662"/>
      <w:bookmarkEnd w:id="663"/>
      <w:r>
        <w:t xml:space="preserve"> </w:t>
      </w:r>
    </w:p>
    <w:p w:rsidR="00FB0C75" w:rsidRDefault="00525E53" w:rsidP="00FB0C75">
      <w:pPr>
        <w:pStyle w:val="HEADER2Part3"/>
        <w:numPr>
          <w:ilvl w:val="1"/>
          <w:numId w:val="1"/>
        </w:numPr>
        <w:ind w:left="907" w:hanging="907"/>
      </w:pPr>
      <w:bookmarkStart w:id="665" w:name="_Toc485391788"/>
      <w:bookmarkStart w:id="666" w:name="_Toc491681454"/>
      <w:r>
        <w:t>CFP: VENTILATION ET ÉVOLUTION DES CRÉDITS D’ENGAGEMENT ET DE PAIEMENT</w:t>
      </w:r>
      <w:bookmarkEnd w:id="665"/>
      <w:bookmarkEnd w:id="66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color w:val="FFFFFF"/>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bCs/>
                <w:szCs w:val="12"/>
              </w:rPr>
            </w:pPr>
            <w:r>
              <w:t>en Mio EUR</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bCs/>
                <w:szCs w:val="12"/>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rPr>
            </w:pPr>
            <w:r>
              <w:rPr>
                <w:b w:val="0"/>
              </w:rPr>
              <w:t>Crédits d’engagement</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rPr>
            </w:pPr>
            <w:r>
              <w:rPr>
                <w:b w:val="0"/>
              </w:rPr>
              <w:t>Crédits de paiement</w:t>
            </w:r>
          </w:p>
        </w:tc>
      </w:tr>
      <w:tr w:rsidR="005B4EEC" w:rsidTr="00CE15E6">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Cs/>
                <w:szCs w:val="12"/>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Rubrique du CFP</w:t>
            </w: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budgétaires</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supplémentaires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Total</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budgétaires</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supplémentaires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Total</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BoldCentered"/>
              <w:rPr>
                <w:rFonts w:eastAsia="Verdana" w:cs="Verdana"/>
                <w:b w:val="0"/>
                <w:bCs/>
                <w:szCs w:val="12"/>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 initial adopté</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Budgets rectificatifs et virements</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 définitif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reportés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Recettes affectées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disponibles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 initial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Budgets rectificatifs et virements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Budget définitif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reportés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Recettes affectées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Crédits disponibles</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NormalCentered"/>
              <w:rPr>
                <w:rFonts w:eastAsia="Verdana" w:cs="Verdana"/>
                <w:bCs/>
                <w:szCs w:val="12"/>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3</w:t>
            </w:r>
            <w:r>
              <w:rPr>
                <w:b w:val="0"/>
              </w:rPr>
              <w:t>=</w:t>
            </w:r>
            <w:r w:rsidRPr="00031A85">
              <w:rPr>
                <w:b w:val="0"/>
              </w:rPr>
              <w:t>1</w:t>
            </w:r>
            <w:r>
              <w:rPr>
                <w:b w:val="0"/>
              </w:rPr>
              <w:t>+</w:t>
            </w:r>
            <w:r w:rsidRPr="00031A85">
              <w:rPr>
                <w:b w:val="0"/>
              </w:rPr>
              <w:t>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6</w:t>
            </w:r>
            <w:r>
              <w:rPr>
                <w:b w:val="0"/>
              </w:rPr>
              <w:t>=</w:t>
            </w:r>
            <w:r w:rsidRPr="00031A85">
              <w:rPr>
                <w:b w:val="0"/>
              </w:rPr>
              <w:t>3</w:t>
            </w:r>
            <w:r>
              <w:rPr>
                <w:b w:val="0"/>
              </w:rPr>
              <w:t>+</w:t>
            </w:r>
            <w:r w:rsidRPr="00031A85">
              <w:rPr>
                <w:b w:val="0"/>
              </w:rPr>
              <w:t>4</w:t>
            </w:r>
            <w:r>
              <w:rPr>
                <w:b w:val="0"/>
              </w:rPr>
              <w:t>+</w:t>
            </w:r>
            <w:r w:rsidRPr="00031A85">
              <w:rPr>
                <w:b w:val="0"/>
              </w:rPr>
              <w:t>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9</w:t>
            </w:r>
            <w:r>
              <w:rPr>
                <w:b w:val="0"/>
              </w:rPr>
              <w:t>=</w:t>
            </w:r>
            <w:r w:rsidRPr="00031A85">
              <w:rPr>
                <w:b w:val="0"/>
              </w:rPr>
              <w:t>7</w:t>
            </w:r>
            <w:r>
              <w:rPr>
                <w:b w:val="0"/>
              </w:rPr>
              <w:t>+</w:t>
            </w:r>
            <w:r w:rsidRPr="00031A85">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sidRPr="00031A85">
              <w:rPr>
                <w:b w:val="0"/>
              </w:rPr>
              <w:t>12</w:t>
            </w:r>
            <w:r>
              <w:rPr>
                <w:b w:val="0"/>
              </w:rPr>
              <w:t>=</w:t>
            </w:r>
            <w:r w:rsidRPr="00031A85">
              <w:rPr>
                <w:b w:val="0"/>
              </w:rPr>
              <w:t>9</w:t>
            </w:r>
            <w:r>
              <w:rPr>
                <w:b w:val="0"/>
              </w:rPr>
              <w:t>+</w:t>
            </w:r>
            <w:r w:rsidRPr="00031A85">
              <w:rPr>
                <w:b w:val="0"/>
              </w:rPr>
              <w:t>10</w:t>
            </w:r>
            <w:r>
              <w:rPr>
                <w:b w:val="0"/>
              </w:rPr>
              <w:t>+</w:t>
            </w:r>
            <w:r w:rsidRPr="00031A85">
              <w:rPr>
                <w:b w:val="0"/>
              </w:rPr>
              <w:t>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Croissance intelligente et inclusive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69</w:t>
            </w:r>
            <w:r>
              <w:t xml:space="preserve"> </w:t>
            </w:r>
            <w:r w:rsidRPr="00031A85">
              <w:t>841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69</w:t>
            </w:r>
            <w:r>
              <w:t xml:space="preserve"> </w:t>
            </w:r>
            <w:r w:rsidRPr="00031A85">
              <w:t>841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3</w:t>
            </w:r>
            <w:r>
              <w:t xml:space="preserve"> </w:t>
            </w:r>
            <w:r w:rsidRPr="00031A85">
              <w:t>045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73</w:t>
            </w:r>
            <w:r>
              <w:t xml:space="preserve"> </w:t>
            </w:r>
            <w:r w:rsidRPr="00031A85">
              <w:t>039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66</w:t>
            </w:r>
            <w:r>
              <w:t xml:space="preserve"> </w:t>
            </w:r>
            <w:r w:rsidRPr="00031A85">
              <w:t>263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r w:rsidRPr="00031A85">
              <w:t>6</w:t>
            </w:r>
            <w:r>
              <w:t xml:space="preserve"> </w:t>
            </w:r>
            <w:r w:rsidRPr="00031A85">
              <w:t>804</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59</w:t>
            </w:r>
            <w:r>
              <w:t xml:space="preserve"> </w:t>
            </w:r>
            <w:r w:rsidRPr="00031A85">
              <w:t>459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4</w:t>
            </w:r>
            <w:r>
              <w:t xml:space="preserve"> </w:t>
            </w:r>
            <w:r w:rsidRPr="00031A85">
              <w:t>042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63</w:t>
            </w:r>
            <w:r>
              <w:t xml:space="preserve"> </w:t>
            </w:r>
            <w:r w:rsidRPr="00031A85">
              <w:t>618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rsidRPr="00031A85">
              <w:t>1</w:t>
            </w:r>
            <w:r>
              <w:t>a: Compétitivité pour la croissance et l’emploi</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19</w:t>
            </w:r>
            <w:r>
              <w:t xml:space="preserve"> </w:t>
            </w:r>
            <w:r w:rsidRPr="00031A85">
              <w:t>010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0</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19</w:t>
            </w:r>
            <w:r>
              <w:t xml:space="preserve"> </w:t>
            </w:r>
            <w:r w:rsidRPr="00031A85">
              <w:t>010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2</w:t>
            </w:r>
            <w:r>
              <w:t xml:space="preserve"> </w:t>
            </w:r>
            <w:r w:rsidRPr="00031A85">
              <w:t>558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21</w:t>
            </w:r>
            <w:r>
              <w:t xml:space="preserve"> </w:t>
            </w:r>
            <w:r w:rsidRPr="00031A85">
              <w:t>569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17</w:t>
            </w:r>
            <w:r>
              <w:t xml:space="preserve"> </w:t>
            </w:r>
            <w:r w:rsidRPr="00031A85">
              <w:t>418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13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17</w:t>
            </w:r>
            <w:r>
              <w:t xml:space="preserve"> </w:t>
            </w:r>
            <w:r w:rsidRPr="00031A85">
              <w:t>406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467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20</w:t>
            </w:r>
            <w:r>
              <w:t xml:space="preserve"> </w:t>
            </w:r>
            <w:r w:rsidRPr="00031A85">
              <w:t>976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rsidRPr="00031A85">
              <w:t>1</w:t>
            </w:r>
            <w:r>
              <w:t>b: Cohésion économique, sociale et territoriale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50</w:t>
            </w:r>
            <w:r>
              <w:t xml:space="preserve"> </w:t>
            </w:r>
            <w:r w:rsidRPr="00031A85">
              <w:t>831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50</w:t>
            </w:r>
            <w:r>
              <w:t xml:space="preserve"> </w:t>
            </w:r>
            <w:r w:rsidRPr="00031A85">
              <w:t>831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487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51</w:t>
            </w:r>
            <w:r>
              <w:t xml:space="preserve"> </w:t>
            </w:r>
            <w:r w:rsidRPr="00031A85">
              <w:t>471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48</w:t>
            </w:r>
            <w:r>
              <w:t xml:space="preserve"> </w:t>
            </w:r>
            <w:r w:rsidRPr="00031A85">
              <w:t>844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w:t>
            </w:r>
            <w:r w:rsidRPr="00031A85">
              <w:t>6</w:t>
            </w:r>
            <w:r>
              <w:t xml:space="preserve"> </w:t>
            </w:r>
            <w:r w:rsidRPr="00031A85">
              <w:t>791</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053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575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642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Croissance durable: ressources naturelles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62</w:t>
            </w:r>
            <w:r>
              <w:t xml:space="preserve"> </w:t>
            </w:r>
            <w:r w:rsidRPr="00031A85">
              <w:t>484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15</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62</w:t>
            </w:r>
            <w:r>
              <w:t xml:space="preserve"> </w:t>
            </w:r>
            <w:r w:rsidRPr="00031A85">
              <w:t>470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4</w:t>
            </w:r>
            <w:r>
              <w:t xml:space="preserve"> </w:t>
            </w:r>
            <w:r w:rsidRPr="00031A85">
              <w:t>072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66</w:t>
            </w:r>
            <w:r>
              <w:t xml:space="preserve"> </w:t>
            </w:r>
            <w:r w:rsidRPr="00031A85">
              <w:t>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55</w:t>
            </w:r>
            <w:r>
              <w:t xml:space="preserve"> </w:t>
            </w:r>
            <w:r w:rsidRPr="00031A85">
              <w:t>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55</w:t>
            </w:r>
            <w:r>
              <w:t xml:space="preserve"> </w:t>
            </w:r>
            <w:r w:rsidRPr="00031A85">
              <w:t>214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430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3</w:t>
            </w:r>
            <w:r>
              <w:t xml:space="preserve"> </w:t>
            </w:r>
            <w:r w:rsidRPr="00031A85">
              <w:t>821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59</w:t>
            </w:r>
            <w:r>
              <w:t xml:space="preserve"> </w:t>
            </w:r>
            <w:r w:rsidRPr="00031A85">
              <w:t>464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dont: dépenses relatives au marché et paiements directs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2</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218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46</w:t>
            </w:r>
            <w:r>
              <w:t xml:space="preserve"> </w:t>
            </w:r>
            <w:r w:rsidRPr="00031A85">
              <w:t>051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212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42</w:t>
            </w:r>
            <w:r>
              <w:t xml:space="preserve"> </w:t>
            </w:r>
            <w:r w:rsidRPr="00031A85">
              <w:t>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424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46</w:t>
            </w:r>
            <w:r>
              <w:t xml:space="preserve"> </w:t>
            </w:r>
            <w:r w:rsidRPr="00031A85">
              <w:t>057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Sécurité et citoyenneté</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4</w:t>
            </w:r>
            <w:r>
              <w:t xml:space="preserve"> </w:t>
            </w:r>
            <w:r w:rsidRPr="00031A85">
              <w:t>052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240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4</w:t>
            </w:r>
            <w:r>
              <w:t xml:space="preserve"> </w:t>
            </w:r>
            <w:r w:rsidRPr="00031A85">
              <w:t>292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4</w:t>
            </w:r>
            <w:r>
              <w:t xml:space="preserve"> </w:t>
            </w:r>
            <w:r w:rsidRPr="00031A85">
              <w:t>423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3</w:t>
            </w:r>
            <w:r>
              <w:t xml:space="preserve"> </w:t>
            </w:r>
            <w:r w:rsidRPr="00031A85">
              <w:t>022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3</w:t>
            </w:r>
            <w:r>
              <w:t xml:space="preserve"> </w:t>
            </w:r>
            <w:r w:rsidRPr="00031A85">
              <w:t>069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3</w:t>
            </w:r>
            <w:r>
              <w:t xml:space="preserve"> </w:t>
            </w:r>
            <w:r w:rsidRPr="00031A85">
              <w:t>195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L'Europe dans le monde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9</w:t>
            </w:r>
            <w:r>
              <w:t xml:space="preserve"> </w:t>
            </w:r>
            <w:r w:rsidRPr="00031A85">
              <w:t>167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210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9</w:t>
            </w:r>
            <w:r>
              <w:t xml:space="preserve"> </w:t>
            </w:r>
            <w:r w:rsidRPr="00031A85">
              <w:t>377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237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2</w:t>
            </w:r>
            <w:r>
              <w:t xml:space="preserve"> </w:t>
            </w:r>
            <w:r w:rsidRPr="00031A85">
              <w:t>626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12</w:t>
            </w:r>
            <w:r>
              <w:t xml:space="preserve"> </w:t>
            </w:r>
            <w:r w:rsidRPr="00031A85">
              <w:t>240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10</w:t>
            </w:r>
            <w:r>
              <w:t xml:space="preserve"> </w:t>
            </w:r>
            <w:r w:rsidRPr="00031A85">
              <w:t>156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295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9</w:t>
            </w:r>
            <w:r>
              <w:t xml:space="preserve"> </w:t>
            </w:r>
            <w:r w:rsidRPr="00031A85">
              <w:t>860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1</w:t>
            </w:r>
            <w:r>
              <w:t xml:space="preserve"> </w:t>
            </w:r>
            <w:r w:rsidRPr="00031A85">
              <w:t>270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11</w:t>
            </w:r>
            <w:r>
              <w:t xml:space="preserve"> </w:t>
            </w:r>
            <w:r w:rsidRPr="00031A85">
              <w:t>163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Administration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8</w:t>
            </w:r>
            <w:r>
              <w:t xml:space="preserve"> </w:t>
            </w:r>
            <w:r w:rsidRPr="00031A85">
              <w:t>935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8</w:t>
            </w:r>
            <w:r>
              <w:t xml:space="preserve"> </w:t>
            </w:r>
            <w:r w:rsidRPr="00031A85">
              <w:t>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687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9</w:t>
            </w:r>
            <w:r>
              <w:t xml:space="preserve"> </w:t>
            </w:r>
            <w:r w:rsidRPr="00031A85">
              <w:t>642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8</w:t>
            </w:r>
            <w:r>
              <w:t xml:space="preserve"> </w:t>
            </w:r>
            <w:r w:rsidRPr="00031A85">
              <w:t>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8</w:t>
            </w:r>
            <w:r>
              <w:t xml:space="preserve"> </w:t>
            </w:r>
            <w:r w:rsidRPr="00031A85">
              <w:t>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756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783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rsidRPr="00031A85">
              <w:t>10</w:t>
            </w:r>
            <w:r>
              <w:t xml:space="preserve"> </w:t>
            </w:r>
            <w:r w:rsidRPr="00031A85">
              <w:t>490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dont: dépenses administratives des institutions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w:t>
            </w:r>
            <w:r>
              <w:t xml:space="preserve"> </w:t>
            </w:r>
            <w:r w:rsidRPr="00031A85">
              <w:t>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3</w:t>
            </w:r>
            <w:r>
              <w:t xml:space="preserve"> </w:t>
            </w:r>
            <w:r w:rsidRPr="00031A85">
              <w:t>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w:t>
            </w:r>
            <w:r w:rsidRPr="00031A85">
              <w:t>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rsidRPr="00031A85">
              <w:t>4</w:t>
            </w:r>
            <w:r>
              <w:t xml:space="preserve"> </w:t>
            </w:r>
            <w:r w:rsidRPr="00031A85">
              <w:t>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Compensations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 xml:space="preserve">Réserve négative et déficit reporté de l’exercice précédent </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rsidRPr="00031A85">
              <w:t>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Instruments spéciaux</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525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179</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50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395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389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299</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w:t>
            </w:r>
            <w:r w:rsidRPr="00031A85">
              <w:t>140</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bCs/>
                <w:szCs w:val="12"/>
              </w:rPr>
            </w:pPr>
            <w:r>
              <w:t>Total</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155</w:t>
            </w:r>
            <w:r>
              <w:t xml:space="preserve"> </w:t>
            </w:r>
            <w:r w:rsidRPr="00031A85">
              <w:t>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 xml:space="preserve"> </w:t>
            </w:r>
            <w:r w:rsidRPr="00031A85">
              <w:t>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155</w:t>
            </w:r>
            <w:r>
              <w:t xml:space="preserve"> </w:t>
            </w:r>
            <w:r w:rsidRPr="00031A85">
              <w:t>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 xml:space="preserve"> </w:t>
            </w:r>
            <w:r w:rsidRPr="00031A85">
              <w:t>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10</w:t>
            </w:r>
            <w:r>
              <w:t xml:space="preserve"> </w:t>
            </w:r>
            <w:r w:rsidRPr="00031A85">
              <w:t>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166</w:t>
            </w:r>
            <w:r>
              <w:t xml:space="preserve"> </w:t>
            </w:r>
            <w:r w:rsidRPr="00031A85">
              <w:t>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143</w:t>
            </w:r>
            <w:r>
              <w:t xml:space="preserve"> </w:t>
            </w:r>
            <w:r w:rsidRPr="00031A85">
              <w:t>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w:t>
            </w:r>
            <w:r w:rsidRPr="00031A85">
              <w:t>7</w:t>
            </w:r>
            <w:r>
              <w:t xml:space="preserve"> </w:t>
            </w:r>
            <w:r w:rsidRPr="00031A85">
              <w:t>243</w:t>
            </w:r>
            <w:r>
              <w:t>)</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136</w:t>
            </w:r>
            <w:r>
              <w:t xml:space="preserve"> </w:t>
            </w:r>
            <w:r w:rsidRPr="00031A85">
              <w:t>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w:t>
            </w:r>
            <w:r>
              <w:t xml:space="preserve"> </w:t>
            </w:r>
            <w:r w:rsidRPr="00031A85">
              <w:t>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10</w:t>
            </w:r>
            <w:r>
              <w:t xml:space="preserve"> </w:t>
            </w:r>
            <w:r w:rsidRPr="00031A85">
              <w:t>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rsidRPr="00031A85">
              <w:t>148</w:t>
            </w:r>
            <w:r>
              <w:t xml:space="preserve"> </w:t>
            </w:r>
            <w:r w:rsidRPr="00031A85">
              <w:t>069</w:t>
            </w:r>
          </w:p>
        </w:tc>
      </w:tr>
    </w:tbl>
    <w:p w:rsidR="00FB0C75" w:rsidRDefault="00FB0C75" w:rsidP="00FB0C75">
      <w:pPr>
        <w:spacing w:before="10"/>
        <w:rPr>
          <w:rFonts w:ascii="Verdana" w:eastAsia="Verdana" w:hAnsi="Verdana" w:cs="Verdana"/>
          <w:b/>
          <w:bCs/>
          <w:sz w:val="12"/>
          <w:szCs w:val="12"/>
        </w:rPr>
      </w:pPr>
    </w:p>
    <w:p w:rsidR="00FB0C75" w:rsidRDefault="00FB0C75" w:rsidP="00FB0C75">
      <w:pPr>
        <w:ind w:right="113"/>
        <w:rPr>
          <w:rFonts w:ascii="Verdana"/>
          <w:i/>
          <w:spacing w:val="-1"/>
          <w:sz w:val="14"/>
          <w:highlight w:val="yellow"/>
        </w:rPr>
      </w:pPr>
    </w:p>
    <w:p w:rsidR="00FB0C75" w:rsidRPr="001E5FAD" w:rsidRDefault="00FB0C75" w:rsidP="00FB0C75">
      <w:pPr>
        <w:ind w:right="113"/>
        <w:rPr>
          <w:rFonts w:ascii="Verdana" w:eastAsia="Verdana" w:hAnsi="Verdana" w:cs="Verdana"/>
          <w:sz w:val="14"/>
          <w:szCs w:val="14"/>
          <w:highlight w:val="yellow"/>
        </w:rPr>
        <w:sectPr w:rsidR="00FB0C75" w:rsidRPr="001E5FAD" w:rsidSect="00FB0C75">
          <w:headerReference w:type="even" r:id="rId535"/>
          <w:headerReference w:type="default" r:id="rId536"/>
          <w:footerReference w:type="even" r:id="rId537"/>
          <w:footerReference w:type="default" r:id="rId538"/>
          <w:headerReference w:type="first" r:id="rId539"/>
          <w:footerReference w:type="first" r:id="rId540"/>
          <w:pgSz w:w="16840" w:h="11900" w:orient="landscape"/>
          <w:pgMar w:top="1134" w:right="1134" w:bottom="1134" w:left="1134" w:header="708" w:footer="708" w:gutter="0"/>
          <w:cols w:space="720"/>
        </w:sectPr>
      </w:pPr>
    </w:p>
    <w:p w:rsidR="00FB0C75" w:rsidRDefault="00525E53" w:rsidP="00FB0C75">
      <w:pPr>
        <w:pStyle w:val="HEADER2Part3"/>
        <w:numPr>
          <w:ilvl w:val="1"/>
          <w:numId w:val="1"/>
        </w:numPr>
        <w:ind w:left="907" w:hanging="907"/>
        <w:rPr>
          <w:rFonts w:cs="Verdana"/>
          <w:bCs/>
        </w:rPr>
      </w:pPr>
      <w:bookmarkStart w:id="667" w:name="_Toc485391789"/>
      <w:bookmarkStart w:id="668" w:name="_Toc491681455"/>
      <w:r>
        <w:t>CFP: EXÉCUTION DES CRÉDITS D’ENGAGEMENT</w:t>
      </w:r>
      <w:bookmarkEnd w:id="667"/>
      <w:bookmarkEnd w:id="668"/>
    </w:p>
    <w:p w:rsidR="00FB0C75" w:rsidRPr="007C739A" w:rsidRDefault="00FB0C75" w:rsidP="00FB0C75">
      <w:pPr>
        <w:ind w:right="113"/>
        <w:jc w:val="right"/>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16"/>
        <w:gridCol w:w="904"/>
        <w:gridCol w:w="851"/>
        <w:gridCol w:w="848"/>
        <w:gridCol w:w="854"/>
        <w:gridCol w:w="851"/>
        <w:gridCol w:w="851"/>
        <w:gridCol w:w="851"/>
        <w:gridCol w:w="851"/>
        <w:gridCol w:w="851"/>
        <w:gridCol w:w="854"/>
        <w:gridCol w:w="851"/>
        <w:gridCol w:w="851"/>
        <w:gridCol w:w="842"/>
      </w:tblGrid>
      <w:tr w:rsidR="005B4EEC" w:rsidTr="00ED2730">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rPr>
            </w:pPr>
            <w:r>
              <w:t>en Mio EUR</w:t>
            </w:r>
          </w:p>
        </w:tc>
      </w:tr>
      <w:tr w:rsidR="005B4EEC" w:rsidTr="00ED2730">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rPr>
            </w:pPr>
          </w:p>
        </w:tc>
        <w:tc>
          <w:tcPr>
            <w:tcW w:w="904"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Engagements contractés</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 xml:space="preserve">Crédits reportés à </w:t>
            </w:r>
            <w:r w:rsidRPr="00031A85">
              <w:rPr>
                <w:b w:val="0"/>
              </w:rPr>
              <w:t>2017</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Annulations</w:t>
            </w:r>
          </w:p>
        </w:tc>
      </w:tr>
      <w:tr w:rsidR="005B4EEC" w:rsidTr="00ED2730">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Rubrique du CFP</w:t>
            </w:r>
          </w:p>
        </w:tc>
        <w:tc>
          <w:tcPr>
            <w:tcW w:w="90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Total des crédits disponibles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budget définitif adopté</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crédits reportés</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recettes affectées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Recettes affectées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Reports par décision</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Total</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budget définitif adopté</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crédits reportés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sur recettes affectées</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Total</w:t>
            </w:r>
          </w:p>
        </w:tc>
      </w:tr>
      <w:tr w:rsidR="005B4EEC" w:rsidTr="00ED2730">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90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5</w:t>
            </w:r>
            <w:r>
              <w:rPr>
                <w:b w:val="0"/>
              </w:rPr>
              <w:t>=</w:t>
            </w:r>
            <w:r w:rsidRPr="00031A85">
              <w:rPr>
                <w:b w:val="0"/>
              </w:rPr>
              <w:t>2</w:t>
            </w:r>
            <w:r>
              <w:rPr>
                <w:b w:val="0"/>
              </w:rPr>
              <w:t>+</w:t>
            </w:r>
            <w:r w:rsidRPr="00031A85">
              <w:rPr>
                <w:b w:val="0"/>
              </w:rPr>
              <w:t>3</w:t>
            </w:r>
            <w:r>
              <w:rPr>
                <w:b w:val="0"/>
              </w:rPr>
              <w:t>+</w:t>
            </w:r>
            <w:r w:rsidRPr="00031A85">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6</w:t>
            </w:r>
            <w:r>
              <w:rPr>
                <w:b w:val="0"/>
              </w:rPr>
              <w:t>=</w:t>
            </w:r>
            <w:r w:rsidRPr="00031A85">
              <w:rPr>
                <w:b w:val="0"/>
              </w:rPr>
              <w:t>5</w:t>
            </w:r>
            <w:r>
              <w:rPr>
                <w:b w:val="0"/>
              </w:rPr>
              <w:t>/</w:t>
            </w:r>
            <w:r w:rsidRPr="00031A85">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9</w:t>
            </w:r>
            <w:r>
              <w:rPr>
                <w:b w:val="0"/>
              </w:rPr>
              <w:t>=</w:t>
            </w:r>
            <w:r w:rsidRPr="00031A85">
              <w:rPr>
                <w:b w:val="0"/>
              </w:rPr>
              <w:t>7</w:t>
            </w:r>
            <w:r>
              <w:rPr>
                <w:b w:val="0"/>
              </w:rPr>
              <w:t>+</w:t>
            </w:r>
            <w:r w:rsidRPr="00031A85">
              <w:rPr>
                <w:b w:val="0"/>
              </w:rPr>
              <w:t>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sidRPr="00031A85">
              <w:rPr>
                <w:b w:val="0"/>
              </w:rPr>
              <w:t>13</w:t>
            </w:r>
            <w:r>
              <w:rPr>
                <w:b w:val="0"/>
              </w:rPr>
              <w:t>=</w:t>
            </w:r>
            <w:r w:rsidRPr="00031A85">
              <w:rPr>
                <w:b w:val="0"/>
              </w:rPr>
              <w:t>10</w:t>
            </w:r>
            <w:r>
              <w:rPr>
                <w:b w:val="0"/>
              </w:rPr>
              <w:t xml:space="preserve">+ </w:t>
            </w:r>
            <w:r w:rsidRPr="00031A85">
              <w:rPr>
                <w:b w:val="0"/>
              </w:rPr>
              <w:t>11</w:t>
            </w:r>
            <w:r>
              <w:rPr>
                <w:b w:val="0"/>
              </w:rPr>
              <w:t>+</w:t>
            </w:r>
            <w:r w:rsidRPr="00031A85">
              <w:rPr>
                <w:b w:val="0"/>
              </w:rPr>
              <w:t>12</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1</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Croissance intelligente et inclusive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73</w:t>
            </w:r>
            <w:r>
              <w:t xml:space="preserve"> </w:t>
            </w:r>
            <w:r w:rsidRPr="00031A85">
              <w:t>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69</w:t>
            </w:r>
            <w:r>
              <w:t xml:space="preserve"> </w:t>
            </w:r>
            <w:r w:rsidRPr="00031A85">
              <w:t>808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71</w:t>
            </w:r>
            <w:r>
              <w:t xml:space="preserve"> </w:t>
            </w:r>
            <w:r w:rsidRPr="00031A85">
              <w:t>731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98</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267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267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41</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rsidRPr="00031A85">
              <w:t>1</w:t>
            </w:r>
            <w:r>
              <w:t>a: Compétitivité pour la croissance et l’emploi</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21</w:t>
            </w:r>
            <w:r>
              <w:t xml:space="preserve"> </w:t>
            </w:r>
            <w:r w:rsidRPr="00031A85">
              <w:t>569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18</w:t>
            </w:r>
            <w:r>
              <w:t xml:space="preserve"> </w:t>
            </w:r>
            <w:r w:rsidRPr="00031A85">
              <w:t>997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335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20</w:t>
            </w:r>
            <w:r>
              <w:t xml:space="preserve"> </w:t>
            </w:r>
            <w:r w:rsidRPr="00031A85">
              <w:t>332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94</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224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224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13</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rsidRPr="00031A85">
              <w:t>1</w:t>
            </w:r>
            <w:r>
              <w:t>b: Cohésion économique, sociale et territoriale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51</w:t>
            </w:r>
            <w:r>
              <w:t xml:space="preserve"> </w:t>
            </w:r>
            <w:r w:rsidRPr="00031A85">
              <w:t>471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50</w:t>
            </w:r>
            <w:r>
              <w:t xml:space="preserve"> </w:t>
            </w:r>
            <w:r w:rsidRPr="00031A85">
              <w:t>811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51</w:t>
            </w:r>
            <w:r>
              <w:t xml:space="preserve"> </w:t>
            </w:r>
            <w:r w:rsidRPr="00031A85">
              <w:t>400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100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28</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2</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Croissance durable: ressources naturelles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66</w:t>
            </w:r>
            <w:r>
              <w:t xml:space="preserve"> </w:t>
            </w:r>
            <w:r w:rsidRPr="00031A85">
              <w:t>952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62</w:t>
            </w:r>
            <w:r>
              <w:t xml:space="preserve"> </w:t>
            </w:r>
            <w:r w:rsidRPr="00031A85">
              <w:t>013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396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2</w:t>
            </w:r>
            <w:r>
              <w:t xml:space="preserve"> </w:t>
            </w:r>
            <w:r w:rsidRPr="00031A85">
              <w:t>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64</w:t>
            </w:r>
            <w:r>
              <w:t xml:space="preserve"> </w:t>
            </w:r>
            <w:r w:rsidRPr="00031A85">
              <w:t>547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934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2</w:t>
            </w:r>
            <w:r>
              <w:t xml:space="preserve"> </w:t>
            </w:r>
            <w:r w:rsidRPr="00031A85">
              <w:t>368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38</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dont: dépenses relatives au marché et paiements directs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46</w:t>
            </w:r>
            <w:r>
              <w:t xml:space="preserve"> </w:t>
            </w:r>
            <w:r w:rsidRPr="00031A85">
              <w:t>051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41</w:t>
            </w:r>
            <w:r>
              <w:t xml:space="preserve"> </w:t>
            </w:r>
            <w:r w:rsidRPr="00031A85">
              <w:t>770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w:t>
            </w:r>
            <w:r>
              <w:t xml:space="preserve"> </w:t>
            </w:r>
            <w:r w:rsidRPr="00031A85">
              <w:t>120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44</w:t>
            </w:r>
            <w:r>
              <w:t xml:space="preserve"> </w:t>
            </w:r>
            <w:r w:rsidRPr="00031A85">
              <w:t>285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304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737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29</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3</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Sécurité et citoyenneté</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w:t>
            </w:r>
            <w:r>
              <w:t xml:space="preserve"> </w:t>
            </w:r>
            <w:r w:rsidRPr="00031A85">
              <w:t>423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w:t>
            </w:r>
            <w:r>
              <w:t xml:space="preserve"> </w:t>
            </w:r>
            <w:r w:rsidRPr="00031A85">
              <w:t>287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w:t>
            </w:r>
            <w:r>
              <w:t xml:space="preserve"> </w:t>
            </w:r>
            <w:r w:rsidRPr="00031A85">
              <w:t>336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98</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4</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L'Europe dans le monde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12</w:t>
            </w:r>
            <w:r>
              <w:t xml:space="preserve"> </w:t>
            </w:r>
            <w:r w:rsidRPr="00031A85">
              <w:t>240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w:t>
            </w:r>
            <w:r>
              <w:t xml:space="preserve"> </w:t>
            </w:r>
            <w:r w:rsidRPr="00031A85">
              <w:t>364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677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11</w:t>
            </w:r>
            <w:r>
              <w:t xml:space="preserve"> </w:t>
            </w:r>
            <w:r w:rsidRPr="00031A85">
              <w:t>278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92</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948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959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5</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Administration</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w:t>
            </w:r>
            <w:r>
              <w:t xml:space="preserve"> </w:t>
            </w:r>
            <w:r w:rsidRPr="00031A85">
              <w:t>642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8</w:t>
            </w:r>
            <w:r>
              <w:t xml:space="preserve"> </w:t>
            </w:r>
            <w:r w:rsidRPr="00031A85">
              <w:t>887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w:t>
            </w:r>
            <w:r>
              <w:t xml:space="preserve"> </w:t>
            </w:r>
            <w:r w:rsidRPr="00031A85">
              <w:t>358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222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62</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dont: dépenses administratives des institutions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w:t>
            </w:r>
            <w:r>
              <w:t xml:space="preserve"> </w:t>
            </w:r>
            <w:r w:rsidRPr="00031A85">
              <w:t>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w:t>
            </w:r>
            <w:r>
              <w:t xml:space="preserve"> </w:t>
            </w:r>
            <w:r w:rsidRPr="00031A85">
              <w:t>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w:t>
            </w:r>
            <w:r>
              <w:t xml:space="preserve"> </w:t>
            </w:r>
            <w:r w:rsidRPr="00031A85">
              <w:t>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57</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6</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Compensations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8</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 xml:space="preserve">Réserve négative et déficit reporté de l’exercice précédent </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ED2730">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9</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Instruments spéciaux</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130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180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155</w:t>
            </w:r>
          </w:p>
        </w:tc>
      </w:tr>
      <w:tr w:rsidR="005B4EEC" w:rsidTr="00ED2730">
        <w:tc>
          <w:tcPr>
            <w:tcW w:w="4308"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szCs w:val="14"/>
              </w:rPr>
            </w:pPr>
            <w:r>
              <w:t>Total</w:t>
            </w:r>
          </w:p>
        </w:tc>
        <w:tc>
          <w:tcPr>
            <w:tcW w:w="90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166</w:t>
            </w:r>
            <w:r>
              <w:t xml:space="preserve"> </w:t>
            </w:r>
            <w:r w:rsidRPr="00031A85">
              <w:t>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154</w:t>
            </w:r>
            <w:r>
              <w:t xml:space="preserve"> </w:t>
            </w:r>
            <w:r w:rsidRPr="00031A85">
              <w:t>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6</w:t>
            </w:r>
            <w:r>
              <w:t xml:space="preserve"> </w:t>
            </w:r>
            <w:r w:rsidRPr="00031A85">
              <w:t>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161</w:t>
            </w:r>
            <w:r>
              <w:t xml:space="preserve"> </w:t>
            </w:r>
            <w:r w:rsidRPr="00031A85">
              <w:t>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97</w:t>
            </w:r>
            <w:r>
              <w:t>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4</w:t>
            </w:r>
            <w:r>
              <w:t xml:space="preserve"> </w:t>
            </w:r>
            <w:r w:rsidRPr="00031A85">
              <w:t>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5</w:t>
            </w:r>
            <w:r>
              <w:t xml:space="preserve"> </w:t>
            </w:r>
            <w:r w:rsidRPr="00031A85">
              <w:t>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303</w:t>
            </w:r>
          </w:p>
        </w:tc>
      </w:tr>
    </w:tbl>
    <w:p w:rsidR="00FB0C75" w:rsidRDefault="00FB0C75" w:rsidP="00FB0C75">
      <w:pPr>
        <w:rPr>
          <w:rFonts w:ascii="Verdana" w:eastAsia="Verdana" w:hAnsi="Verdana" w:cs="Verdana"/>
          <w:sz w:val="14"/>
          <w:szCs w:val="14"/>
        </w:rPr>
      </w:pPr>
    </w:p>
    <w:p w:rsidR="00FB0C75" w:rsidRDefault="00FB0C75" w:rsidP="00FB0C75">
      <w:pPr>
        <w:rPr>
          <w:rFonts w:ascii="Verdana" w:eastAsia="Verdana" w:hAnsi="Verdana" w:cs="Verdana"/>
          <w:sz w:val="14"/>
          <w:szCs w:val="14"/>
        </w:rPr>
        <w:sectPr w:rsidR="00FB0C75" w:rsidSect="00FB0C75">
          <w:headerReference w:type="even" r:id="rId541"/>
          <w:headerReference w:type="default" r:id="rId542"/>
          <w:footerReference w:type="even" r:id="rId543"/>
          <w:footerReference w:type="default" r:id="rId544"/>
          <w:headerReference w:type="first" r:id="rId545"/>
          <w:footerReference w:type="first" r:id="rId546"/>
          <w:type w:val="nextColumn"/>
          <w:pgSz w:w="16840" w:h="11900" w:orient="landscape"/>
          <w:pgMar w:top="1134" w:right="1134" w:bottom="1134" w:left="1134" w:header="720" w:footer="720" w:gutter="0"/>
          <w:cols w:space="720"/>
        </w:sectPr>
      </w:pPr>
    </w:p>
    <w:p w:rsidR="00FB0C75" w:rsidRPr="004C60BF" w:rsidRDefault="00525E53" w:rsidP="00FB0C75">
      <w:pPr>
        <w:pStyle w:val="HEADER2Part3"/>
        <w:numPr>
          <w:ilvl w:val="1"/>
          <w:numId w:val="1"/>
        </w:numPr>
        <w:ind w:left="907" w:hanging="907"/>
        <w:rPr>
          <w:rFonts w:cs="Verdana"/>
          <w:bCs/>
        </w:rPr>
      </w:pPr>
      <w:bookmarkStart w:id="669" w:name="_Toc485391790"/>
      <w:bookmarkStart w:id="670" w:name="_Toc491681456"/>
      <w:r>
        <w:t>CFP: EXÉCUTION DES CRÉDITS DE PAIEMENT</w:t>
      </w:r>
      <w:bookmarkEnd w:id="669"/>
      <w:bookmarkEnd w:id="670"/>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118"/>
        <w:gridCol w:w="919"/>
        <w:gridCol w:w="783"/>
        <w:gridCol w:w="851"/>
        <w:gridCol w:w="849"/>
        <w:gridCol w:w="852"/>
        <w:gridCol w:w="852"/>
        <w:gridCol w:w="852"/>
        <w:gridCol w:w="852"/>
        <w:gridCol w:w="852"/>
        <w:gridCol w:w="849"/>
        <w:gridCol w:w="864"/>
        <w:gridCol w:w="691"/>
        <w:gridCol w:w="158"/>
        <w:gridCol w:w="692"/>
        <w:gridCol w:w="1230"/>
      </w:tblGrid>
      <w:tr w:rsidR="005B4EEC" w:rsidTr="00ED2730">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gridSpan w:val="2"/>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rPr>
            </w:pPr>
            <w:r>
              <w:t>en Mio EUR</w:t>
            </w:r>
          </w:p>
        </w:tc>
      </w:tr>
      <w:tr w:rsidR="005B4EEC" w:rsidTr="00ED2730">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rPr>
            </w:pPr>
          </w:p>
        </w:tc>
        <w:tc>
          <w:tcPr>
            <w:tcW w:w="919"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rPr>
            </w:pPr>
          </w:p>
        </w:tc>
        <w:tc>
          <w:tcPr>
            <w:tcW w:w="4187"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Paiements exécutés</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 xml:space="preserve">Crédits reportés à </w:t>
            </w:r>
            <w:r w:rsidRPr="00031A85">
              <w:rPr>
                <w:b w:val="0"/>
              </w:rPr>
              <w:t>2017</w:t>
            </w:r>
          </w:p>
        </w:tc>
        <w:tc>
          <w:tcPr>
            <w:tcW w:w="363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Annulations</w:t>
            </w:r>
          </w:p>
        </w:tc>
      </w:tr>
      <w:tr w:rsidR="005B4EEC" w:rsidTr="00ED2730">
        <w:trPr>
          <w:trHeight w:val="741"/>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Rubrique du CFP</w:t>
            </w:r>
          </w:p>
        </w:tc>
        <w:tc>
          <w:tcPr>
            <w:tcW w:w="91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Total des crédits disponibles</w:t>
            </w:r>
          </w:p>
        </w:tc>
        <w:tc>
          <w:tcPr>
            <w:tcW w:w="78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budget définitif adopté</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crédits reportés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recettes affectées</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Total</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rPr>
            </w:pPr>
            <w:r>
              <w:rPr>
                <w:b w:val="0"/>
              </w:rPr>
              <w:t>Reports de droit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Reports par décision</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Recettes affectées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Total</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budget définitif adopté</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crédits reportés</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sur recettes affectées</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Total</w:t>
            </w:r>
          </w:p>
        </w:tc>
      </w:tr>
      <w:tr w:rsidR="005B4EEC" w:rsidTr="00ED2730">
        <w:trPr>
          <w:trHeight w:val="307"/>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szCs w:val="14"/>
              </w:rPr>
            </w:pPr>
          </w:p>
        </w:tc>
        <w:tc>
          <w:tcPr>
            <w:tcW w:w="91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w:t>
            </w:r>
          </w:p>
        </w:tc>
        <w:tc>
          <w:tcPr>
            <w:tcW w:w="78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5</w:t>
            </w:r>
            <w:r>
              <w:rPr>
                <w:b w:val="0"/>
              </w:rPr>
              <w:t>=</w:t>
            </w:r>
            <w:r w:rsidRPr="00031A85">
              <w:rPr>
                <w:b w:val="0"/>
              </w:rPr>
              <w:t>2</w:t>
            </w:r>
            <w:r>
              <w:rPr>
                <w:b w:val="0"/>
              </w:rPr>
              <w:t>+</w:t>
            </w:r>
            <w:r w:rsidRPr="00031A85">
              <w:rPr>
                <w:b w:val="0"/>
              </w:rPr>
              <w:t>3</w:t>
            </w:r>
            <w:r>
              <w:rPr>
                <w:b w:val="0"/>
              </w:rPr>
              <w:t>+</w:t>
            </w:r>
            <w:r w:rsidRPr="00031A85">
              <w:rPr>
                <w:b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6</w:t>
            </w:r>
            <w:r>
              <w:rPr>
                <w:b w:val="0"/>
              </w:rPr>
              <w:t>=</w:t>
            </w:r>
            <w:r w:rsidRPr="00031A85">
              <w:rPr>
                <w:b w:val="0"/>
              </w:rPr>
              <w:t>5</w:t>
            </w:r>
            <w:r>
              <w:rPr>
                <w:b w:val="0"/>
              </w:rPr>
              <w:t>/</w:t>
            </w:r>
            <w:r w:rsidRPr="00031A85">
              <w:rPr>
                <w:b w:val="0"/>
              </w:rPr>
              <w:t>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rPr>
            </w:pPr>
            <w:r w:rsidRPr="00031A85">
              <w:rPr>
                <w:b w:val="0"/>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10</w:t>
            </w:r>
            <w:r>
              <w:rPr>
                <w:b w:val="0"/>
              </w:rPr>
              <w:t>=</w:t>
            </w:r>
            <w:r w:rsidRPr="00031A85">
              <w:rPr>
                <w:b w:val="0"/>
              </w:rPr>
              <w:t>7</w:t>
            </w:r>
            <w:r>
              <w:rPr>
                <w:b w:val="0"/>
              </w:rPr>
              <w:t>+</w:t>
            </w:r>
            <w:r w:rsidRPr="00031A85">
              <w:rPr>
                <w:b w:val="0"/>
              </w:rPr>
              <w:t>8</w:t>
            </w:r>
            <w:r>
              <w:rPr>
                <w:b w:val="0"/>
              </w:rPr>
              <w:t>+</w:t>
            </w:r>
            <w:r w:rsidRPr="00031A85">
              <w:rPr>
                <w:b w:val="0"/>
              </w:rPr>
              <w:t>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11</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12</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13</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sidRPr="00031A85">
              <w:rPr>
                <w:b w:val="0"/>
              </w:rPr>
              <w:t>14</w:t>
            </w:r>
            <w:r>
              <w:rPr>
                <w:b w:val="0"/>
              </w:rPr>
              <w:t>=</w:t>
            </w:r>
            <w:r w:rsidRPr="00031A85">
              <w:rPr>
                <w:b w:val="0"/>
              </w:rPr>
              <w:t>11</w:t>
            </w:r>
            <w:r>
              <w:rPr>
                <w:b w:val="0"/>
              </w:rPr>
              <w:t>+</w:t>
            </w:r>
            <w:r w:rsidRPr="00031A85">
              <w:rPr>
                <w:b w:val="0"/>
              </w:rPr>
              <w:t>12</w:t>
            </w:r>
            <w:r>
              <w:rPr>
                <w:b w:val="0"/>
              </w:rPr>
              <w:t>+</w:t>
            </w:r>
            <w:r w:rsidRPr="00031A85">
              <w:rPr>
                <w:b w:val="0"/>
              </w:rPr>
              <w:t>13</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Croissance intelligente et inclusive</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63</w:t>
            </w:r>
            <w:r>
              <w:t xml:space="preserve"> </w:t>
            </w:r>
            <w:r w:rsidRPr="00031A85">
              <w:t>618</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55</w:t>
            </w:r>
            <w:r>
              <w:t xml:space="preserve"> </w:t>
            </w:r>
            <w:r w:rsidRPr="00031A85">
              <w:t>005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102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158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56</w:t>
            </w:r>
            <w:r>
              <w:t xml:space="preserve"> </w:t>
            </w:r>
            <w:r w:rsidRPr="00031A85">
              <w:t>265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88</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126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2</w:t>
            </w:r>
            <w:r>
              <w:t xml:space="preserve"> </w:t>
            </w:r>
            <w:r w:rsidRPr="00031A85">
              <w:t>881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3</w:t>
            </w:r>
            <w:r>
              <w:t xml:space="preserve"> </w:t>
            </w:r>
            <w:r w:rsidRPr="00031A85">
              <w:t>012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w:t>
            </w:r>
            <w:r>
              <w:t xml:space="preserve"> </w:t>
            </w:r>
            <w:r w:rsidRPr="00031A85">
              <w:t>323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w:t>
            </w:r>
            <w:r>
              <w:t xml:space="preserve"> </w:t>
            </w:r>
            <w:r w:rsidRPr="00031A85">
              <w:t>341</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rsidRPr="00031A85">
              <w:t>1</w:t>
            </w:r>
            <w:r>
              <w:t>a: Compétitivité pour la croissance et l’emploi</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20</w:t>
            </w:r>
            <w:r>
              <w:t xml:space="preserve"> </w:t>
            </w:r>
            <w:r w:rsidRPr="00031A85">
              <w:t>976</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17</w:t>
            </w:r>
            <w:r>
              <w:t xml:space="preserve"> </w:t>
            </w:r>
            <w:r w:rsidRPr="00031A85">
              <w:t>257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90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114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18</w:t>
            </w:r>
            <w:r>
              <w:t xml:space="preserve"> </w:t>
            </w:r>
            <w:r w:rsidRPr="00031A85">
              <w:t>461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88</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w:t>
            </w:r>
            <w:r>
              <w:t xml:space="preserve"> </w:t>
            </w:r>
            <w:r w:rsidRPr="00031A85">
              <w:t>350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w:t>
            </w:r>
            <w:r>
              <w:t xml:space="preserve"> </w:t>
            </w:r>
            <w:r w:rsidRPr="00031A85">
              <w:t>468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46</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rsidRPr="00031A85">
              <w:t>1</w:t>
            </w:r>
            <w:r>
              <w:t>b: Cohésion économique, sociale et territoriale</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42</w:t>
            </w:r>
            <w:r>
              <w:t xml:space="preserve"> </w:t>
            </w:r>
            <w:r w:rsidRPr="00031A85">
              <w:t>642</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37</w:t>
            </w:r>
            <w:r>
              <w:t xml:space="preserve"> </w:t>
            </w:r>
            <w:r w:rsidRPr="00031A85">
              <w:t>748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37</w:t>
            </w:r>
            <w:r>
              <w:t xml:space="preserve"> </w:t>
            </w:r>
            <w:r w:rsidRPr="00031A85">
              <w:t>804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89</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531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w:t>
            </w:r>
            <w:r>
              <w:t xml:space="preserve"> </w:t>
            </w:r>
            <w:r w:rsidRPr="00031A85">
              <w:t>292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w:t>
            </w:r>
            <w:r>
              <w:t xml:space="preserve"> </w:t>
            </w:r>
            <w:r w:rsidRPr="00031A85">
              <w:t>295</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Croissance durable: ressources naturelles</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59</w:t>
            </w:r>
            <w:r>
              <w:t xml:space="preserve"> </w:t>
            </w:r>
            <w:r w:rsidRPr="00031A85">
              <w:t>464</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54</w:t>
            </w:r>
            <w:r>
              <w:t xml:space="preserve"> </w:t>
            </w:r>
            <w:r w:rsidRPr="00031A85">
              <w:t>508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2</w:t>
            </w:r>
            <w:r>
              <w:t xml:space="preserve"> </w:t>
            </w:r>
            <w:r w:rsidRPr="00031A85">
              <w:t>490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57</w:t>
            </w:r>
            <w:r>
              <w:t xml:space="preserve"> </w:t>
            </w:r>
            <w:r w:rsidRPr="00031A85">
              <w:t>412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97</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71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87</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dont: dépenses relatives au marché et paiements directs</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46</w:t>
            </w:r>
            <w:r>
              <w:t xml:space="preserve"> </w:t>
            </w:r>
            <w:r w:rsidRPr="00031A85">
              <w:t>057</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41</w:t>
            </w:r>
            <w:r>
              <w:t xml:space="preserve"> </w:t>
            </w:r>
            <w:r w:rsidRPr="00031A85">
              <w:t>558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408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2</w:t>
            </w:r>
            <w:r>
              <w:t xml:space="preserve"> </w:t>
            </w:r>
            <w:r w:rsidRPr="00031A85">
              <w:t>118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44</w:t>
            </w:r>
            <w:r>
              <w:t xml:space="preserve"> </w:t>
            </w:r>
            <w:r w:rsidRPr="00031A85">
              <w:t>084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96</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305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1</w:t>
            </w:r>
            <w:r>
              <w:t xml:space="preserve"> </w:t>
            </w:r>
            <w:r w:rsidRPr="00031A85">
              <w:t>935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22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37</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Sécurité et citoyenneté</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3</w:t>
            </w:r>
            <w:r>
              <w:t xml:space="preserve"> </w:t>
            </w:r>
            <w:r w:rsidRPr="00031A85">
              <w:t>195</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3</w:t>
            </w:r>
            <w:r>
              <w:t xml:space="preserve"> </w:t>
            </w:r>
            <w:r w:rsidRPr="00031A85">
              <w:t>035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3</w:t>
            </w:r>
            <w:r>
              <w:t xml:space="preserve"> </w:t>
            </w:r>
            <w:r w:rsidRPr="00031A85">
              <w:t>077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96</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93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25</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L'Europe dans le monde</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11</w:t>
            </w:r>
            <w:r>
              <w:t xml:space="preserve"> </w:t>
            </w:r>
            <w:r w:rsidRPr="00031A85">
              <w:t>163</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w:t>
            </w:r>
            <w:r>
              <w:t xml:space="preserve"> </w:t>
            </w:r>
            <w:r w:rsidRPr="00031A85">
              <w:t>421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10</w:t>
            </w:r>
            <w:r>
              <w:t xml:space="preserve"> </w:t>
            </w:r>
            <w:r w:rsidRPr="00031A85">
              <w:t>277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92</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441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319</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324</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Administration</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10</w:t>
            </w:r>
            <w:r>
              <w:t xml:space="preserve"> </w:t>
            </w:r>
            <w:r w:rsidRPr="00031A85">
              <w:t>490</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8</w:t>
            </w:r>
            <w:r>
              <w:t xml:space="preserve"> </w:t>
            </w:r>
            <w:r w:rsidRPr="00031A85">
              <w:t>163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477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9</w:t>
            </w:r>
            <w:r>
              <w:t xml:space="preserve"> </w:t>
            </w:r>
            <w:r w:rsidRPr="00031A85">
              <w:t>324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89</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725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1</w:t>
            </w:r>
            <w:r>
              <w:t xml:space="preserve"> </w:t>
            </w:r>
            <w:r w:rsidRPr="00031A85">
              <w:t>032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72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133</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dont: dépenses administratives des institutions</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4</w:t>
            </w:r>
            <w:r>
              <w:t xml:space="preserve"> </w:t>
            </w:r>
            <w:r w:rsidRPr="00031A85">
              <w:t>683</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w:t>
            </w:r>
            <w:r>
              <w:t xml:space="preserve"> </w:t>
            </w:r>
            <w:r w:rsidRPr="00031A85">
              <w:t>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3</w:t>
            </w:r>
            <w:r>
              <w:t xml:space="preserve"> </w:t>
            </w:r>
            <w:r w:rsidRPr="00031A85">
              <w:t>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rsidRPr="00031A85">
              <w:t>85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57</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49</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w:t>
            </w:r>
            <w:r w:rsidRPr="00031A85">
              <w:t>106</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Compensations</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 xml:space="preserve">Réserve négative et déficit reporté de l’exercice précédent </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ED2730">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rsidRPr="00031A85">
              <w:t>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Instruments spéciaux</w:t>
            </w:r>
          </w:p>
        </w:tc>
        <w:tc>
          <w:tcPr>
            <w:tcW w:w="91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140</w:t>
            </w:r>
          </w:p>
        </w:tc>
        <w:tc>
          <w:tcPr>
            <w:tcW w:w="78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rsidRPr="00031A85">
              <w:t>44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54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25</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0</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w:t>
            </w:r>
            <w:r w:rsidRPr="00031A85">
              <w:t>25</w:t>
            </w:r>
          </w:p>
        </w:tc>
      </w:tr>
      <w:tr w:rsidR="005B4EEC" w:rsidTr="00ED2730">
        <w:tc>
          <w:tcPr>
            <w:tcW w:w="3509"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szCs w:val="14"/>
              </w:rPr>
            </w:pPr>
            <w:r>
              <w:t>Total</w:t>
            </w:r>
          </w:p>
        </w:tc>
        <w:tc>
          <w:tcPr>
            <w:tcW w:w="91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148</w:t>
            </w:r>
            <w:r>
              <w:t xml:space="preserve"> </w:t>
            </w:r>
            <w:r w:rsidRPr="00031A85">
              <w:t>069</w:t>
            </w:r>
          </w:p>
        </w:tc>
        <w:tc>
          <w:tcPr>
            <w:tcW w:w="78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130</w:t>
            </w:r>
            <w:r>
              <w:t xml:space="preserve"> </w:t>
            </w:r>
            <w:r w:rsidRPr="00031A85">
              <w:t>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w:t>
            </w:r>
            <w:r>
              <w:t xml:space="preserve"> </w:t>
            </w:r>
            <w:r w:rsidRPr="00031A85">
              <w:t>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5</w:t>
            </w:r>
            <w:r>
              <w:t xml:space="preserve"> </w:t>
            </w:r>
            <w:r w:rsidRPr="00031A85">
              <w:t>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136</w:t>
            </w:r>
            <w:r>
              <w:t xml:space="preserve"> </w:t>
            </w:r>
            <w:r w:rsidRPr="00031A85">
              <w:t>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92</w:t>
            </w:r>
            <w:r>
              <w:t> %</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1</w:t>
            </w:r>
            <w:r>
              <w:t xml:space="preserve"> </w:t>
            </w:r>
            <w:r w:rsidRPr="00031A85">
              <w:t>099</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5</w:t>
            </w:r>
            <w:r>
              <w:t xml:space="preserve"> </w:t>
            </w:r>
            <w:r w:rsidRPr="00031A85">
              <w:t>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6</w:t>
            </w:r>
            <w:r>
              <w:t xml:space="preserve"> </w:t>
            </w:r>
            <w:r w:rsidRPr="00031A85">
              <w:t>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4</w:t>
            </w:r>
            <w:r>
              <w:t xml:space="preserve"> </w:t>
            </w:r>
            <w:r w:rsidRPr="00031A85">
              <w:t>823</w:t>
            </w:r>
          </w:p>
        </w:tc>
        <w:tc>
          <w:tcPr>
            <w:tcW w:w="69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109</w:t>
            </w:r>
          </w:p>
        </w:tc>
        <w:tc>
          <w:tcPr>
            <w:tcW w:w="850"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w:t>
            </w:r>
            <w:r w:rsidRPr="00031A85">
              <w:t>3</w:t>
            </w:r>
          </w:p>
        </w:tc>
        <w:tc>
          <w:tcPr>
            <w:tcW w:w="123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rsidRPr="00031A85">
              <w:t>4</w:t>
            </w:r>
            <w:r>
              <w:t xml:space="preserve"> </w:t>
            </w:r>
            <w:r w:rsidRPr="00031A85">
              <w:t>936</w:t>
            </w:r>
          </w:p>
        </w:tc>
      </w:tr>
    </w:tbl>
    <w:p w:rsidR="00FB0C75" w:rsidRDefault="00FB0C75" w:rsidP="00FB0C75">
      <w:pPr>
        <w:rPr>
          <w:rFonts w:ascii="Verdana" w:eastAsia="Verdana" w:hAnsi="Verdana" w:cs="Verdana"/>
          <w:sz w:val="14"/>
          <w:szCs w:val="14"/>
        </w:rPr>
      </w:pPr>
    </w:p>
    <w:p w:rsidR="00FB0C75" w:rsidRPr="008C13D4" w:rsidRDefault="00FB0C75" w:rsidP="00FB0C75">
      <w:pPr>
        <w:rPr>
          <w:rFonts w:ascii="Verdana" w:eastAsia="Verdana" w:hAnsi="Verdana" w:cs="Verdana"/>
          <w:sz w:val="14"/>
          <w:szCs w:val="14"/>
        </w:rPr>
        <w:sectPr w:rsidR="00FB0C75" w:rsidRPr="008C13D4" w:rsidSect="00FB0C75">
          <w:headerReference w:type="even" r:id="rId547"/>
          <w:headerReference w:type="default" r:id="rId548"/>
          <w:footerReference w:type="even" r:id="rId549"/>
          <w:footerReference w:type="default" r:id="rId550"/>
          <w:headerReference w:type="first" r:id="rId551"/>
          <w:footerReference w:type="first" r:id="rId552"/>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71" w:name="_Toc485391791"/>
      <w:bookmarkStart w:id="672" w:name="_Toc491681457"/>
      <w:r>
        <w:t>CFP: ÉVOLUTION DES ENGAGEMENTS RESTANT À LIQUIDER (RAL)</w:t>
      </w:r>
      <w:bookmarkEnd w:id="671"/>
      <w:bookmarkEnd w:id="672"/>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RAL à la fin de l’exercice précédent</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de l’exercice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Rubrique du CFP</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reportés de l’exercice précédent</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Pr>
                <w:b w:val="0"/>
              </w:rPr>
              <w:t>Dégagements/</w:t>
            </w:r>
            <w:r w:rsidR="00ED2730">
              <w:rPr>
                <w:b w:val="0"/>
              </w:rPr>
              <w:br/>
            </w:r>
            <w:r>
              <w:rPr>
                <w:b w:val="0"/>
              </w:rPr>
              <w:t>Réévaluations/</w:t>
            </w:r>
            <w:r w:rsidR="00ED2730">
              <w:rPr>
                <w:b w:val="0"/>
              </w:rPr>
              <w:br/>
            </w:r>
            <w:r>
              <w:rPr>
                <w:b w:val="0"/>
              </w:rPr>
              <w:t>Annulations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Paiements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restant à liquider à la date de clôture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contractés en cours d’exercice</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Paiements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Annulation des engagements non reportables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restant à liquider à la date de clôture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RAL à la fin de l’exercice</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Croissance intelligente et inclusive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160</w:t>
            </w:r>
            <w:r>
              <w:t xml:space="preserve"> </w:t>
            </w:r>
            <w:r w:rsidRPr="00031A85">
              <w:t>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353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48</w:t>
            </w:r>
            <w:r>
              <w:t xml:space="preserve"> </w:t>
            </w:r>
            <w:r w:rsidRPr="00031A85">
              <w:t>608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110</w:t>
            </w:r>
            <w:r>
              <w:t xml:space="preserve"> </w:t>
            </w:r>
            <w:r w:rsidRPr="00031A85">
              <w:t>866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71</w:t>
            </w:r>
            <w:r>
              <w:t xml:space="preserve"> </w:t>
            </w:r>
            <w:r w:rsidRPr="00031A85">
              <w:t>731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7</w:t>
            </w:r>
            <w:r>
              <w:t xml:space="preserve"> </w:t>
            </w:r>
            <w:r w:rsidRPr="00031A85">
              <w:t>657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64</w:t>
            </w:r>
            <w:r>
              <w:t xml:space="preserve"> </w:t>
            </w:r>
            <w:r w:rsidRPr="00031A85">
              <w:t>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174</w:t>
            </w:r>
            <w:r>
              <w:t xml:space="preserve"> </w:t>
            </w:r>
            <w:r w:rsidRPr="00031A85">
              <w:t>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rsidRPr="00031A85">
              <w:t>1</w:t>
            </w:r>
            <w:r>
              <w:t>a: Compétitivité pour la croissance et l’emploi</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34</w:t>
            </w:r>
            <w:r>
              <w:t xml:space="preserve"> </w:t>
            </w:r>
            <w:r w:rsidRPr="00031A85">
              <w:t>455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701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r w:rsidRPr="00031A85">
              <w:t>11</w:t>
            </w:r>
            <w:r>
              <w:t xml:space="preserve"> </w:t>
            </w:r>
            <w:r w:rsidRPr="00031A85">
              <w:t>730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22</w:t>
            </w:r>
            <w:r>
              <w:t xml:space="preserve"> </w:t>
            </w:r>
            <w:r w:rsidRPr="00031A85">
              <w:t>024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20</w:t>
            </w:r>
            <w:r>
              <w:t xml:space="preserve"> </w:t>
            </w:r>
            <w:r w:rsidRPr="00031A85">
              <w:t>332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r w:rsidRPr="00031A85">
              <w:t>6</w:t>
            </w:r>
            <w:r>
              <w:t xml:space="preserve"> </w:t>
            </w:r>
            <w:r w:rsidRPr="00031A85">
              <w:t>731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13</w:t>
            </w:r>
            <w:r>
              <w:t xml:space="preserve"> </w:t>
            </w:r>
            <w:r w:rsidRPr="00031A85">
              <w:t>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35</w:t>
            </w:r>
            <w:r>
              <w:t xml:space="preserve"> </w:t>
            </w:r>
            <w:r w:rsidRPr="00031A85">
              <w:t>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rsidRPr="00031A85">
              <w:t>1</w:t>
            </w:r>
            <w:r>
              <w:t>b: Cohésion économique, sociale et territoriale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126</w:t>
            </w:r>
            <w:r>
              <w:t xml:space="preserve"> </w:t>
            </w:r>
            <w:r w:rsidRPr="00031A85">
              <w:t>372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652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r w:rsidRPr="00031A85">
              <w:t>36</w:t>
            </w:r>
            <w:r>
              <w:t xml:space="preserve"> </w:t>
            </w:r>
            <w:r w:rsidRPr="00031A85">
              <w:t>877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88</w:t>
            </w:r>
            <w:r>
              <w:t xml:space="preserve"> </w:t>
            </w:r>
            <w:r w:rsidRPr="00031A85">
              <w:t>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51</w:t>
            </w:r>
            <w:r>
              <w:t xml:space="preserve"> </w:t>
            </w:r>
            <w:r w:rsidRPr="00031A85">
              <w:t>400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927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50</w:t>
            </w:r>
            <w:r>
              <w:t xml:space="preserve"> </w:t>
            </w:r>
            <w:r w:rsidRPr="00031A85">
              <w:t>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139</w:t>
            </w:r>
            <w:r>
              <w:t xml:space="preserve"> </w:t>
            </w:r>
            <w:r w:rsidRPr="00031A85">
              <w:t>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Croissance durable: ressources naturelles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28</w:t>
            </w:r>
            <w:r>
              <w:t xml:space="preserve"> </w:t>
            </w:r>
            <w:r w:rsidRPr="00031A85">
              <w:t>191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378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12</w:t>
            </w:r>
            <w:r>
              <w:t xml:space="preserve"> </w:t>
            </w:r>
            <w:r w:rsidRPr="00031A85">
              <w:t>605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14</w:t>
            </w:r>
            <w:r>
              <w:t xml:space="preserve"> </w:t>
            </w:r>
            <w:r w:rsidRPr="00031A85">
              <w:t>207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64</w:t>
            </w:r>
            <w:r>
              <w:t xml:space="preserve"> </w:t>
            </w:r>
            <w:r w:rsidRPr="00031A85">
              <w:t>547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44</w:t>
            </w:r>
            <w:r>
              <w:t xml:space="preserve"> </w:t>
            </w:r>
            <w:r w:rsidRPr="00031A85">
              <w:t>806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19</w:t>
            </w:r>
            <w:r>
              <w:t xml:space="preserve"> </w:t>
            </w:r>
            <w:r w:rsidRPr="00031A85">
              <w:t>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33</w:t>
            </w:r>
            <w:r>
              <w:t xml:space="preserve"> </w:t>
            </w:r>
            <w:r w:rsidRPr="00031A85">
              <w:t>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dont: dépenses relatives au marché et paiements directs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24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22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44</w:t>
            </w:r>
            <w:r>
              <w:t xml:space="preserve"> </w:t>
            </w:r>
            <w:r w:rsidRPr="00031A85">
              <w:t>285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r w:rsidRPr="00031A85">
              <w:t>44</w:t>
            </w:r>
            <w:r>
              <w:t xml:space="preserve"> </w:t>
            </w:r>
            <w:r w:rsidRPr="00031A85">
              <w:t>060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Sécurité et citoyenneté</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396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336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681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L'Europe dans le monde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24</w:t>
            </w:r>
            <w:r>
              <w:t xml:space="preserve"> </w:t>
            </w:r>
            <w:r w:rsidRPr="00031A85">
              <w:t>673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7</w:t>
            </w:r>
            <w:r>
              <w:t xml:space="preserve"> </w:t>
            </w:r>
            <w:r w:rsidRPr="00031A85">
              <w:t>182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16</w:t>
            </w:r>
            <w:r>
              <w:t xml:space="preserve"> </w:t>
            </w:r>
            <w:r w:rsidRPr="00031A85">
              <w:t>792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w:t>
            </w:r>
            <w:r>
              <w:t xml:space="preserve"> </w:t>
            </w:r>
            <w:r w:rsidRPr="00031A85">
              <w:t>278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3</w:t>
            </w:r>
            <w:r>
              <w:t xml:space="preserve"> </w:t>
            </w:r>
            <w:r w:rsidRPr="00031A85">
              <w:t>095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8</w:t>
            </w:r>
            <w:r>
              <w:t xml:space="preserve"> </w:t>
            </w:r>
            <w:r w:rsidRPr="00031A85">
              <w:t>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24</w:t>
            </w:r>
            <w:r>
              <w:t xml:space="preserve"> </w:t>
            </w:r>
            <w:r w:rsidRPr="00031A85">
              <w:t>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w:t>
            </w:r>
            <w:r>
              <w:t xml:space="preserve"> </w:t>
            </w:r>
            <w:r w:rsidRPr="00031A85">
              <w:t>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8</w:t>
            </w:r>
            <w:r>
              <w:t xml:space="preserve"> </w:t>
            </w:r>
            <w:r w:rsidRPr="00031A85">
              <w:t>634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dont: dépenses administratives des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143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420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3</w:t>
            </w:r>
            <w:r>
              <w:t xml:space="preserve"> </w:t>
            </w:r>
            <w:r w:rsidRPr="00031A85">
              <w:t>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r w:rsidRPr="00031A85">
              <w:t>3</w:t>
            </w:r>
            <w:r>
              <w:t xml:space="preserve"> </w:t>
            </w:r>
            <w:r w:rsidRPr="00031A85">
              <w:t>555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w:t>
            </w:r>
            <w:r w:rsidRPr="00031A85">
              <w:t>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Compensations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 xml:space="preserve">Réserve négative et déficit reporté de l’exercice précédent </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Instruments spéciaux</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217</w:t>
            </w:r>
            <w:r>
              <w:t xml:space="preserve"> </w:t>
            </w:r>
            <w:r w:rsidRPr="00031A85">
              <w:t>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3</w:t>
            </w:r>
            <w:r>
              <w:t xml:space="preserve"> </w:t>
            </w:r>
            <w:r w:rsidRPr="00031A85">
              <w:t>825</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70</w:t>
            </w:r>
            <w:r>
              <w:t xml:space="preserve"> </w:t>
            </w:r>
            <w:r w:rsidRPr="00031A85">
              <w:t>482</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143</w:t>
            </w:r>
            <w:r>
              <w:t xml:space="preserve"> </w:t>
            </w:r>
            <w:r w:rsidRPr="00031A85">
              <w:t>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161</w:t>
            </w:r>
            <w:r>
              <w:t xml:space="preserve"> </w:t>
            </w:r>
            <w:r w:rsidRPr="00031A85">
              <w:t>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65</w:t>
            </w:r>
            <w:r>
              <w:t xml:space="preserve"> </w:t>
            </w:r>
            <w:r w:rsidRPr="00031A85">
              <w:t>935</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3</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95</w:t>
            </w:r>
            <w:r>
              <w:t xml:space="preserve"> </w:t>
            </w:r>
            <w:r w:rsidRPr="00031A85">
              <w:t>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238</w:t>
            </w:r>
            <w:r>
              <w:t xml:space="preserve"> </w:t>
            </w:r>
            <w:r w:rsidRPr="00031A85">
              <w:t>759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553"/>
          <w:headerReference w:type="default" r:id="rId554"/>
          <w:footerReference w:type="even" r:id="rId555"/>
          <w:footerReference w:type="default" r:id="rId556"/>
          <w:headerReference w:type="first" r:id="rId557"/>
          <w:footerReference w:type="first" r:id="rId558"/>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73" w:name="_Toc485391792"/>
      <w:bookmarkStart w:id="674" w:name="_Toc491681458"/>
      <w:r>
        <w:t>CFP: ENGAGEMENTS RESTANT À LIQUIDER PAR ANNÉE D’ORIGINE</w:t>
      </w:r>
      <w:bookmarkEnd w:id="673"/>
      <w:bookmarkEnd w:id="674"/>
    </w:p>
    <w:p w:rsidR="00FB0C75" w:rsidRPr="008C13D4" w:rsidRDefault="00FB0C75" w:rsidP="00FB0C75">
      <w:pPr>
        <w:spacing w:before="12"/>
        <w:rPr>
          <w:rFonts w:ascii="Verdana" w:eastAsia="Verdana" w:hAnsi="Verdana" w:cs="Verdana"/>
          <w:b/>
          <w:bCs/>
          <w:sz w:val="11"/>
          <w:szCs w:val="11"/>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25"/>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25"/>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25"/>
              </w:rPr>
            </w:pPr>
            <w:r>
              <w:rPr>
                <w:b w:val="0"/>
              </w:rPr>
              <w:t>Rubrique du CFP</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 xml:space="preserve">&lt; </w:t>
            </w:r>
            <w:r w:rsidRPr="00031A85">
              <w:rPr>
                <w:b w:val="0"/>
              </w:rPr>
              <w:t>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sidRPr="00031A85">
              <w:rPr>
                <w:b w:val="0"/>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Total</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Croissance intelligente et inclusive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w:t>
            </w:r>
            <w:r>
              <w:t xml:space="preserve"> </w:t>
            </w:r>
            <w:r w:rsidRPr="00031A85">
              <w:t>741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738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w:t>
            </w:r>
            <w:r>
              <w:t xml:space="preserve"> </w:t>
            </w:r>
            <w:r w:rsidRPr="00031A85">
              <w:t>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3</w:t>
            </w:r>
            <w:r>
              <w:t xml:space="preserve"> </w:t>
            </w:r>
            <w:r w:rsidRPr="00031A85">
              <w:t>461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23</w:t>
            </w:r>
            <w:r>
              <w:t xml:space="preserve"> </w:t>
            </w:r>
            <w:r w:rsidRPr="00031A85">
              <w:t>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16</w:t>
            </w:r>
            <w:r>
              <w:t xml:space="preserve"> </w:t>
            </w:r>
            <w:r w:rsidRPr="00031A85">
              <w:t>371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64</w:t>
            </w:r>
            <w:r>
              <w:t xml:space="preserve"> </w:t>
            </w:r>
            <w:r w:rsidRPr="00031A85">
              <w:t>326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64</w:t>
            </w:r>
            <w:r>
              <w:t xml:space="preserve"> </w:t>
            </w:r>
            <w:r w:rsidRPr="00031A85">
              <w:t>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174</w:t>
            </w:r>
            <w:r>
              <w:t xml:space="preserve"> </w:t>
            </w:r>
            <w:r w:rsidRPr="00031A85">
              <w:t>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rPr>
            </w:pPr>
            <w:r w:rsidRPr="00031A85">
              <w:t>1</w:t>
            </w:r>
            <w:r>
              <w:t>a: Compétitivité pour la croissance et l’emploi</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w:t>
            </w:r>
            <w:r w:rsidRPr="00031A85">
              <w:t>563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w:t>
            </w:r>
            <w:r w:rsidRPr="00031A85">
              <w:t>733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w:t>
            </w:r>
            <w:r w:rsidRPr="00031A85">
              <w:t>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2</w:t>
            </w:r>
            <w:r>
              <w:t xml:space="preserve"> </w:t>
            </w:r>
            <w:r w:rsidRPr="00031A85">
              <w:t>223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4</w:t>
            </w:r>
            <w:r>
              <w:t xml:space="preserve"> </w:t>
            </w:r>
            <w:r w:rsidRPr="00031A85">
              <w:t>481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5</w:t>
            </w:r>
            <w:r>
              <w:t xml:space="preserve"> </w:t>
            </w:r>
            <w:r w:rsidRPr="00031A85">
              <w:t>972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7</w:t>
            </w:r>
            <w:r>
              <w:t xml:space="preserve"> </w:t>
            </w:r>
            <w:r w:rsidRPr="00031A85">
              <w:t>194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13</w:t>
            </w:r>
            <w:r>
              <w:t xml:space="preserve"> </w:t>
            </w:r>
            <w:r w:rsidRPr="00031A85">
              <w:t>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35</w:t>
            </w:r>
            <w:r>
              <w:t xml:space="preserve"> </w:t>
            </w:r>
            <w:r w:rsidRPr="00031A85">
              <w:t>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rPr>
            </w:pPr>
            <w:r w:rsidRPr="00031A85">
              <w:t>1</w:t>
            </w:r>
            <w:r>
              <w:t>b: Cohésion économique, sociale et territoriale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w:t>
            </w:r>
            <w:r>
              <w:t xml:space="preserve"> </w:t>
            </w:r>
            <w:r w:rsidRPr="00031A85">
              <w:t>178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w:t>
            </w:r>
            <w:r w:rsidRPr="00031A85">
              <w:t>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w:t>
            </w:r>
            <w:r w:rsidRPr="00031A85">
              <w:t>264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w:t>
            </w:r>
            <w:r>
              <w:t xml:space="preserve"> </w:t>
            </w:r>
            <w:r w:rsidRPr="00031A85">
              <w:t>237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18</w:t>
            </w:r>
            <w:r>
              <w:t xml:space="preserve"> </w:t>
            </w:r>
            <w:r w:rsidRPr="00031A85">
              <w:t>627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10</w:t>
            </w:r>
            <w:r>
              <w:t xml:space="preserve"> </w:t>
            </w:r>
            <w:r w:rsidRPr="00031A85">
              <w:t>399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57</w:t>
            </w:r>
            <w:r>
              <w:t xml:space="preserve"> </w:t>
            </w:r>
            <w:r w:rsidRPr="00031A85">
              <w:t>132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50</w:t>
            </w:r>
            <w:r>
              <w:t xml:space="preserve"> </w:t>
            </w:r>
            <w:r w:rsidRPr="00031A85">
              <w:t>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rsidRPr="00031A85">
              <w:t>139</w:t>
            </w:r>
            <w:r>
              <w:t xml:space="preserve"> </w:t>
            </w:r>
            <w:r w:rsidRPr="00031A85">
              <w:t>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Croissance durable: ressources naturelles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200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w:t>
            </w:r>
            <w:r>
              <w:t xml:space="preserve"> </w:t>
            </w:r>
            <w:r w:rsidRPr="00031A85">
              <w:t>234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w:t>
            </w:r>
            <w:r>
              <w:t xml:space="preserve"> </w:t>
            </w:r>
            <w:r w:rsidRPr="00031A85">
              <w:t>220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11</w:t>
            </w:r>
            <w:r>
              <w:t xml:space="preserve"> </w:t>
            </w:r>
            <w:r w:rsidRPr="00031A85">
              <w:t>285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19</w:t>
            </w:r>
            <w:r>
              <w:t xml:space="preserve"> </w:t>
            </w:r>
            <w:r w:rsidRPr="00031A85">
              <w:t>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33</w:t>
            </w:r>
            <w:r>
              <w:t xml:space="preserve"> </w:t>
            </w:r>
            <w:r w:rsidRPr="00031A85">
              <w:t>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rPr>
            </w:pPr>
            <w:r>
              <w:rPr>
                <w:i/>
              </w:rPr>
              <w:t>dont: dépenses relatives au marché et paiements directs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Sécurité et citoyenneté</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149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287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154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772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2</w:t>
            </w:r>
            <w:r>
              <w:t xml:space="preserve"> </w:t>
            </w:r>
            <w:r w:rsidRPr="00031A85">
              <w:t>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4</w:t>
            </w:r>
            <w:r>
              <w:t xml:space="preserve"> </w:t>
            </w:r>
            <w:r w:rsidRPr="00031A85">
              <w:t>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L'Europe dans le monde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899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539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1</w:t>
            </w:r>
            <w:r>
              <w:t xml:space="preserve"> </w:t>
            </w:r>
            <w:r w:rsidRPr="00031A85">
              <w:t>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3</w:t>
            </w:r>
            <w:r>
              <w:t xml:space="preserve"> </w:t>
            </w:r>
            <w:r w:rsidRPr="00031A85">
              <w:t>291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3</w:t>
            </w:r>
            <w:r>
              <w:t xml:space="preserve"> </w:t>
            </w:r>
            <w:r w:rsidRPr="00031A85">
              <w:t>784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5</w:t>
            </w:r>
            <w:r>
              <w:t xml:space="preserve"> </w:t>
            </w:r>
            <w:r w:rsidRPr="00031A85">
              <w:t>686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8</w:t>
            </w:r>
            <w:r>
              <w:t xml:space="preserve"> </w:t>
            </w:r>
            <w:r w:rsidRPr="00031A85">
              <w:t>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rsidRPr="00031A85">
              <w:t>24</w:t>
            </w:r>
            <w:r>
              <w:t xml:space="preserve"> </w:t>
            </w:r>
            <w:r w:rsidRPr="00031A85">
              <w:t>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731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rPr>
            </w:pPr>
            <w:r>
              <w:rPr>
                <w:i/>
              </w:rPr>
              <w:t>dont: dépenses administratives des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sidRPr="00031A85">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w:t>
            </w:r>
            <w:r w:rsidRPr="00031A85">
              <w:rPr>
                <w:i/>
              </w:rPr>
              <w:t>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rsidRPr="00031A85">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Instruments spéciaux</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w:t>
            </w:r>
            <w:r w:rsidRPr="00031A85">
              <w:t>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25"/>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2</w:t>
            </w:r>
            <w:r>
              <w:t xml:space="preserve"> </w:t>
            </w:r>
            <w:r w:rsidRPr="00031A85">
              <w:t>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1</w:t>
            </w:r>
            <w:r>
              <w:t xml:space="preserve"> </w:t>
            </w:r>
            <w:r w:rsidRPr="00031A85">
              <w:t>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2</w:t>
            </w:r>
            <w:r>
              <w:t xml:space="preserve"> </w:t>
            </w:r>
            <w:r w:rsidRPr="00031A85">
              <w:t>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5</w:t>
            </w:r>
            <w:r>
              <w:t xml:space="preserve"> </w:t>
            </w:r>
            <w:r w:rsidRPr="00031A85">
              <w:t>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27</w:t>
            </w:r>
            <w:r>
              <w:t xml:space="preserve"> </w:t>
            </w:r>
            <w:r w:rsidRPr="00031A85">
              <w:t>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21</w:t>
            </w:r>
            <w:r>
              <w:t xml:space="preserve"> </w:t>
            </w:r>
            <w:r w:rsidRPr="00031A85">
              <w:t>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82</w:t>
            </w:r>
            <w:r>
              <w:t xml:space="preserve"> </w:t>
            </w:r>
            <w:r w:rsidRPr="00031A85">
              <w:t>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95</w:t>
            </w:r>
            <w:r>
              <w:t xml:space="preserve"> </w:t>
            </w:r>
            <w:r w:rsidRPr="00031A85">
              <w:t>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rsidRPr="00031A85">
              <w:t>238</w:t>
            </w:r>
            <w:r>
              <w:t xml:space="preserve"> </w:t>
            </w:r>
            <w:r w:rsidRPr="00031A85">
              <w:t>759</w:t>
            </w:r>
          </w:p>
        </w:tc>
      </w:tr>
    </w:tbl>
    <w:p w:rsidR="00FB0C75" w:rsidRPr="008C13D4" w:rsidRDefault="00FB0C75" w:rsidP="00FB0C75">
      <w:pPr>
        <w:rPr>
          <w:rFonts w:ascii="Verdana" w:eastAsia="Verdana" w:hAnsi="Verdana" w:cs="Verdana"/>
          <w:sz w:val="25"/>
          <w:szCs w:val="25"/>
        </w:rPr>
        <w:sectPr w:rsidR="00FB0C75" w:rsidRPr="008C13D4" w:rsidSect="00FB0C75">
          <w:headerReference w:type="even" r:id="rId559"/>
          <w:headerReference w:type="default" r:id="rId560"/>
          <w:footerReference w:type="even" r:id="rId561"/>
          <w:footerReference w:type="default" r:id="rId562"/>
          <w:headerReference w:type="first" r:id="rId563"/>
          <w:footerReference w:type="first" r:id="rId564"/>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tabs>
          <w:tab w:val="clear" w:pos="907"/>
          <w:tab w:val="left" w:pos="0"/>
        </w:tabs>
        <w:spacing w:after="0"/>
        <w:ind w:left="0" w:firstLine="0"/>
      </w:pPr>
      <w:bookmarkStart w:id="675" w:name="_Toc485391793"/>
      <w:bookmarkStart w:id="676" w:name="_Toc491681459"/>
      <w:r>
        <w:t>DOMAINE POLITIQUE: VENTILATION ET ÉVOLUTION DES CRÉDITS D’ENGAGEMENT ET DE PAIEMENT</w:t>
      </w:r>
      <w:bookmarkEnd w:id="675"/>
      <w:bookmarkEnd w:id="67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rPr>
          <w:tblHeader/>
        </w:trPr>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Left"/>
              <w:rPr>
                <w:rFonts w:eastAsia="Verdana" w:cs="Verdana"/>
                <w:color w:val="FFFFFF"/>
                <w:szCs w:val="14"/>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en Mio EUR</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BoldCentered"/>
              <w:rPr>
                <w:rFonts w:eastAsia="Verdana" w:cs="Verdana"/>
                <w:b w:val="0"/>
                <w:szCs w:val="14"/>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rPr>
            </w:pPr>
            <w:r>
              <w:rPr>
                <w:b w:val="0"/>
              </w:rPr>
              <w:t>Crédits d’engagement</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rPr>
            </w:pPr>
            <w:r>
              <w:rPr>
                <w:b w:val="0"/>
              </w:rPr>
              <w:t>Crédits de paiement</w:t>
            </w:r>
          </w:p>
        </w:tc>
      </w:tr>
      <w:tr w:rsidR="005B4EEC" w:rsidTr="00CE15E6">
        <w:trPr>
          <w:tblHeader/>
        </w:trPr>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szCs w:val="14"/>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6pBoldCentered"/>
              <w:rPr>
                <w:rFonts w:eastAsia="Verdana" w:cs="Verdana"/>
                <w:b w:val="0"/>
                <w:szCs w:val="14"/>
              </w:rPr>
            </w:pP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budgétaires</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supplémentaires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Total des crédits</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budgétaires</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supplémentaires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Total des crédits</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BoldCentered"/>
              <w:rPr>
                <w:rFonts w:eastAsia="Verdana" w:cs="Verdana"/>
                <w:b w:val="0"/>
                <w:szCs w:val="14"/>
              </w:rPr>
            </w:pPr>
          </w:p>
          <w:p w:rsidR="00FB0C75" w:rsidRPr="008C13D4" w:rsidRDefault="00525E53" w:rsidP="00FB0C75">
            <w:pPr>
              <w:pStyle w:val="Heading7pBoldCentered"/>
              <w:rPr>
                <w:rFonts w:eastAsia="Verdana" w:cs="Verdana"/>
                <w:b w:val="0"/>
                <w:szCs w:val="14"/>
              </w:rPr>
            </w:pPr>
            <w:r>
              <w:rPr>
                <w:b w:val="0"/>
              </w:rPr>
              <w:t>Domaine politique</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 initial adopté</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Budgets rectificatifs et virements</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 définitif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reportés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Recettes affectées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disponibles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 initial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Budgets rectificatifs et virements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Budget définitif adopté</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Crédits reportés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Recettes affectées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disponibles</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NormalCentered"/>
              <w:rPr>
                <w:rFonts w:eastAsia="Verdana" w:cs="Verdana"/>
                <w:szCs w:val="14"/>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3</w:t>
            </w:r>
            <w:r>
              <w:rPr>
                <w:b w:val="0"/>
              </w:rPr>
              <w:t>=</w:t>
            </w:r>
            <w:r w:rsidRPr="00031A85">
              <w:rPr>
                <w:b w:val="0"/>
              </w:rPr>
              <w:t>1</w:t>
            </w:r>
            <w:r>
              <w:rPr>
                <w:b w:val="0"/>
              </w:rPr>
              <w:t>+</w:t>
            </w:r>
            <w:r w:rsidRPr="00031A85">
              <w:rPr>
                <w:b w:val="0"/>
              </w:rPr>
              <w:t>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6</w:t>
            </w:r>
            <w:r>
              <w:rPr>
                <w:b w:val="0"/>
              </w:rPr>
              <w:t>=</w:t>
            </w:r>
            <w:r w:rsidRPr="00031A85">
              <w:rPr>
                <w:b w:val="0"/>
              </w:rPr>
              <w:t>3</w:t>
            </w:r>
            <w:r>
              <w:rPr>
                <w:b w:val="0"/>
              </w:rPr>
              <w:t>+</w:t>
            </w:r>
            <w:r w:rsidRPr="00031A85">
              <w:rPr>
                <w:b w:val="0"/>
              </w:rPr>
              <w:t>4</w:t>
            </w:r>
            <w:r>
              <w:rPr>
                <w:b w:val="0"/>
              </w:rPr>
              <w:t>+</w:t>
            </w:r>
            <w:r w:rsidRPr="00031A85">
              <w:rPr>
                <w:b w:val="0"/>
              </w:rPr>
              <w:t>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9</w:t>
            </w:r>
            <w:r>
              <w:rPr>
                <w:b w:val="0"/>
              </w:rPr>
              <w:t>=</w:t>
            </w:r>
            <w:r w:rsidRPr="00031A85">
              <w:rPr>
                <w:b w:val="0"/>
              </w:rPr>
              <w:t>7</w:t>
            </w:r>
            <w:r>
              <w:rPr>
                <w:b w:val="0"/>
              </w:rPr>
              <w:t>+</w:t>
            </w:r>
            <w:r w:rsidRPr="00031A85">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sidRPr="00031A85">
              <w:rPr>
                <w:b w:val="0"/>
              </w:rPr>
              <w:t>12</w:t>
            </w:r>
            <w:r>
              <w:rPr>
                <w:b w:val="0"/>
              </w:rPr>
              <w:t>=</w:t>
            </w:r>
            <w:r w:rsidRPr="00031A85">
              <w:rPr>
                <w:b w:val="0"/>
              </w:rPr>
              <w:t>9</w:t>
            </w:r>
            <w:r>
              <w:rPr>
                <w:b w:val="0"/>
              </w:rPr>
              <w:t>+</w:t>
            </w:r>
            <w:r w:rsidRPr="00031A85">
              <w:rPr>
                <w:b w:val="0"/>
              </w:rPr>
              <w:t>10</w:t>
            </w:r>
            <w:r>
              <w:rPr>
                <w:b w:val="0"/>
              </w:rPr>
              <w:t>+</w:t>
            </w:r>
            <w:r w:rsidRPr="00031A85">
              <w:rPr>
                <w:b w:val="0"/>
              </w:rPr>
              <w:t>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économiques et financières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660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Marché intérieur, industrie, entrepreneuriat et PME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286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894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36</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243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Concurrence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Emploi, affaires sociales et inclusion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924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456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818</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w:t>
            </w:r>
            <w:r>
              <w:t xml:space="preserve"> </w:t>
            </w:r>
            <w:r w:rsidRPr="00031A85">
              <w:t>213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w:t>
            </w:r>
            <w:r>
              <w:t xml:space="preserve"> </w:t>
            </w:r>
            <w:r w:rsidRPr="00031A85">
              <w:t>802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Agriculture et développement rural</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61</w:t>
            </w:r>
            <w:r>
              <w:t xml:space="preserve"> </w:t>
            </w:r>
            <w:r w:rsidRPr="00031A85">
              <w:t>382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61</w:t>
            </w:r>
            <w:r>
              <w:t xml:space="preserve"> </w:t>
            </w:r>
            <w:r w:rsidRPr="00031A85">
              <w:t>379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070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65</w:t>
            </w:r>
            <w:r>
              <w:t xml:space="preserve"> </w:t>
            </w:r>
            <w:r w:rsidRPr="00031A85">
              <w:t>858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54</w:t>
            </w:r>
            <w:r>
              <w:t xml:space="preserve"> </w:t>
            </w:r>
            <w:r w:rsidRPr="00031A85">
              <w:t>625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54</w:t>
            </w:r>
            <w:r>
              <w:t xml:space="preserve"> </w:t>
            </w:r>
            <w:r w:rsidRPr="00031A85">
              <w:t>791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818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59</w:t>
            </w:r>
            <w:r>
              <w:t xml:space="preserve"> </w:t>
            </w:r>
            <w:r w:rsidRPr="00031A85">
              <w:t>039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Mobilité et transports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Environnement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448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et innovation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855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848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745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393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391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811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Réseaux de communication, contenu et technologies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373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627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directe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905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maritimes et pêche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Stabilité financière, services financiers et union des marchés des capitaux</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Politique régionale et urbaine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35</w:t>
            </w:r>
            <w:r>
              <w:t xml:space="preserve"> </w:t>
            </w:r>
            <w:r w:rsidRPr="00031A85">
              <w:t>989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235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386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5</w:t>
            </w:r>
            <w:r>
              <w:t xml:space="preserve"> </w:t>
            </w:r>
            <w:r w:rsidRPr="00031A85">
              <w:t>365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31</w:t>
            </w:r>
            <w:r>
              <w:t xml:space="preserve"> </w:t>
            </w:r>
            <w:r w:rsidRPr="00031A85">
              <w:t>021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31</w:t>
            </w:r>
            <w:r>
              <w:t xml:space="preserve"> </w:t>
            </w:r>
            <w:r w:rsidRPr="00031A85">
              <w:t>108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Fiscalité et union douanière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Éducation et culture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055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631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699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Communication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Santé et sécurité alimentaire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586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Migration et affaires intérieures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225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475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487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Instruments de politique étrangère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119</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50</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Commerce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Coopération internationale et développement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162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163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Voisinage et négociations d’élargissement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835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981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978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264</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Aide humanitaire et protection civile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202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258</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253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933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739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277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Lutte contre la fraude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Coordination des politiques de la Commission et conseil juridique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Administration de la Commission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323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Budget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Audit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Statistiques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Pensions et dépenses connexes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647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647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Services linguistiques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Énergie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532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122</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524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716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Justice et consommateurs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245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Action pour le climat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40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Réserves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475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238</w:t>
            </w: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309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288</w:t>
            </w: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90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Autres institutions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683</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Total</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155</w:t>
            </w:r>
            <w:r>
              <w:t xml:space="preserve"> </w:t>
            </w:r>
            <w:r w:rsidRPr="00031A85">
              <w:t>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155</w:t>
            </w:r>
            <w:r>
              <w:t xml:space="preserve"> </w:t>
            </w:r>
            <w:r w:rsidRPr="00031A85">
              <w:t>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10</w:t>
            </w:r>
            <w:r>
              <w:t xml:space="preserve"> </w:t>
            </w:r>
            <w:r w:rsidRPr="00031A85">
              <w:t>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166</w:t>
            </w:r>
            <w:r>
              <w:t xml:space="preserve"> </w:t>
            </w:r>
            <w:r w:rsidRPr="00031A85">
              <w:t>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143</w:t>
            </w:r>
            <w:r>
              <w:t xml:space="preserve"> </w:t>
            </w:r>
            <w:r w:rsidRPr="00031A85">
              <w:t>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7</w:t>
            </w:r>
            <w:r>
              <w:t xml:space="preserve"> </w:t>
            </w:r>
            <w:r w:rsidRPr="00031A85">
              <w:t>243</w:t>
            </w:r>
            <w:r>
              <w:t>)</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136</w:t>
            </w:r>
            <w:r>
              <w:t xml:space="preserve"> </w:t>
            </w:r>
            <w:r w:rsidRPr="00031A85">
              <w:t>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w:t>
            </w:r>
            <w:r>
              <w:t xml:space="preserve"> </w:t>
            </w:r>
            <w:r w:rsidRPr="00031A85">
              <w:t>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10</w:t>
            </w:r>
            <w:r>
              <w:t xml:space="preserve"> </w:t>
            </w:r>
            <w:r w:rsidRPr="00031A85">
              <w:t>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148</w:t>
            </w:r>
            <w:r>
              <w:t xml:space="preserve"> </w:t>
            </w:r>
            <w:r w:rsidRPr="00031A85">
              <w:t>069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565"/>
          <w:headerReference w:type="default" r:id="rId566"/>
          <w:footerReference w:type="even" r:id="rId567"/>
          <w:footerReference w:type="default" r:id="rId568"/>
          <w:headerReference w:type="first" r:id="rId569"/>
          <w:footerReference w:type="first" r:id="rId570"/>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907" w:hanging="907"/>
      </w:pPr>
      <w:bookmarkStart w:id="677" w:name="_Toc485391794"/>
      <w:bookmarkStart w:id="678" w:name="_Toc491681460"/>
      <w:r>
        <w:t>DOMAINE POLITIQUE: EXÉCUTION DES CRÉDITS D’ENGAGEMENT</w:t>
      </w:r>
      <w:bookmarkEnd w:id="677"/>
      <w:bookmarkEnd w:id="678"/>
    </w:p>
    <w:p w:rsidR="00FB0C75" w:rsidRPr="008C13D4" w:rsidRDefault="00FB0C75" w:rsidP="00FB0C75">
      <w:pPr>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16"/>
        <w:gridCol w:w="904"/>
        <w:gridCol w:w="851"/>
        <w:gridCol w:w="848"/>
        <w:gridCol w:w="854"/>
        <w:gridCol w:w="851"/>
        <w:gridCol w:w="851"/>
        <w:gridCol w:w="851"/>
        <w:gridCol w:w="851"/>
        <w:gridCol w:w="851"/>
        <w:gridCol w:w="854"/>
        <w:gridCol w:w="851"/>
        <w:gridCol w:w="851"/>
        <w:gridCol w:w="842"/>
      </w:tblGrid>
      <w:tr w:rsidR="005B4EEC" w:rsidTr="006A213A">
        <w:trPr>
          <w:tblHeader/>
        </w:trPr>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szCs w:val="14"/>
              </w:rPr>
            </w:pP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en Mio EUR</w:t>
            </w:r>
          </w:p>
        </w:tc>
      </w:tr>
      <w:tr w:rsidR="005B4EEC" w:rsidTr="006A213A">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NormalCentered"/>
              <w:rPr>
                <w:rFonts w:eastAsia="Verdana" w:cs="Verdana"/>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color w:val="auto"/>
                <w:szCs w:val="14"/>
              </w:rPr>
            </w:pPr>
          </w:p>
        </w:tc>
        <w:tc>
          <w:tcPr>
            <w:tcW w:w="904"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b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Engagements contractés</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 xml:space="preserve">Crédits reportés à </w:t>
            </w:r>
            <w:r w:rsidRPr="00031A85">
              <w:rPr>
                <w:b w:val="0"/>
              </w:rPr>
              <w:t>2017</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Annulations</w:t>
            </w:r>
          </w:p>
        </w:tc>
      </w:tr>
      <w:tr w:rsidR="005B4EEC" w:rsidTr="006A213A">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Domaine politique</w:t>
            </w:r>
          </w:p>
        </w:tc>
        <w:tc>
          <w:tcPr>
            <w:tcW w:w="904"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 des crédits disponibles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budget définitif adopté</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crédits reportés</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recettes affectées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Recettes affectées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Reports par décision</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budget définitif adopté</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crédits reportés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sur recettes affectées</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w:t>
            </w:r>
          </w:p>
        </w:tc>
      </w:tr>
      <w:tr w:rsidR="005B4EEC" w:rsidTr="006A213A">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91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904"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5</w:t>
            </w:r>
            <w:r>
              <w:rPr>
                <w:b w:val="0"/>
              </w:rPr>
              <w:t>=</w:t>
            </w:r>
            <w:r w:rsidRPr="00031A85">
              <w:rPr>
                <w:b w:val="0"/>
              </w:rPr>
              <w:t>2</w:t>
            </w:r>
            <w:r>
              <w:rPr>
                <w:b w:val="0"/>
              </w:rPr>
              <w:t>+</w:t>
            </w:r>
            <w:r w:rsidRPr="00031A85">
              <w:rPr>
                <w:b w:val="0"/>
              </w:rPr>
              <w:t>3</w:t>
            </w:r>
            <w:r>
              <w:rPr>
                <w:b w:val="0"/>
              </w:rPr>
              <w:t>+</w:t>
            </w:r>
            <w:r w:rsidRPr="00031A85">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6</w:t>
            </w:r>
            <w:r>
              <w:rPr>
                <w:b w:val="0"/>
              </w:rPr>
              <w:t>=</w:t>
            </w:r>
            <w:r w:rsidRPr="00031A85">
              <w:rPr>
                <w:b w:val="0"/>
              </w:rPr>
              <w:t>5</w:t>
            </w:r>
            <w:r>
              <w:rPr>
                <w:b w:val="0"/>
              </w:rPr>
              <w:t>/</w:t>
            </w:r>
            <w:r w:rsidRPr="00031A85">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9</w:t>
            </w:r>
            <w:r>
              <w:rPr>
                <w:b w:val="0"/>
              </w:rPr>
              <w:t>=</w:t>
            </w:r>
            <w:r w:rsidRPr="00031A85">
              <w:rPr>
                <w:b w:val="0"/>
              </w:rPr>
              <w:t>7</w:t>
            </w:r>
            <w:r>
              <w:rPr>
                <w:b w:val="0"/>
              </w:rPr>
              <w:t>+</w:t>
            </w:r>
            <w:r w:rsidRPr="00031A85">
              <w:rPr>
                <w:b w:val="0"/>
              </w:rPr>
              <w:t>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13</w:t>
            </w:r>
            <w:r>
              <w:rPr>
                <w:b w:val="0"/>
              </w:rPr>
              <w:t>=</w:t>
            </w:r>
            <w:r w:rsidRPr="00031A85">
              <w:rPr>
                <w:b w:val="0"/>
              </w:rPr>
              <w:t>10</w:t>
            </w:r>
            <w:r>
              <w:rPr>
                <w:b w:val="0"/>
              </w:rPr>
              <w:t xml:space="preserve">+ </w:t>
            </w:r>
            <w:r w:rsidRPr="00031A85">
              <w:rPr>
                <w:b w:val="0"/>
              </w:rPr>
              <w:t>11</w:t>
            </w:r>
            <w:r>
              <w:rPr>
                <w:b w:val="0"/>
              </w:rPr>
              <w:t>+</w:t>
            </w:r>
            <w:r w:rsidRPr="00031A85">
              <w:rPr>
                <w:b w:val="0"/>
              </w:rPr>
              <w:t>12</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01</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économiques et financières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525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02</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Marché intérieur, industrie, entrepreneuriat et PME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288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409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03</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Concurrence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102</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98</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04</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Emploi, affaires sociales et inclusion</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456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938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367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05</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Agriculture et développement rural</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65</w:t>
            </w:r>
            <w:r>
              <w:t xml:space="preserve"> </w:t>
            </w:r>
            <w:r w:rsidRPr="00031A85">
              <w:t>858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60</w:t>
            </w:r>
            <w:r>
              <w:t xml:space="preserve"> </w:t>
            </w:r>
            <w:r w:rsidRPr="00031A85">
              <w:t>927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63</w:t>
            </w:r>
            <w:r>
              <w:t xml:space="preserve"> </w:t>
            </w:r>
            <w:r w:rsidRPr="00031A85">
              <w:t>466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927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360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06</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Mobilité et transports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346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07</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Environnement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98</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08</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et innovation</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745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848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386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09</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Réseaux de communication, contenu et technologies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029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936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10</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directe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11</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maritimes et pêche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069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12</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Stabilité financière, services financiers et union des marchés des capitaux</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13</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Politique régionale et urbaine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235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35</w:t>
            </w:r>
            <w:r>
              <w:t xml:space="preserve"> </w:t>
            </w:r>
            <w:r w:rsidRPr="00031A85">
              <w:t>968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100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14</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Fiscalité et union douanière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15</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Éducation et culture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890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249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16</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Communication</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17</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Santé et sécurité alimentaire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18</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Migration et affaires intérieures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473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98</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19</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Instruments de politique étrangère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654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94</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20</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Commerce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21</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Coopération internationale et développement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161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22</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Voisinage et négociations d’élargissement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978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979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904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23</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Aide humanitaire et protection civile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933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76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701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701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24</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Lutte contre la fraude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100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25</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Coordination des politiques de la Commission et conseil juridique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26</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Administration de la Commission</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174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94</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27</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Budget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28</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Audit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29</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Statistiques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94</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30</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Pensions et dépenses connexes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100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31</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Services linguistiques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396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95</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32</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Énergie</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506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405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96</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33</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Justice et consommateurs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34</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Action pour le climat</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100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40</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Réserves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r>
      <w:tr w:rsidR="005B4EEC" w:rsidTr="006A213A">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rsidRPr="00031A85">
              <w:t>90</w:t>
            </w:r>
          </w:p>
        </w:tc>
        <w:tc>
          <w:tcPr>
            <w:tcW w:w="391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Autres institutions</w:t>
            </w:r>
          </w:p>
        </w:tc>
        <w:tc>
          <w:tcPr>
            <w:tcW w:w="90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97</w:t>
            </w:r>
            <w: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w:t>
            </w:r>
          </w:p>
        </w:tc>
      </w:tr>
      <w:tr w:rsidR="005B4EEC" w:rsidTr="006A213A">
        <w:tc>
          <w:tcPr>
            <w:tcW w:w="4308"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Total</w:t>
            </w:r>
          </w:p>
        </w:tc>
        <w:tc>
          <w:tcPr>
            <w:tcW w:w="90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166</w:t>
            </w:r>
            <w:r>
              <w:t xml:space="preserve"> </w:t>
            </w:r>
            <w:r w:rsidRPr="00031A85">
              <w:t>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154</w:t>
            </w:r>
            <w:r>
              <w:t xml:space="preserve"> </w:t>
            </w:r>
            <w:r w:rsidRPr="00031A85">
              <w:t>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6</w:t>
            </w:r>
            <w:r>
              <w:t xml:space="preserve"> </w:t>
            </w:r>
            <w:r w:rsidRPr="00031A85">
              <w:t>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161</w:t>
            </w:r>
            <w:r>
              <w:t xml:space="preserve"> </w:t>
            </w:r>
            <w:r w:rsidRPr="00031A85">
              <w:t>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97</w:t>
            </w:r>
            <w:r>
              <w:t>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4</w:t>
            </w:r>
            <w:r>
              <w:t xml:space="preserve"> </w:t>
            </w:r>
            <w:r w:rsidRPr="00031A85">
              <w:t>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5</w:t>
            </w:r>
            <w:r>
              <w:t xml:space="preserve"> </w:t>
            </w:r>
            <w:r w:rsidRPr="00031A85">
              <w:t>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303</w:t>
            </w:r>
          </w:p>
        </w:tc>
      </w:tr>
    </w:tbl>
    <w:p w:rsidR="00FB0C75" w:rsidRPr="008C13D4" w:rsidRDefault="00FB0C75" w:rsidP="00FB0C75">
      <w:pPr>
        <w:rPr>
          <w:rFonts w:ascii="Verdana" w:eastAsia="Verdana" w:hAnsi="Verdana" w:cs="Verdana"/>
          <w:sz w:val="14"/>
          <w:szCs w:val="14"/>
        </w:rPr>
      </w:pPr>
    </w:p>
    <w:p w:rsidR="00FB0C75" w:rsidRPr="008C13D4" w:rsidRDefault="00FB0C75" w:rsidP="00FB0C75">
      <w:pPr>
        <w:jc w:val="right"/>
        <w:rPr>
          <w:rFonts w:ascii="Verdana" w:eastAsia="Verdana" w:hAnsi="Verdana" w:cs="Verdana"/>
          <w:sz w:val="14"/>
          <w:szCs w:val="14"/>
        </w:rPr>
        <w:sectPr w:rsidR="00FB0C75" w:rsidRPr="008C13D4" w:rsidSect="00FB0C75">
          <w:headerReference w:type="even" r:id="rId571"/>
          <w:headerReference w:type="default" r:id="rId572"/>
          <w:footerReference w:type="even" r:id="rId573"/>
          <w:footerReference w:type="default" r:id="rId574"/>
          <w:headerReference w:type="first" r:id="rId575"/>
          <w:footerReference w:type="first" r:id="rId576"/>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spacing w:after="0"/>
        <w:ind w:left="907" w:hanging="907"/>
      </w:pPr>
      <w:bookmarkStart w:id="679" w:name="_Toc485391795"/>
      <w:bookmarkStart w:id="680" w:name="_Toc491681461"/>
      <w:r>
        <w:t>DOMAINE POLITIQUE: EXÉCUTION DES CRÉDITS DE PAIEMENT</w:t>
      </w:r>
      <w:bookmarkEnd w:id="679"/>
      <w:bookmarkEnd w:id="680"/>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077"/>
        <w:gridCol w:w="892"/>
        <w:gridCol w:w="851"/>
        <w:gridCol w:w="851"/>
        <w:gridCol w:w="849"/>
        <w:gridCol w:w="852"/>
        <w:gridCol w:w="852"/>
        <w:gridCol w:w="852"/>
        <w:gridCol w:w="852"/>
        <w:gridCol w:w="852"/>
        <w:gridCol w:w="849"/>
        <w:gridCol w:w="864"/>
        <w:gridCol w:w="849"/>
        <w:gridCol w:w="842"/>
        <w:gridCol w:w="1080"/>
      </w:tblGrid>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noProof w:val="0"/>
                <w:szCs w:val="14"/>
              </w:rPr>
            </w:pP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noProof w:val="0"/>
                <w:szCs w:val="14"/>
              </w:rPr>
            </w:pPr>
            <w:r>
              <w:t>en Mio EUR</w:t>
            </w:r>
          </w:p>
        </w:tc>
      </w:tr>
      <w:tr w:rsidR="005B4EEC" w:rsidTr="006A213A">
        <w:trPr>
          <w:cantSplit/>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noProof w:val="0"/>
                <w:szCs w:val="14"/>
              </w:rPr>
            </w:pPr>
          </w:p>
        </w:tc>
        <w:tc>
          <w:tcPr>
            <w:tcW w:w="307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noProof w:val="0"/>
                <w:color w:val="auto"/>
                <w:szCs w:val="14"/>
              </w:rPr>
            </w:pPr>
          </w:p>
        </w:tc>
        <w:tc>
          <w:tcPr>
            <w:tcW w:w="892"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noProof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Paiements exécutés</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 xml:space="preserve">Crédits reportés à </w:t>
            </w:r>
            <w:r w:rsidRPr="00031A85">
              <w:rPr>
                <w:b w:val="0"/>
                <w:noProof w:val="0"/>
              </w:rPr>
              <w:t>2017</w:t>
            </w:r>
          </w:p>
        </w:tc>
        <w:tc>
          <w:tcPr>
            <w:tcW w:w="363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Annulations</w:t>
            </w:r>
          </w:p>
        </w:tc>
      </w:tr>
      <w:tr w:rsidR="005B4EEC" w:rsidTr="006A213A">
        <w:trPr>
          <w:cantSplit/>
        </w:trPr>
        <w:tc>
          <w:tcPr>
            <w:tcW w:w="3468"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Domaine politique</w:t>
            </w:r>
          </w:p>
        </w:tc>
        <w:tc>
          <w:tcPr>
            <w:tcW w:w="892"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Total des crédits disponibles</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budget définitif adopté</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crédits reportés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recettes affectées</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Total</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rPr>
            </w:pPr>
            <w:r>
              <w:rPr>
                <w:b w:val="0"/>
                <w:noProof w:val="0"/>
              </w:rPr>
              <w:t>Reports de droit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Reports par décision</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Recettes affectées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Total</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budget définitif adopté</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crédits reportés</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sur recettes affectées</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Total</w:t>
            </w:r>
          </w:p>
        </w:tc>
      </w:tr>
      <w:tr w:rsidR="005B4EEC" w:rsidTr="006A213A">
        <w:trPr>
          <w:cantSplit/>
        </w:trPr>
        <w:tc>
          <w:tcPr>
            <w:tcW w:w="3468"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noProof w:val="0"/>
                <w:szCs w:val="14"/>
              </w:rPr>
            </w:pPr>
          </w:p>
        </w:tc>
        <w:tc>
          <w:tcPr>
            <w:tcW w:w="892"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5</w:t>
            </w:r>
            <w:r>
              <w:rPr>
                <w:b w:val="0"/>
                <w:noProof w:val="0"/>
              </w:rPr>
              <w:t>=</w:t>
            </w:r>
            <w:r w:rsidRPr="00031A85">
              <w:rPr>
                <w:b w:val="0"/>
                <w:noProof w:val="0"/>
              </w:rPr>
              <w:t>2</w:t>
            </w:r>
            <w:r>
              <w:rPr>
                <w:b w:val="0"/>
                <w:noProof w:val="0"/>
              </w:rPr>
              <w:t>+</w:t>
            </w:r>
            <w:r w:rsidRPr="00031A85">
              <w:rPr>
                <w:b w:val="0"/>
                <w:noProof w:val="0"/>
              </w:rPr>
              <w:t>3</w:t>
            </w:r>
            <w:r>
              <w:rPr>
                <w:b w:val="0"/>
                <w:noProof w:val="0"/>
              </w:rPr>
              <w:t>+</w:t>
            </w:r>
            <w:r w:rsidRPr="00031A85">
              <w:rPr>
                <w:b w:val="0"/>
                <w:noProof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6</w:t>
            </w:r>
            <w:r>
              <w:rPr>
                <w:b w:val="0"/>
                <w:noProof w:val="0"/>
              </w:rPr>
              <w:t>=</w:t>
            </w:r>
            <w:r w:rsidRPr="00031A85">
              <w:rPr>
                <w:b w:val="0"/>
                <w:noProof w:val="0"/>
              </w:rPr>
              <w:t>5</w:t>
            </w:r>
            <w:r>
              <w:rPr>
                <w:b w:val="0"/>
                <w:noProof w:val="0"/>
              </w:rPr>
              <w:t>/</w:t>
            </w:r>
            <w:r w:rsidRPr="00031A85">
              <w:rPr>
                <w:b w:val="0"/>
                <w:noProof w:val="0"/>
              </w:rPr>
              <w:t>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rPr>
            </w:pPr>
            <w:r w:rsidRPr="00031A85">
              <w:rPr>
                <w:b w:val="0"/>
                <w:noProof w:val="0"/>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10</w:t>
            </w:r>
            <w:r>
              <w:rPr>
                <w:b w:val="0"/>
                <w:noProof w:val="0"/>
              </w:rPr>
              <w:t>=</w:t>
            </w:r>
            <w:r w:rsidRPr="00031A85">
              <w:rPr>
                <w:b w:val="0"/>
                <w:noProof w:val="0"/>
              </w:rPr>
              <w:t>7</w:t>
            </w:r>
            <w:r>
              <w:rPr>
                <w:b w:val="0"/>
                <w:noProof w:val="0"/>
              </w:rPr>
              <w:t>+</w:t>
            </w:r>
            <w:r w:rsidRPr="00031A85">
              <w:rPr>
                <w:b w:val="0"/>
                <w:noProof w:val="0"/>
              </w:rPr>
              <w:t>8</w:t>
            </w:r>
            <w:r>
              <w:rPr>
                <w:b w:val="0"/>
                <w:noProof w:val="0"/>
              </w:rPr>
              <w:t>+</w:t>
            </w:r>
            <w:r w:rsidRPr="00031A85">
              <w:rPr>
                <w:b w:val="0"/>
                <w:noProof w:val="0"/>
              </w:rPr>
              <w:t>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11</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12</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13</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sidRPr="00031A85">
              <w:rPr>
                <w:b w:val="0"/>
                <w:noProof w:val="0"/>
              </w:rPr>
              <w:t>14</w:t>
            </w:r>
            <w:r>
              <w:rPr>
                <w:b w:val="0"/>
                <w:noProof w:val="0"/>
              </w:rPr>
              <w:t>=</w:t>
            </w:r>
            <w:r w:rsidRPr="00031A85">
              <w:rPr>
                <w:b w:val="0"/>
                <w:noProof w:val="0"/>
              </w:rPr>
              <w:t>11</w:t>
            </w:r>
            <w:r>
              <w:rPr>
                <w:b w:val="0"/>
                <w:noProof w:val="0"/>
              </w:rPr>
              <w:t xml:space="preserve">+ </w:t>
            </w:r>
            <w:r w:rsidRPr="00031A85">
              <w:rPr>
                <w:b w:val="0"/>
                <w:noProof w:val="0"/>
              </w:rPr>
              <w:t>12</w:t>
            </w:r>
            <w:r>
              <w:rPr>
                <w:b w:val="0"/>
                <w:noProof w:val="0"/>
              </w:rPr>
              <w:t>+</w:t>
            </w:r>
            <w:r w:rsidRPr="00031A85">
              <w:rPr>
                <w:b w:val="0"/>
                <w:noProof w:val="0"/>
              </w:rPr>
              <w:t>13</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01</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Affaires économiques et financières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660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512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529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92</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02</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Marché intérieur, industrie, entrepreneuriat et PME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243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843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913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328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03</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Concurrence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04</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Emploi, affaires sociales et inclusion</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11</w:t>
            </w:r>
            <w:r>
              <w:t xml:space="preserve"> </w:t>
            </w:r>
            <w:r w:rsidRPr="00031A85">
              <w:t>802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w:t>
            </w:r>
            <w:r>
              <w:t xml:space="preserve"> </w:t>
            </w:r>
            <w:r w:rsidRPr="00031A85">
              <w:t>819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w:t>
            </w:r>
            <w:r>
              <w:t xml:space="preserve"> </w:t>
            </w:r>
            <w:r w:rsidRPr="00031A85">
              <w:t>873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75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385</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05</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Agriculture et développement rural</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59</w:t>
            </w:r>
            <w:r>
              <w:t xml:space="preserve"> </w:t>
            </w:r>
            <w:r w:rsidRPr="00031A85">
              <w:t>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54</w:t>
            </w:r>
            <w:r>
              <w:t xml:space="preserve"> </w:t>
            </w:r>
            <w:r w:rsidRPr="00031A85">
              <w:t>127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488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57</w:t>
            </w:r>
            <w:r>
              <w:t xml:space="preserve"> </w:t>
            </w:r>
            <w:r w:rsidRPr="00031A85">
              <w:t>029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97</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203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44</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06</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Mobilité et transports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183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251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97</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07</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Environnement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08</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Recherche et innovation</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6</w:t>
            </w:r>
            <w:r>
              <w:t xml:space="preserve"> </w:t>
            </w:r>
            <w:r w:rsidRPr="00031A85">
              <w:t>811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w:t>
            </w:r>
            <w:r>
              <w:t xml:space="preserve"> </w:t>
            </w:r>
            <w:r w:rsidRPr="00031A85">
              <w:t>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396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w:t>
            </w:r>
            <w:r>
              <w:t xml:space="preserve"> </w:t>
            </w:r>
            <w:r w:rsidRPr="00031A85">
              <w:t>780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994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023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09</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Réseaux de communication, contenu et technologies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627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449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93</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177</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10</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Recherche directe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469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52</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385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431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11</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Affaires maritimes et pêche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589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27</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12</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Stabilité financière, services financiers et union des marchés des capitaux</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93</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13</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Politique régionale et urbaine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31</w:t>
            </w:r>
            <w:r>
              <w:t xml:space="preserve"> </w:t>
            </w:r>
            <w:r w:rsidRPr="00031A85">
              <w:t>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29</w:t>
            </w:r>
            <w:r>
              <w:t xml:space="preserve"> </w:t>
            </w:r>
            <w:r w:rsidRPr="00031A85">
              <w:t>072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29</w:t>
            </w:r>
            <w:r>
              <w:t xml:space="preserve"> </w:t>
            </w:r>
            <w:r w:rsidRPr="00031A85">
              <w:t>123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906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908</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14</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Fiscalité et union douanière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15</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Éducation et culture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699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043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299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354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91</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16</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Communication</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92</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17</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Santé et sécurité alimentaire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550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18</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Migration et affaires intérieures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487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393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96</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19</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Instruments de politique étrangère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29</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20</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Commerce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96</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21</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Coopération internationale et développement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587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344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493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97</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22</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Voisinage et négociations d’élargissement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007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334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91</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286</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23</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Aide humanitaire et protection civile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277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360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2</w:t>
            </w:r>
            <w:r>
              <w:t xml:space="preserve"> </w:t>
            </w:r>
            <w:r w:rsidRPr="00031A85">
              <w:t>002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88</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24</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Lutte contre la fraude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25</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Coordination des politiques de la Commission et conseil juridique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26</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Administration de la Commission</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323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097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83</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27</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Budget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28</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Audit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29</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Statistiques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87</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30</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Pensions et dépenses connexes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100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31</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Services linguistiques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92</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32</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Énergie</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716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549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1</w:t>
            </w:r>
            <w:r>
              <w:t xml:space="preserve"> </w:t>
            </w:r>
            <w:r w:rsidRPr="00031A85">
              <w:t>621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19</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33</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Justice et consommateurs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94</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7</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34</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Action pour le climat</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83</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9</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40</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Réserves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0</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21</w:t>
            </w:r>
          </w:p>
        </w:tc>
      </w:tr>
      <w:tr w:rsidR="005B4EEC" w:rsidTr="006A213A">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rsidRPr="00031A85">
              <w:t>90</w:t>
            </w:r>
          </w:p>
        </w:tc>
        <w:tc>
          <w:tcPr>
            <w:tcW w:w="30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Autres institutions</w:t>
            </w:r>
          </w:p>
        </w:tc>
        <w:tc>
          <w:tcPr>
            <w:tcW w:w="8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4</w:t>
            </w:r>
            <w:r>
              <w:t xml:space="preserve"> </w:t>
            </w:r>
            <w:r w:rsidRPr="00031A85">
              <w:t>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3</w:t>
            </w:r>
            <w:r>
              <w:t xml:space="preserve"> </w:t>
            </w:r>
            <w:r w:rsidRPr="00031A85">
              <w:t>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rsidRPr="00031A85">
              <w:t>85</w:t>
            </w:r>
            <w:r>
              <w:t>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57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49</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w:t>
            </w:r>
            <w:r w:rsidRPr="00031A85">
              <w:t>106</w:t>
            </w:r>
          </w:p>
        </w:tc>
      </w:tr>
      <w:tr w:rsidR="005B4EEC" w:rsidTr="006A213A">
        <w:trPr>
          <w:cantSplit/>
        </w:trPr>
        <w:tc>
          <w:tcPr>
            <w:tcW w:w="3468"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noProof w:val="0"/>
                <w:szCs w:val="14"/>
              </w:rPr>
            </w:pPr>
            <w:r>
              <w:t>Total</w:t>
            </w:r>
          </w:p>
        </w:tc>
        <w:tc>
          <w:tcPr>
            <w:tcW w:w="8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148</w:t>
            </w:r>
            <w:r>
              <w:t xml:space="preserve"> </w:t>
            </w:r>
            <w:r w:rsidRPr="00031A85">
              <w:t>069</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130</w:t>
            </w:r>
            <w:r>
              <w:t xml:space="preserve"> </w:t>
            </w:r>
            <w:r w:rsidRPr="00031A85">
              <w:t>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1</w:t>
            </w:r>
            <w:r>
              <w:t xml:space="preserve"> </w:t>
            </w:r>
            <w:r w:rsidRPr="00031A85">
              <w:t>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5</w:t>
            </w:r>
            <w:r>
              <w:t xml:space="preserve"> </w:t>
            </w:r>
            <w:r w:rsidRPr="00031A85">
              <w:t>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136</w:t>
            </w:r>
            <w:r>
              <w:t xml:space="preserve"> </w:t>
            </w:r>
            <w:r w:rsidRPr="00031A85">
              <w:t>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92</w:t>
            </w:r>
            <w:r>
              <w:t> %</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1</w:t>
            </w:r>
            <w:r>
              <w:t xml:space="preserve"> </w:t>
            </w:r>
            <w:r w:rsidRPr="00031A85">
              <w:t>098</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w:t>
            </w:r>
            <w:r w:rsidRPr="00031A85">
              <w:t>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5</w:t>
            </w:r>
            <w:r>
              <w:t xml:space="preserve"> </w:t>
            </w:r>
            <w:r w:rsidRPr="00031A85">
              <w:t>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6</w:t>
            </w:r>
            <w:r>
              <w:t xml:space="preserve"> </w:t>
            </w:r>
            <w:r w:rsidRPr="00031A85">
              <w:t>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4</w:t>
            </w:r>
            <w:r>
              <w:t xml:space="preserve"> </w:t>
            </w:r>
            <w:r w:rsidRPr="00031A85">
              <w:t>823</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w:t>
            </w:r>
            <w:r w:rsidRPr="00031A85">
              <w:t>109</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w:t>
            </w:r>
            <w:r w:rsidRPr="00031A85">
              <w:t>3</w:t>
            </w:r>
          </w:p>
        </w:tc>
        <w:tc>
          <w:tcPr>
            <w:tcW w:w="108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rsidRPr="00031A85">
              <w:t>4</w:t>
            </w:r>
            <w:r>
              <w:t xml:space="preserve"> </w:t>
            </w:r>
            <w:r w:rsidRPr="00031A85">
              <w:t>936</w:t>
            </w:r>
          </w:p>
        </w:tc>
      </w:tr>
    </w:tbl>
    <w:p w:rsidR="00FB0C75" w:rsidRDefault="00525E53" w:rsidP="00FB0C75">
      <w:r>
        <w:br w:type="page"/>
      </w:r>
    </w:p>
    <w:p w:rsidR="00FB0C75" w:rsidRPr="008C13D4" w:rsidRDefault="00525E53" w:rsidP="00FB0C75">
      <w:pPr>
        <w:pStyle w:val="HEADER2Part3"/>
        <w:numPr>
          <w:ilvl w:val="1"/>
          <w:numId w:val="1"/>
        </w:numPr>
        <w:ind w:left="907" w:hanging="907"/>
      </w:pPr>
      <w:bookmarkStart w:id="681" w:name="_Toc485391796"/>
      <w:bookmarkStart w:id="682" w:name="_Toc491681462"/>
      <w:r>
        <w:t>DOMAINE POLITIQUE: ÉVOLUTION DES ENGAGEMENTS RESTANT À LIQUIDER (RAL)</w:t>
      </w:r>
      <w:bookmarkEnd w:id="681"/>
      <w:bookmarkEnd w:id="682"/>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RAL à la fin de l’exercice précédent</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de l’exercice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 xml:space="preserve">Total engagements </w:t>
            </w:r>
          </w:p>
        </w:tc>
      </w:tr>
      <w:tr w:rsidR="005B4EEC" w:rsidTr="00FB0C75">
        <w:tc>
          <w:tcPr>
            <w:tcW w:w="3794"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Domaine politique</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reportés de l’exercice précédent</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Pr>
                <w:b w:val="0"/>
              </w:rPr>
              <w:t>Dégagements/</w:t>
            </w:r>
            <w:r w:rsidR="00662F69">
              <w:rPr>
                <w:b w:val="0"/>
              </w:rPr>
              <w:br/>
            </w:r>
            <w:r>
              <w:rPr>
                <w:b w:val="0"/>
              </w:rPr>
              <w:t>Réévaluations/</w:t>
            </w:r>
            <w:r w:rsidR="00662F69">
              <w:rPr>
                <w:b w:val="0"/>
              </w:rPr>
              <w:br/>
            </w:r>
            <w:r>
              <w:rPr>
                <w:b w:val="0"/>
              </w:rPr>
              <w:t>Annulations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Paiements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restant à liquider à la date de clôture</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contractés en cours d’exercice</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Paiements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Annulation des engagements non reportables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Engagements restant à liquider à la date de clôture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restant à liquider à la date de clôture</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économiques et financières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127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401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Marché intérieur, industrie, entrepreneuriat et PME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145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409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768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Concurrence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Emploi, affaires sociales et inclusion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33</w:t>
            </w:r>
            <w:r>
              <w:t xml:space="preserve"> </w:t>
            </w:r>
            <w:r w:rsidRPr="00031A85">
              <w:t>275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8</w:t>
            </w:r>
            <w:r>
              <w:t xml:space="preserve"> </w:t>
            </w:r>
            <w:r w:rsidRPr="00031A85">
              <w:t>516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24</w:t>
            </w:r>
            <w:r>
              <w:t xml:space="preserve"> </w:t>
            </w:r>
            <w:r w:rsidRPr="00031A85">
              <w:t>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367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357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37</w:t>
            </w:r>
            <w:r>
              <w:t xml:space="preserve"> </w:t>
            </w:r>
            <w:r w:rsidRPr="00031A85">
              <w:t>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Agriculture et développement rural</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25</w:t>
            </w:r>
            <w:r>
              <w:t xml:space="preserve"> </w:t>
            </w:r>
            <w:r w:rsidRPr="00031A85">
              <w:t>424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340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12</w:t>
            </w:r>
            <w:r>
              <w:t xml:space="preserve"> </w:t>
            </w:r>
            <w:r w:rsidRPr="00031A85">
              <w:t>274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w:t>
            </w:r>
            <w:r>
              <w:t xml:space="preserve"> </w:t>
            </w:r>
            <w:r w:rsidRPr="00031A85">
              <w:t>810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63</w:t>
            </w:r>
            <w:r>
              <w:t xml:space="preserve"> </w:t>
            </w:r>
            <w:r w:rsidRPr="00031A85">
              <w:t>466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44</w:t>
            </w:r>
            <w:r>
              <w:t xml:space="preserve"> </w:t>
            </w:r>
            <w:r w:rsidRPr="00031A85">
              <w:t>756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18</w:t>
            </w:r>
            <w:r>
              <w:t xml:space="preserve"> </w:t>
            </w:r>
            <w:r w:rsidRPr="00031A85">
              <w:t>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30</w:t>
            </w:r>
            <w:r>
              <w:t xml:space="preserve"> </w:t>
            </w:r>
            <w:r w:rsidRPr="00031A85">
              <w:t>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Mobilité et transports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883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528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281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7</w:t>
            </w:r>
            <w:r>
              <w:t xml:space="preserve"> </w:t>
            </w:r>
            <w:r w:rsidRPr="00031A85">
              <w:t>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Environnement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118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et innovation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813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3</w:t>
            </w:r>
            <w:r>
              <w:t xml:space="preserve"> </w:t>
            </w:r>
            <w:r w:rsidRPr="00031A85">
              <w:t>844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8</w:t>
            </w:r>
            <w:r>
              <w:t xml:space="preserve"> </w:t>
            </w:r>
            <w:r w:rsidRPr="00031A85">
              <w:t>863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386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937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Réseaux de communication, contenu et technologies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488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936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961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directe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510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369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maritimes et pêche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409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740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Stabilité financière, services financiers et union des marchés des capitaux</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Politique régionale et urbaine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92</w:t>
            </w:r>
            <w:r>
              <w:t xml:space="preserve"> </w:t>
            </w:r>
            <w:r w:rsidRPr="00031A85">
              <w:t>788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28</w:t>
            </w:r>
            <w:r>
              <w:t xml:space="preserve"> </w:t>
            </w:r>
            <w:r w:rsidRPr="00031A85">
              <w:t>491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64</w:t>
            </w:r>
            <w:r>
              <w:t xml:space="preserve"> </w:t>
            </w:r>
            <w:r w:rsidRPr="00031A85">
              <w:t>010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36</w:t>
            </w:r>
            <w:r>
              <w:t xml:space="preserve"> </w:t>
            </w:r>
            <w:r w:rsidRPr="00031A85">
              <w:t>139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631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35</w:t>
            </w:r>
            <w:r>
              <w:t xml:space="preserve"> </w:t>
            </w:r>
            <w:r w:rsidRPr="00031A85">
              <w:t>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xml:space="preserve"> </w:t>
            </w:r>
            <w:r w:rsidRPr="00031A85">
              <w:t>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Fiscalité et union douanière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Éducation et culture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256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249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2</w:t>
            </w:r>
            <w:r>
              <w:t xml:space="preserve"> </w:t>
            </w:r>
            <w:r w:rsidRPr="00031A85">
              <w:t>099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Communication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Santé et sécurité alimentaire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503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Migration et affaires intérieures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596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096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332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297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Instruments de politique étrangère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339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689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Commerce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Coopération internationale et développement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w:t>
            </w:r>
            <w:r>
              <w:t xml:space="preserve"> </w:t>
            </w:r>
            <w:r w:rsidRPr="00031A85">
              <w:t>572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2</w:t>
            </w:r>
            <w:r>
              <w:t xml:space="preserve"> </w:t>
            </w:r>
            <w:r w:rsidRPr="00031A85">
              <w:t>937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349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w:t>
            </w:r>
            <w:r>
              <w:t xml:space="preserve"> </w:t>
            </w:r>
            <w:r w:rsidRPr="00031A85">
              <w:t>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Voisinage et négociations d’élargissement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11</w:t>
            </w:r>
            <w:r>
              <w:t xml:space="preserve"> </w:t>
            </w:r>
            <w:r w:rsidRPr="00031A85">
              <w:t>606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306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2</w:t>
            </w:r>
            <w:r>
              <w:t xml:space="preserve"> </w:t>
            </w:r>
            <w:r w:rsidRPr="00031A85">
              <w:t>547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8</w:t>
            </w:r>
            <w:r>
              <w:t xml:space="preserve"> </w:t>
            </w:r>
            <w:r w:rsidRPr="00031A85">
              <w:t>753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904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787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Aide humanitaire et protection civile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542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460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Lutte contre la fraude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Coordination des politiques de la Commission et conseil juridique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Administration de la Commission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928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Budget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Audit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Statistiques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Pensions et dépenses connexes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684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Services linguistiques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Énergie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6</w:t>
            </w:r>
            <w:r>
              <w:t xml:space="preserve"> </w:t>
            </w:r>
            <w:r w:rsidRPr="00031A85">
              <w:t>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309</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1</w:t>
            </w:r>
            <w:r>
              <w:t xml:space="preserve"> </w:t>
            </w:r>
            <w:r w:rsidRPr="00031A85">
              <w:t>325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590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446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296</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Justice et consommateurs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Action pour le climat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Autres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143</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r w:rsidRPr="00031A85">
              <w:t>3</w:t>
            </w:r>
            <w:r>
              <w:t xml:space="preserve"> </w:t>
            </w:r>
            <w:r w:rsidRPr="00031A85">
              <w:t>555</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217</w:t>
            </w:r>
            <w:r>
              <w:t xml:space="preserve"> </w:t>
            </w:r>
            <w:r w:rsidRPr="00031A85">
              <w:t>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3</w:t>
            </w:r>
            <w:r>
              <w:t xml:space="preserve"> </w:t>
            </w:r>
            <w:r w:rsidRPr="00031A85">
              <w:t>825</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70</w:t>
            </w:r>
            <w:r>
              <w:t xml:space="preserve"> </w:t>
            </w:r>
            <w:r w:rsidRPr="00031A85">
              <w:t>482</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143</w:t>
            </w:r>
            <w:r>
              <w:t xml:space="preserve"> </w:t>
            </w:r>
            <w:r w:rsidRPr="00031A85">
              <w:t>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161</w:t>
            </w:r>
            <w:r>
              <w:t xml:space="preserve"> </w:t>
            </w:r>
            <w:r w:rsidRPr="00031A85">
              <w:t>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r w:rsidRPr="00031A85">
              <w:t>65</w:t>
            </w:r>
            <w:r>
              <w:t xml:space="preserve"> </w:t>
            </w:r>
            <w:r w:rsidRPr="00031A85">
              <w:t>935</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w:t>
            </w:r>
            <w:r w:rsidRPr="00031A85">
              <w:t>3</w:t>
            </w:r>
            <w:r>
              <w: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95</w:t>
            </w:r>
            <w:r>
              <w:t xml:space="preserve"> </w:t>
            </w:r>
            <w:r w:rsidRPr="00031A85">
              <w:t>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238</w:t>
            </w:r>
            <w:r>
              <w:t xml:space="preserve"> </w:t>
            </w:r>
            <w:r w:rsidRPr="00031A85">
              <w:t>759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577"/>
          <w:headerReference w:type="default" r:id="rId578"/>
          <w:footerReference w:type="even" r:id="rId579"/>
          <w:footerReference w:type="default" r:id="rId580"/>
          <w:headerReference w:type="first" r:id="rId581"/>
          <w:footerReference w:type="first" r:id="rId582"/>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pPr>
      <w:bookmarkStart w:id="683" w:name="_Toc485391797"/>
      <w:bookmarkStart w:id="684" w:name="_Toc491681463"/>
      <w:r>
        <w:t>DOMAINE POLITIQUE: ENGAGEMENTS RESTANT À LIQUIDER PAR ANNÉE D’ORIGINE</w:t>
      </w:r>
      <w:bookmarkEnd w:id="683"/>
      <w:bookmarkEnd w:id="68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en Mio EUR</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Domaine politique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 xml:space="preserve">&lt; </w:t>
            </w:r>
            <w:r w:rsidRPr="00031A85">
              <w:rPr>
                <w:b w:val="0"/>
              </w:rPr>
              <w:t>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sidRPr="00031A85">
              <w:rPr>
                <w:b w:val="0"/>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sidRPr="00031A85">
              <w:rPr>
                <w:b w:val="0"/>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Total</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économiques et financières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244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Marché intérieur, industrie, entrepreneuriat et PME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Concurrence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Emploi, affaires sociales et inclusion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382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15</w:t>
            </w:r>
            <w:r>
              <w:t xml:space="preserve"> </w:t>
            </w:r>
            <w:r w:rsidRPr="00031A85">
              <w:t>018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37</w:t>
            </w:r>
            <w:r>
              <w:t xml:space="preserve"> </w:t>
            </w:r>
            <w:r w:rsidRPr="00031A85">
              <w:t>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Agriculture et développement rural</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w:t>
            </w:r>
            <w:r>
              <w:t xml:space="preserve"> </w:t>
            </w:r>
            <w:r w:rsidRPr="00031A85">
              <w:t>921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18</w:t>
            </w:r>
            <w:r>
              <w:t xml:space="preserve"> </w:t>
            </w:r>
            <w:r w:rsidRPr="00031A85">
              <w:t>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30</w:t>
            </w:r>
            <w:r>
              <w:t xml:space="preserve"> </w:t>
            </w:r>
            <w:r w:rsidRPr="00031A85">
              <w:t>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Mobilité et transports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430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7</w:t>
            </w:r>
            <w:r>
              <w:t xml:space="preserve"> </w:t>
            </w:r>
            <w:r w:rsidRPr="00031A85">
              <w:t>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Environnement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et innovation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705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686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13</w:t>
            </w:r>
            <w:r>
              <w:t xml:space="preserve"> </w:t>
            </w:r>
            <w:r w:rsidRPr="00031A85">
              <w:t>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Réseaux de communication, contenu et technologies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Recherche directe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Affaires maritimes et pêche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302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Stabilité financière, services financiers et union des marchés des capitaux</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Politique régionale et urbaine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14</w:t>
            </w:r>
            <w:r>
              <w:t xml:space="preserve"> </w:t>
            </w:r>
            <w:r w:rsidRPr="00031A85">
              <w:t>947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41</w:t>
            </w:r>
            <w:r>
              <w:t xml:space="preserve"> </w:t>
            </w:r>
            <w:r w:rsidRPr="00031A85">
              <w:t>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35</w:t>
            </w:r>
            <w:r>
              <w:t xml:space="preserve"> </w:t>
            </w:r>
            <w:r w:rsidRPr="00031A85">
              <w:t>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99</w:t>
            </w:r>
            <w:r>
              <w:t xml:space="preserve"> </w:t>
            </w:r>
            <w:r w:rsidRPr="00031A85">
              <w:t>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Fiscalité et union douanière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Éducation et culture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Communication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Santé et sécurité alimentaire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Migration et affaires intérieures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583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Instruments de politique étrangère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Commerce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Coopération internationale et développement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237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9</w:t>
            </w:r>
            <w:r>
              <w:t xml:space="preserve"> </w:t>
            </w:r>
            <w:r w:rsidRPr="00031A85">
              <w:t>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Voisinage et négociations d’élargissement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473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507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2</w:t>
            </w:r>
            <w:r>
              <w:t xml:space="preserve"> </w:t>
            </w:r>
            <w:r w:rsidRPr="00031A85">
              <w:t>037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3</w:t>
            </w:r>
            <w:r>
              <w:t xml:space="preserve"> </w:t>
            </w:r>
            <w:r w:rsidRPr="00031A85">
              <w:t>039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4</w:t>
            </w:r>
            <w:r>
              <w:t xml:space="preserve"> </w:t>
            </w:r>
            <w:r w:rsidRPr="00031A85">
              <w:t>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12</w:t>
            </w:r>
            <w:r>
              <w:t xml:space="preserve"> </w:t>
            </w:r>
            <w:r w:rsidRPr="00031A85">
              <w:t>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Aide humanitaire et protection civile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Lutte contre la fraude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Coordination des politiques de la Commission et conseil juridique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Administration de la Commission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Budget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Audit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Statistiques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Pensions et dépenses connexes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Services linguistiques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Énergie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142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273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053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910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1</w:t>
            </w:r>
            <w:r>
              <w:t xml:space="preserve"> </w:t>
            </w:r>
            <w:r w:rsidRPr="00031A85">
              <w:t>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5</w:t>
            </w:r>
            <w:r>
              <w:t xml:space="preserve"> </w:t>
            </w:r>
            <w:r w:rsidRPr="00031A85">
              <w:t>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Justice et consommateurs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70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Action pour le climat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rsidRPr="00031A85">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Autres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rsidRPr="00031A85">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w:t>
            </w:r>
            <w:r w:rsidRPr="00031A85">
              <w:t>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FB0C75" w:rsidP="00FB0C75">
            <w:pPr>
              <w:pStyle w:val="Text6pBoldLeft"/>
              <w:rPr>
                <w:rFonts w:eastAsia="Verdana" w:cs="Verdana"/>
                <w:szCs w:val="14"/>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w:t>
            </w:r>
            <w:r>
              <w:t xml:space="preserve"> </w:t>
            </w:r>
            <w:r w:rsidRPr="00031A85">
              <w:t>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1</w:t>
            </w:r>
            <w:r>
              <w:t xml:space="preserve"> </w:t>
            </w:r>
            <w:r w:rsidRPr="00031A85">
              <w:t>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w:t>
            </w:r>
            <w:r>
              <w:t xml:space="preserve"> </w:t>
            </w:r>
            <w:r w:rsidRPr="00031A85">
              <w:t>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5</w:t>
            </w:r>
            <w:r>
              <w:t xml:space="preserve"> </w:t>
            </w:r>
            <w:r w:rsidRPr="00031A85">
              <w:t>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27</w:t>
            </w:r>
            <w:r>
              <w:t xml:space="preserve"> </w:t>
            </w:r>
            <w:r w:rsidRPr="00031A85">
              <w:t>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21</w:t>
            </w:r>
            <w:r>
              <w:t xml:space="preserve"> </w:t>
            </w:r>
            <w:r w:rsidRPr="00031A85">
              <w:t>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82</w:t>
            </w:r>
            <w:r>
              <w:t xml:space="preserve"> </w:t>
            </w:r>
            <w:r w:rsidRPr="00031A85">
              <w:t>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95</w:t>
            </w:r>
            <w:r>
              <w:t xml:space="preserve"> </w:t>
            </w:r>
            <w:r w:rsidRPr="00031A85">
              <w:t>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rsidRPr="00031A85">
              <w:t>238</w:t>
            </w:r>
            <w:r>
              <w:t xml:space="preserve"> </w:t>
            </w:r>
            <w:r w:rsidRPr="00031A85">
              <w:t>759</w:t>
            </w:r>
          </w:p>
        </w:tc>
      </w:tr>
      <w:bookmarkEnd w:id="664"/>
    </w:tbl>
    <w:p w:rsidR="00FB0C75" w:rsidRPr="008C13D4" w:rsidRDefault="00FB0C75" w:rsidP="00FB0C75">
      <w:pPr>
        <w:rPr>
          <w:rFonts w:ascii="Verdana" w:eastAsia="Verdana" w:hAnsi="Verdana" w:cs="Verdana"/>
          <w:sz w:val="14"/>
          <w:szCs w:val="14"/>
        </w:rPr>
        <w:sectPr w:rsidR="00FB0C75" w:rsidRPr="008C13D4" w:rsidSect="00FB0C75">
          <w:headerReference w:type="even" r:id="rId583"/>
          <w:headerReference w:type="default" r:id="rId584"/>
          <w:footerReference w:type="even" r:id="rId585"/>
          <w:footerReference w:type="default" r:id="rId586"/>
          <w:headerReference w:type="first" r:id="rId587"/>
          <w:footerReference w:type="first" r:id="rId588"/>
          <w:type w:val="nextColumn"/>
          <w:pgSz w:w="16840" w:h="11900" w:orient="landscape"/>
          <w:pgMar w:top="1134" w:right="1389" w:bottom="1134" w:left="1134" w:header="720" w:footer="720" w:gutter="0"/>
          <w:cols w:space="720"/>
        </w:sectPr>
      </w:pPr>
    </w:p>
    <w:p w:rsidR="00FB0C75" w:rsidRPr="009D2E6B" w:rsidRDefault="00525E53" w:rsidP="00FB0C75">
      <w:pPr>
        <w:pStyle w:val="HEADER1Part3"/>
        <w:numPr>
          <w:ilvl w:val="0"/>
          <w:numId w:val="1"/>
        </w:numPr>
        <w:ind w:left="907" w:hanging="907"/>
        <w:rPr>
          <w:rFonts w:cs="Verdana"/>
          <w:bCs/>
        </w:rPr>
      </w:pPr>
      <w:bookmarkStart w:id="685" w:name="_Toc485391798"/>
      <w:bookmarkStart w:id="686" w:name="_Toc491681464"/>
      <w:bookmarkStart w:id="687" w:name="_DMBM_10654"/>
      <w:r>
        <w:t>EXÉCUTION DU BUDGET PAR INSTITUTION</w:t>
      </w:r>
      <w:bookmarkEnd w:id="685"/>
      <w:bookmarkEnd w:id="686"/>
    </w:p>
    <w:p w:rsidR="00FB0C75" w:rsidRPr="007D6499" w:rsidRDefault="00525E53" w:rsidP="00FB0C75">
      <w:pPr>
        <w:pStyle w:val="HEADER2Part3"/>
        <w:numPr>
          <w:ilvl w:val="1"/>
          <w:numId w:val="1"/>
        </w:numPr>
        <w:ind w:left="907" w:hanging="907"/>
        <w:rPr>
          <w:rFonts w:cs="Verdana"/>
          <w:bCs/>
        </w:rPr>
      </w:pPr>
      <w:bookmarkStart w:id="688" w:name="_Toc485391799"/>
      <w:bookmarkStart w:id="689" w:name="_Toc491681465"/>
      <w:r>
        <w:t>EXÉCUTION DU BUDGET EN RECETTES</w:t>
      </w:r>
      <w:bookmarkEnd w:id="688"/>
      <w:bookmarkEnd w:id="689"/>
    </w:p>
    <w:p w:rsidR="00FB0C75" w:rsidRDefault="00FB0C75" w:rsidP="00FB0C75">
      <w:pPr>
        <w:jc w:val="right"/>
        <w:rPr>
          <w:rFonts w:ascii="Verdana"/>
          <w:i/>
          <w:sz w:val="14"/>
          <w:szCs w:val="14"/>
          <w:highlight w:val="yellow"/>
        </w:rPr>
      </w:pP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Left"/>
              <w:rPr>
                <w:rFonts w:eastAsia="Verdana" w:cs="Verdana"/>
                <w:color w:val="FFFFFF"/>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525E53" w:rsidP="00FB0C75">
            <w:pPr>
              <w:pStyle w:val="Text8pItalicRight025EUR"/>
              <w:rPr>
                <w:rFonts w:eastAsia="Verdana" w:cs="Verdana"/>
                <w:szCs w:val="14"/>
              </w:rPr>
            </w:pPr>
            <w:r>
              <w:t>en Mio EUR</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9pNormalLeft"/>
              <w:rPr>
                <w:rFonts w:eastAsia="Verdana" w:cs="Verdana"/>
                <w:szCs w:val="14"/>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Budget recettes</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Droits constatés</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Recettes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 xml:space="preserve">Recettes en </w:t>
            </w:r>
          </w:p>
          <w:p w:rsidR="00FB0C75" w:rsidRPr="00750827" w:rsidRDefault="00525E53" w:rsidP="00FB0C75">
            <w:pPr>
              <w:pStyle w:val="Heading9pNormalCentered"/>
              <w:rPr>
                <w:rFonts w:eastAsia="Verdana" w:cs="Verdana"/>
                <w:szCs w:val="14"/>
              </w:rPr>
            </w:pPr>
            <w:r>
              <w:t>% du budget</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Reste à recevoir</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Left"/>
              <w:jc w:val="center"/>
              <w:rPr>
                <w:rFonts w:eastAsia="Verdana" w:cs="Verdana"/>
                <w:szCs w:val="14"/>
              </w:rPr>
            </w:pPr>
            <w:r>
              <w:t>Institution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Budget initial adopté</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Budget définitif adopté</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Exercice courant</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Crédits reportés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Total</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sur les droits de l’exercice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sur les droits reportés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rPr>
                <w:rFonts w:eastAsia="Verdana" w:cs="Verdana"/>
                <w:szCs w:val="14"/>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jc w:val="center"/>
              <w:rPr>
                <w:rFonts w:eastAsia="Verdana" w:cs="Verdana"/>
                <w:color w:val="auto"/>
                <w:szCs w:val="14"/>
              </w:rPr>
            </w:pP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Commission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143</w:t>
            </w:r>
            <w:r>
              <w:rPr>
                <w:i w:val="0"/>
              </w:rPr>
              <w:t xml:space="preserve"> </w:t>
            </w:r>
            <w:r w:rsidRPr="00031A85">
              <w:rPr>
                <w:i w:val="0"/>
              </w:rPr>
              <w:t>548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136</w:t>
            </w:r>
            <w:r>
              <w:rPr>
                <w:i w:val="0"/>
              </w:rPr>
              <w:t xml:space="preserve"> </w:t>
            </w:r>
            <w:r w:rsidRPr="00031A85">
              <w:rPr>
                <w:i w:val="0"/>
              </w:rPr>
              <w:t>305</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143</w:t>
            </w:r>
            <w:r>
              <w:rPr>
                <w:i w:val="0"/>
              </w:rPr>
              <w:t xml:space="preserve"> </w:t>
            </w:r>
            <w:r w:rsidRPr="00031A85">
              <w:rPr>
                <w:i w:val="0"/>
              </w:rPr>
              <w:t>854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7</w:t>
            </w:r>
            <w:r>
              <w:rPr>
                <w:i w:val="0"/>
              </w:rPr>
              <w:t xml:space="preserve"> </w:t>
            </w:r>
            <w:r w:rsidRPr="00031A85">
              <w:rPr>
                <w:i w:val="0"/>
              </w:rPr>
              <w:t>119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150</w:t>
            </w:r>
            <w:r>
              <w:rPr>
                <w:i w:val="0"/>
              </w:rPr>
              <w:t xml:space="preserve"> </w:t>
            </w:r>
            <w:r w:rsidRPr="00031A85">
              <w:rPr>
                <w:i w:val="0"/>
              </w:rPr>
              <w:t>972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141</w:t>
            </w:r>
            <w:r>
              <w:rPr>
                <w:i w:val="0"/>
              </w:rPr>
              <w:t xml:space="preserve"> </w:t>
            </w:r>
            <w:r w:rsidRPr="00031A85">
              <w:rPr>
                <w:i w:val="0"/>
              </w:rPr>
              <w:t>804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2</w:t>
            </w:r>
            <w:r>
              <w:rPr>
                <w:i w:val="0"/>
              </w:rPr>
              <w:t xml:space="preserve"> </w:t>
            </w:r>
            <w:r w:rsidRPr="00031A85">
              <w:rPr>
                <w:i w:val="0"/>
              </w:rPr>
              <w:t>285</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sidRPr="00031A85">
              <w:rPr>
                <w:i w:val="0"/>
              </w:rPr>
              <w:t>144</w:t>
            </w:r>
            <w:r>
              <w:rPr>
                <w:i w:val="0"/>
              </w:rPr>
              <w:t xml:space="preserve"> </w:t>
            </w:r>
            <w:r w:rsidRPr="00031A85">
              <w:rPr>
                <w:i w:val="0"/>
              </w:rPr>
              <w:t>089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106</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6</w:t>
            </w:r>
            <w:r>
              <w:rPr>
                <w:i w:val="0"/>
              </w:rPr>
              <w:t xml:space="preserve"> </w:t>
            </w:r>
            <w:r w:rsidRPr="00031A85">
              <w:rPr>
                <w:i w:val="0"/>
              </w:rPr>
              <w:t>883</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Comité des régions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8</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133</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Cour des comptes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20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99</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Cour de justice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52</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52</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97</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Comité économique et social européen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142</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Conseil européen et Conseil</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50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76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75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78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154</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Contrôleur européen de la protection des données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95</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Service européen pour l’action extérieure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41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41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269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268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659</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Parlement européen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153</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153</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183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119</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22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Médiateur</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w:t>
            </w:r>
            <w:r w:rsidRPr="00031A85">
              <w:rPr>
                <w:i w:val="0"/>
              </w:rPr>
              <w:t>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sidRPr="00031A85">
              <w:rPr>
                <w:i w:val="0"/>
              </w:rPr>
              <w:t>91</w:t>
            </w:r>
            <w:r>
              <w:rPr>
                <w:i w:val="0"/>
              </w:rPr>
              <w:t>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9pBoldLeft"/>
              <w:rPr>
                <w:rFonts w:eastAsia="Verdana" w:cs="Verdana"/>
                <w:szCs w:val="14"/>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143</w:t>
            </w:r>
            <w:r>
              <w:t xml:space="preserve"> </w:t>
            </w:r>
            <w:r w:rsidRPr="00031A85">
              <w:t>885</w:t>
            </w:r>
          </w:p>
        </w:tc>
        <w:tc>
          <w:tcPr>
            <w:tcW w:w="127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136</w:t>
            </w:r>
            <w:r>
              <w:t xml:space="preserve"> </w:t>
            </w:r>
            <w:r w:rsidRPr="00031A85">
              <w:t>642</w:t>
            </w:r>
          </w:p>
        </w:tc>
        <w:tc>
          <w:tcPr>
            <w:tcW w:w="1281"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144</w:t>
            </w:r>
            <w:r>
              <w:t xml:space="preserve"> </w:t>
            </w:r>
            <w:r w:rsidRPr="00031A85">
              <w:t>483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7</w:t>
            </w:r>
            <w:r>
              <w:t xml:space="preserve"> </w:t>
            </w:r>
            <w:r w:rsidRPr="00031A85">
              <w:t>141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151</w:t>
            </w:r>
            <w:r>
              <w:t xml:space="preserve"> </w:t>
            </w:r>
            <w:r w:rsidRPr="00031A85">
              <w:t>624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142</w:t>
            </w:r>
            <w:r>
              <w:t xml:space="preserve"> </w:t>
            </w:r>
            <w:r w:rsidRPr="00031A85">
              <w:t>427</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2</w:t>
            </w:r>
            <w:r>
              <w:t xml:space="preserve"> </w:t>
            </w:r>
            <w:r w:rsidRPr="00031A85">
              <w:t>290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144</w:t>
            </w:r>
            <w:r>
              <w:t xml:space="preserve"> </w:t>
            </w:r>
            <w:r w:rsidRPr="00031A85">
              <w:t>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106</w:t>
            </w:r>
            <w:r>
              <w:t> %</w:t>
            </w:r>
          </w:p>
        </w:tc>
        <w:tc>
          <w:tcPr>
            <w:tcW w:w="13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rsidRPr="00031A85">
              <w:t>6</w:t>
            </w:r>
            <w:r>
              <w:t xml:space="preserve"> </w:t>
            </w:r>
            <w:r w:rsidRPr="00031A85">
              <w:t>907</w:t>
            </w:r>
          </w:p>
        </w:tc>
      </w:tr>
    </w:tbl>
    <w:p w:rsidR="00FB0C75" w:rsidRPr="00750827" w:rsidRDefault="00FB0C75" w:rsidP="00FB0C75">
      <w:pPr>
        <w:rPr>
          <w:rFonts w:ascii="Verdana"/>
          <w:i/>
          <w:sz w:val="14"/>
          <w:szCs w:val="14"/>
        </w:rPr>
      </w:pPr>
    </w:p>
    <w:p w:rsidR="00FB0C75" w:rsidRPr="00750827" w:rsidRDefault="00FB0C75" w:rsidP="00FB0C75">
      <w:pPr>
        <w:rPr>
          <w:rFonts w:ascii="Verdana"/>
          <w:i/>
          <w:sz w:val="14"/>
          <w:szCs w:val="14"/>
        </w:rPr>
      </w:pPr>
    </w:p>
    <w:p w:rsidR="00FB0C75" w:rsidRDefault="00525E53" w:rsidP="00FB0C75">
      <w:pPr>
        <w:pStyle w:val="Textstand-alone"/>
      </w:pPr>
      <w:r>
        <w:t xml:space="preserve">Les états consolidés sur l’exécution du budget général de l’UE recouvrent, comme pour les exercices précédents, l’exécution budgétaire de l'ensemble des institutions, étant donné que le budget de l’UE inclut un budget séparé pour chacune d'entre elles. Les agences ne disposent pas de budgets distincts au sein du budget de l’UE; elles sont partiellement financées au moyen d’une subvention issue du budget de la Commission. </w:t>
      </w:r>
    </w:p>
    <w:p w:rsidR="00FB0C75" w:rsidRDefault="00525E53" w:rsidP="00FB0C75">
      <w:pPr>
        <w:pStyle w:val="Textstand-alone"/>
      </w:pPr>
      <w:r>
        <w:t xml:space="preserve">Concernant le SEAE, on notera qu'en plus de son propre budget, il reçoit également des contributions de la Commission, pour un montant de </w:t>
      </w:r>
      <w:r w:rsidRPr="00031A85">
        <w:t>140</w:t>
      </w:r>
      <w:r>
        <w:t xml:space="preserve"> millions d’EUR (contre </w:t>
      </w:r>
      <w:r w:rsidRPr="00031A85">
        <w:t>138</w:t>
      </w:r>
      <w:r>
        <w:t xml:space="preserve"> millions en </w:t>
      </w:r>
      <w:r w:rsidRPr="00031A85">
        <w:t>2015</w:t>
      </w:r>
      <w:r>
        <w:t xml:space="preserve">), et du FED, à hauteur de </w:t>
      </w:r>
      <w:r w:rsidRPr="00031A85">
        <w:t>44</w:t>
      </w:r>
      <w:r>
        <w:t xml:space="preserve"> millions d’EUR (contre </w:t>
      </w:r>
      <w:r w:rsidRPr="00031A85">
        <w:t>61</w:t>
      </w:r>
      <w:r>
        <w:t xml:space="preserve"> millions d’EUR en </w:t>
      </w:r>
      <w:r w:rsidRPr="00031A85">
        <w:t>2015</w:t>
      </w:r>
      <w:r>
        <w:t xml:space="preserve">). Ces crédits budgétaires sont mis à la disposition du SEAE (en tant que recettes affectées), afin de couvrir principalement les coûts du personnel de la Commission travaillant dans les délégations de l’UE, ces délégations étant gérées sur le plan administratif par le SEAE.  </w:t>
      </w:r>
    </w:p>
    <w:p w:rsidR="00FB0C75" w:rsidRPr="000B5513" w:rsidRDefault="00FB0C75" w:rsidP="00FB0C75">
      <w:pPr>
        <w:rPr>
          <w:rFonts w:ascii="Verdana" w:eastAsia="Verdana" w:hAnsi="Verdana" w:cs="Verdana"/>
          <w:sz w:val="25"/>
          <w:szCs w:val="25"/>
          <w:highlight w:val="yellow"/>
        </w:rPr>
        <w:sectPr w:rsidR="00FB0C75" w:rsidRPr="000B5513" w:rsidSect="00FB0C75">
          <w:headerReference w:type="even" r:id="rId589"/>
          <w:headerReference w:type="default" r:id="rId590"/>
          <w:footerReference w:type="even" r:id="rId591"/>
          <w:footerReference w:type="default" r:id="rId592"/>
          <w:headerReference w:type="first" r:id="rId593"/>
          <w:footerReference w:type="first" r:id="rId594"/>
          <w:pgSz w:w="16840" w:h="11900" w:orient="landscape"/>
          <w:pgMar w:top="1134" w:right="1389" w:bottom="1134" w:left="1134" w:header="720" w:footer="720" w:gutter="0"/>
          <w:cols w:space="720"/>
        </w:sectPr>
      </w:pPr>
    </w:p>
    <w:p w:rsidR="00FB0C75" w:rsidRPr="00B02447" w:rsidRDefault="00525E53" w:rsidP="00FB0C75">
      <w:pPr>
        <w:pStyle w:val="HEADER2Part3"/>
        <w:numPr>
          <w:ilvl w:val="1"/>
          <w:numId w:val="1"/>
        </w:numPr>
        <w:spacing w:after="0"/>
        <w:ind w:left="907" w:hanging="907"/>
        <w:rPr>
          <w:rFonts w:cs="Verdana"/>
          <w:bCs/>
        </w:rPr>
      </w:pPr>
      <w:bookmarkStart w:id="690" w:name="_Toc485391800"/>
      <w:bookmarkStart w:id="691" w:name="_Toc491681466"/>
      <w:r>
        <w:t>EXÉCUTION DES CRÉDITS D’ENGAGEMENT</w:t>
      </w:r>
      <w:bookmarkEnd w:id="690"/>
      <w:bookmarkEnd w:id="691"/>
    </w:p>
    <w:p w:rsidR="00FB0C75" w:rsidRPr="009E688D" w:rsidRDefault="00FB0C75" w:rsidP="00FB0C75">
      <w:pPr>
        <w:ind w:left="148" w:right="113"/>
        <w:jc w:val="right"/>
        <w:rPr>
          <w:rFonts w:ascii="Verdana" w:eastAsia="Verdana" w:hAnsi="Verdana" w:cs="Verdana"/>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134"/>
        <w:gridCol w:w="850"/>
        <w:gridCol w:w="851"/>
        <w:gridCol w:w="1134"/>
        <w:gridCol w:w="850"/>
        <w:gridCol w:w="851"/>
        <w:gridCol w:w="992"/>
        <w:gridCol w:w="992"/>
        <w:gridCol w:w="992"/>
        <w:gridCol w:w="1134"/>
        <w:gridCol w:w="993"/>
        <w:gridCol w:w="992"/>
      </w:tblGrid>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Left"/>
              <w:rPr>
                <w:rFonts w:eastAsia="Verdana" w:cs="Verdana"/>
                <w:color w:val="FFFFFF"/>
                <w:szCs w:val="14"/>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rsidR="00FB0C75" w:rsidRPr="009E688D" w:rsidRDefault="00525E53" w:rsidP="00FB0C75">
            <w:pPr>
              <w:pStyle w:val="Text7pItalicRight025"/>
              <w:rPr>
                <w:rFonts w:eastAsia="Verdana" w:cs="Verdana"/>
                <w:szCs w:val="14"/>
              </w:rPr>
            </w:pPr>
            <w:r>
              <w:t>en Mio EUR</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4819" w:type="dxa"/>
            <w:gridSpan w:val="5"/>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Engagements contractés</w:t>
            </w:r>
          </w:p>
        </w:tc>
        <w:tc>
          <w:tcPr>
            <w:tcW w:w="3827" w:type="dxa"/>
            <w:gridSpan w:val="4"/>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 xml:space="preserve">Crédits reportés à </w:t>
            </w:r>
            <w:r w:rsidRPr="00031A85">
              <w:t>2017</w:t>
            </w:r>
          </w:p>
        </w:tc>
        <w:tc>
          <w:tcPr>
            <w:tcW w:w="3119" w:type="dxa"/>
            <w:gridSpan w:val="3"/>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Annulations</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Institution</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Total des crédits disponibles</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budget définitif adopté</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crédits reportés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recettes affectées</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Total</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recettes affectées</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Reports par décision</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Total</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budget définitif adopté</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crédits reportés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sur recettes affectées</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Total</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2</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3</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5</w:t>
            </w:r>
            <w:r>
              <w:t>=</w:t>
            </w:r>
            <w:r w:rsidRPr="00031A85">
              <w:t>2</w:t>
            </w:r>
            <w:r>
              <w:t>+</w:t>
            </w:r>
            <w:r w:rsidRPr="00031A85">
              <w:t>3</w:t>
            </w:r>
            <w:r>
              <w:t>+</w:t>
            </w:r>
            <w:r w:rsidRPr="00031A85">
              <w:t>4</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6</w:t>
            </w:r>
            <w:r>
              <w:t>=</w:t>
            </w:r>
            <w:r w:rsidRPr="00031A85">
              <w:t>5</w:t>
            </w:r>
            <w:r>
              <w:t>/</w:t>
            </w:r>
            <w:r w:rsidRPr="00031A85">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7</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9</w:t>
            </w:r>
            <w:r>
              <w:t>=</w:t>
            </w:r>
            <w:r w:rsidRPr="00031A85">
              <w:t>7</w:t>
            </w:r>
            <w:r>
              <w:t>+</w:t>
            </w:r>
            <w:r w:rsidRPr="00031A85">
              <w:t>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10</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12</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rsidRPr="00031A85">
              <w:t>13</w:t>
            </w:r>
            <w:r>
              <w:t>=</w:t>
            </w:r>
            <w:r w:rsidRPr="00031A85">
              <w:t>10</w:t>
            </w:r>
            <w:r>
              <w:t xml:space="preserve">+ </w:t>
            </w:r>
            <w:r w:rsidRPr="00031A85">
              <w:t>11</w:t>
            </w:r>
            <w:r>
              <w:t>+</w:t>
            </w:r>
            <w:r w:rsidRPr="00031A85">
              <w:t>12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Commission</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162</w:t>
            </w:r>
            <w:r>
              <w:rPr>
                <w:i w:val="0"/>
              </w:rPr>
              <w:t xml:space="preserve"> </w:t>
            </w:r>
            <w:r w:rsidRPr="00031A85">
              <w:rPr>
                <w:i w:val="0"/>
              </w:rPr>
              <w:t>569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150</w:t>
            </w:r>
            <w:r>
              <w:rPr>
                <w:i w:val="0"/>
              </w:rPr>
              <w:t xml:space="preserve"> </w:t>
            </w:r>
            <w:r w:rsidRPr="00031A85">
              <w:rPr>
                <w:i w:val="0"/>
              </w:rPr>
              <w:t>699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5</w:t>
            </w:r>
            <w:r>
              <w:rPr>
                <w:i w:val="0"/>
              </w:rPr>
              <w:t xml:space="preserve"> </w:t>
            </w:r>
            <w:r w:rsidRPr="00031A85">
              <w:rPr>
                <w:i w:val="0"/>
              </w:rPr>
              <w:t>854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157</w:t>
            </w:r>
            <w:r>
              <w:rPr>
                <w:i w:val="0"/>
              </w:rPr>
              <w:t xml:space="preserve"> </w:t>
            </w:r>
            <w:r w:rsidRPr="00031A85">
              <w:rPr>
                <w:i w:val="0"/>
              </w:rPr>
              <w:t>332</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97</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4</w:t>
            </w:r>
            <w:r>
              <w:rPr>
                <w:i w:val="0"/>
              </w:rPr>
              <w:t xml:space="preserve"> </w:t>
            </w:r>
            <w:r w:rsidRPr="00031A85">
              <w:rPr>
                <w:i w:val="0"/>
              </w:rPr>
              <w:t>416</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575</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4</w:t>
            </w:r>
            <w:r>
              <w:rPr>
                <w:i w:val="0"/>
              </w:rPr>
              <w:t xml:space="preserve"> </w:t>
            </w:r>
            <w:r w:rsidRPr="00031A85">
              <w:rPr>
                <w:i w:val="0"/>
              </w:rPr>
              <w:t>991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246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Comité des régions</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89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91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98</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Cour des comptes</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138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99</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Cour de justice</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382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373</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374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98</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7</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Comité économique et social européen</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135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127</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131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97</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4</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Conseil européen et Conseil</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591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519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541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92</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Contrôleur européen de la protection des données</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95</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Service européen pour l’action extérieure</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877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634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200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835</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95</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Parlement européen</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w:t>
            </w:r>
            <w:r>
              <w:rPr>
                <w:i w:val="0"/>
              </w:rPr>
              <w:t xml:space="preserve"> </w:t>
            </w:r>
            <w:r w:rsidRPr="00031A85">
              <w:rPr>
                <w:i w:val="0"/>
              </w:rPr>
              <w:t>886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w:t>
            </w:r>
            <w:r>
              <w:rPr>
                <w:i w:val="0"/>
              </w:rPr>
              <w:t xml:space="preserve"> </w:t>
            </w:r>
            <w:r w:rsidRPr="00031A85">
              <w:rPr>
                <w:i w:val="0"/>
              </w:rPr>
              <w:t>824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1</w:t>
            </w:r>
            <w:r>
              <w:rPr>
                <w:i w:val="0"/>
              </w:rPr>
              <w:t xml:space="preserve"> </w:t>
            </w:r>
            <w:r w:rsidRPr="00031A85">
              <w:rPr>
                <w:i w:val="0"/>
              </w:rPr>
              <w:t>850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98</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15</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Médiateur</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sidRPr="00031A85">
              <w:rPr>
                <w:i w:val="0"/>
              </w:rPr>
              <w:t>95</w:t>
            </w:r>
            <w:r>
              <w:rPr>
                <w:i w:val="0"/>
              </w:rPr>
              <w:t>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w:t>
            </w:r>
            <w:r w:rsidRPr="00031A85">
              <w:rPr>
                <w:i w:val="0"/>
              </w:rPr>
              <w:t>0</w:t>
            </w:r>
          </w:p>
        </w:tc>
      </w:tr>
      <w:tr w:rsidR="005B4EEC" w:rsidTr="00FB0C75">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Text7pBoldLeft"/>
              <w:rPr>
                <w:rFonts w:eastAsia="Verdana" w:cs="Verdana"/>
                <w:szCs w:val="14"/>
              </w:rPr>
            </w:pPr>
            <w: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166</w:t>
            </w:r>
            <w:r>
              <w:t xml:space="preserve"> </w:t>
            </w:r>
            <w:r w:rsidRPr="00031A85">
              <w:t>690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154</w:t>
            </w:r>
            <w:r>
              <w:t xml:space="preserve"> </w:t>
            </w:r>
            <w:r w:rsidRPr="00031A85">
              <w:t>421</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w:t>
            </w:r>
            <w:r w:rsidRPr="00031A85">
              <w:t>781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6</w:t>
            </w:r>
            <w:r>
              <w:t xml:space="preserve"> </w:t>
            </w:r>
            <w:r w:rsidRPr="00031A85">
              <w:t>108</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161</w:t>
            </w:r>
            <w:r>
              <w:t xml:space="preserve"> </w:t>
            </w:r>
            <w:r w:rsidRPr="00031A85">
              <w:t>310</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97</w:t>
            </w:r>
            <w:r>
              <w:t>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4</w:t>
            </w:r>
            <w:r>
              <w:t xml:space="preserve"> </w:t>
            </w:r>
            <w:r w:rsidRPr="00031A85">
              <w:t>502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w:t>
            </w:r>
            <w:r w:rsidRPr="00031A85">
              <w:t>575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rsidRPr="00031A85">
              <w:t>5</w:t>
            </w:r>
            <w:r>
              <w:t xml:space="preserve"> </w:t>
            </w:r>
            <w:r w:rsidRPr="00031A85">
              <w:t>077</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w:t>
            </w:r>
            <w:r w:rsidRPr="00031A85">
              <w:t>281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w:t>
            </w:r>
            <w:r w:rsidRPr="00031A85">
              <w:t>22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w:t>
            </w:r>
            <w:r w:rsidRPr="00031A85">
              <w:t>303</w:t>
            </w:r>
          </w:p>
        </w:tc>
      </w:tr>
    </w:tbl>
    <w:p w:rsidR="00FB0C75" w:rsidRPr="009E688D" w:rsidRDefault="00FB0C75" w:rsidP="00FB0C75">
      <w:pPr>
        <w:rPr>
          <w:rFonts w:ascii="Verdana" w:eastAsia="Verdana" w:hAnsi="Verdana" w:cs="Verdana"/>
          <w:sz w:val="14"/>
          <w:szCs w:val="14"/>
        </w:rPr>
        <w:sectPr w:rsidR="00FB0C75" w:rsidRPr="009E688D" w:rsidSect="00FB0C75">
          <w:headerReference w:type="even" r:id="rId595"/>
          <w:headerReference w:type="default" r:id="rId596"/>
          <w:footerReference w:type="even" r:id="rId597"/>
          <w:footerReference w:type="default" r:id="rId598"/>
          <w:headerReference w:type="first" r:id="rId599"/>
          <w:footerReference w:type="first" r:id="rId600"/>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0" w:firstLine="0"/>
      </w:pPr>
      <w:bookmarkStart w:id="692" w:name="_Toc485391801"/>
      <w:bookmarkStart w:id="693" w:name="_Toc491681467"/>
      <w:r>
        <w:t>EXÉCUTION DES CRÉDITS DE PAIEMENT</w:t>
      </w:r>
      <w:bookmarkEnd w:id="692"/>
      <w:bookmarkEnd w:id="693"/>
    </w:p>
    <w:p w:rsidR="00FB0C75" w:rsidRPr="00750827" w:rsidRDefault="00FB0C75" w:rsidP="00FB0C75">
      <w:pPr>
        <w:ind w:left="148" w:right="113"/>
        <w:jc w:val="right"/>
        <w:rPr>
          <w:rFonts w:ascii="Verdana" w:eastAsia="Verdana" w:hAnsi="Verdana" w:cs="Verdana"/>
          <w:sz w:val="14"/>
          <w:szCs w:val="14"/>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133"/>
        <w:gridCol w:w="993"/>
        <w:gridCol w:w="990"/>
        <w:gridCol w:w="993"/>
        <w:gridCol w:w="993"/>
        <w:gridCol w:w="709"/>
        <w:gridCol w:w="993"/>
        <w:gridCol w:w="990"/>
        <w:gridCol w:w="993"/>
        <w:gridCol w:w="852"/>
        <w:gridCol w:w="849"/>
        <w:gridCol w:w="993"/>
        <w:gridCol w:w="849"/>
        <w:gridCol w:w="1033"/>
      </w:tblGrid>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rPr>
            </w:pPr>
          </w:p>
        </w:tc>
        <w:tc>
          <w:tcPr>
            <w:tcW w:w="113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70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1882"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rPr>
            </w:pP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color w:val="auto"/>
                <w:szCs w:val="14"/>
              </w:rPr>
            </w:pPr>
          </w:p>
        </w:tc>
        <w:tc>
          <w:tcPr>
            <w:tcW w:w="4678"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Paiements exécutés</w:t>
            </w:r>
          </w:p>
        </w:tc>
        <w:tc>
          <w:tcPr>
            <w:tcW w:w="382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 xml:space="preserve">Crédits reportés à </w:t>
            </w:r>
            <w:r w:rsidRPr="00031A85">
              <w:t>2017</w:t>
            </w:r>
          </w:p>
        </w:tc>
        <w:tc>
          <w:tcPr>
            <w:tcW w:w="3724"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Annulations</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Institution</w:t>
            </w: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Total des crédits disponibles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budget définitif adopté</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crédits reportés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recettes affectées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Total</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Reports de droit</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Reports par décision</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recettes affectées</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Total</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budget définitif adopté</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crédits reportés</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sur recettes affectées</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Total</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2</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3</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4</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5</w:t>
            </w:r>
            <w:r>
              <w:t>=</w:t>
            </w:r>
            <w:r w:rsidRPr="00031A85">
              <w:t>2</w:t>
            </w:r>
            <w:r>
              <w:t>+</w:t>
            </w:r>
            <w:r w:rsidRPr="00031A85">
              <w:t>3</w:t>
            </w:r>
            <w:r>
              <w:t>+</w:t>
            </w:r>
            <w:r w:rsidRPr="00031A85">
              <w:t>4</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6</w:t>
            </w:r>
            <w:r>
              <w:t>=</w:t>
            </w:r>
            <w:r w:rsidRPr="00031A85">
              <w:t>5</w:t>
            </w:r>
            <w:r>
              <w:t>/</w:t>
            </w:r>
            <w:r w:rsidRPr="00031A85">
              <w:t>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7</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8</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9</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10</w:t>
            </w:r>
            <w:r>
              <w:t>=</w:t>
            </w:r>
            <w:r w:rsidRPr="00031A85">
              <w:t>7</w:t>
            </w:r>
            <w:r>
              <w:t>+</w:t>
            </w:r>
            <w:r w:rsidRPr="00031A85">
              <w:t>8</w:t>
            </w:r>
            <w:r>
              <w:t>+</w:t>
            </w:r>
            <w:r w:rsidRPr="00031A85">
              <w:t>9</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12</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13</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rsidRPr="00031A85">
              <w:t>14</w:t>
            </w:r>
            <w:r>
              <w:t>=</w:t>
            </w:r>
            <w:r w:rsidRPr="00031A85">
              <w:t>11</w:t>
            </w:r>
            <w:r>
              <w:t xml:space="preserve">+ </w:t>
            </w:r>
            <w:r w:rsidRPr="00031A85">
              <w:t>12</w:t>
            </w:r>
            <w:r>
              <w:t>+</w:t>
            </w:r>
            <w:r w:rsidRPr="00031A85">
              <w:t>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Commission</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sidRPr="00031A85">
              <w:rPr>
                <w:i w:val="0"/>
              </w:rPr>
              <w:t>143</w:t>
            </w:r>
            <w:r>
              <w:rPr>
                <w:i w:val="0"/>
              </w:rPr>
              <w:t xml:space="preserve"> </w:t>
            </w:r>
            <w:r w:rsidRPr="00031A85">
              <w:rPr>
                <w:i w:val="0"/>
              </w:rPr>
              <w:t>386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126</w:t>
            </w:r>
            <w:r>
              <w:rPr>
                <w:i w:val="0"/>
              </w:rPr>
              <w:t xml:space="preserve"> </w:t>
            </w:r>
            <w:r w:rsidRPr="00031A85">
              <w:rPr>
                <w:i w:val="0"/>
              </w:rPr>
              <w:t>917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813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4</w:t>
            </w:r>
            <w:r>
              <w:rPr>
                <w:i w:val="0"/>
              </w:rPr>
              <w:t xml:space="preserve"> </w:t>
            </w:r>
            <w:r w:rsidRPr="00031A85">
              <w:rPr>
                <w:i w:val="0"/>
              </w:rPr>
              <w:t>711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132</w:t>
            </w:r>
            <w:r>
              <w:rPr>
                <w:i w:val="0"/>
              </w:rPr>
              <w:t xml:space="preserve"> </w:t>
            </w:r>
            <w:r w:rsidRPr="00031A85">
              <w:rPr>
                <w:i w:val="0"/>
              </w:rPr>
              <w:t>442</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92</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624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557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4</w:t>
            </w:r>
            <w:r>
              <w:rPr>
                <w:i w:val="0"/>
              </w:rPr>
              <w:t xml:space="preserve"> </w:t>
            </w:r>
            <w:r w:rsidRPr="00031A85">
              <w:rPr>
                <w:i w:val="0"/>
              </w:rPr>
              <w:t>934</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6</w:t>
            </w:r>
            <w:r>
              <w:rPr>
                <w:i w:val="0"/>
              </w:rPr>
              <w:t xml:space="preserve"> </w:t>
            </w:r>
            <w:r w:rsidRPr="00031A85">
              <w:rPr>
                <w:i w:val="0"/>
              </w:rPr>
              <w:t>115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4</w:t>
            </w:r>
            <w:r>
              <w:rPr>
                <w:i w:val="0"/>
              </w:rPr>
              <w:t xml:space="preserve"> </w:t>
            </w:r>
            <w:r w:rsidRPr="00031A85">
              <w:rPr>
                <w:i w:val="0"/>
              </w:rPr>
              <w:t>766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60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4</w:t>
            </w:r>
            <w:r>
              <w:rPr>
                <w:i w:val="0"/>
              </w:rPr>
              <w:t xml:space="preserve"> </w:t>
            </w:r>
            <w:r w:rsidRPr="00031A85">
              <w:rPr>
                <w:i w:val="0"/>
              </w:rPr>
              <w:t>830</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Comité des régions</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102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89</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Cour des comptes</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147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136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92</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Cour de justice</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401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351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370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92</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23</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Comité économique et social européen</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145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119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129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89</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4</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Conseil européen et Conseil</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636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457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515</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81</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62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23</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86</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35</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Contrôleur européen de la protection des données</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10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84</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Service européen pour l’action extérieure</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968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557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185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816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84</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62</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139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Parlement européen</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sidRPr="00031A85">
              <w:rPr>
                <w:i w:val="0"/>
              </w:rPr>
              <w:t>2</w:t>
            </w:r>
            <w:r>
              <w:rPr>
                <w:i w:val="0"/>
              </w:rPr>
              <w:t xml:space="preserve"> </w:t>
            </w:r>
            <w:r w:rsidRPr="00031A85">
              <w:rPr>
                <w:i w:val="0"/>
              </w:rPr>
              <w:t>262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1</w:t>
            </w:r>
            <w:r>
              <w:rPr>
                <w:i w:val="0"/>
              </w:rPr>
              <w:t xml:space="preserve"> </w:t>
            </w:r>
            <w:r w:rsidRPr="00031A85">
              <w:rPr>
                <w:i w:val="0"/>
              </w:rPr>
              <w:t>539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1</w:t>
            </w:r>
            <w:r>
              <w:rPr>
                <w:i w:val="0"/>
              </w:rPr>
              <w:t xml:space="preserve"> </w:t>
            </w:r>
            <w:r w:rsidRPr="00031A85">
              <w:rPr>
                <w:i w:val="0"/>
              </w:rPr>
              <w:t>900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84</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40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325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21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36</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Médiateur</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w:t>
            </w:r>
            <w:r w:rsidRPr="00031A85">
              <w:rPr>
                <w:i w:val="0"/>
              </w:rPr>
              <w:t>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sidRPr="00031A85">
              <w:rPr>
                <w:i w:val="0"/>
              </w:rPr>
              <w:t>86</w:t>
            </w:r>
            <w:r>
              <w:rPr>
                <w:i w:val="0"/>
              </w:rPr>
              <w:t>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w:t>
            </w:r>
            <w:r w:rsidRPr="00031A85">
              <w:rPr>
                <w:i w:val="0"/>
              </w:rPr>
              <w:t>1</w:t>
            </w:r>
          </w:p>
        </w:tc>
      </w:tr>
      <w:tr w:rsidR="005B4EEC" w:rsidTr="00FB0C75">
        <w:trPr>
          <w:trHeight w:val="244"/>
        </w:trPr>
        <w:tc>
          <w:tcPr>
            <w:tcW w:w="191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7pBoldLeft"/>
              <w:rPr>
                <w:rFonts w:eastAsia="Verdana" w:cs="Verdana"/>
                <w:szCs w:val="14"/>
              </w:rPr>
            </w:pPr>
            <w:r>
              <w:t>Total</w:t>
            </w:r>
          </w:p>
        </w:tc>
        <w:tc>
          <w:tcPr>
            <w:tcW w:w="11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148</w:t>
            </w:r>
            <w:r>
              <w:t xml:space="preserve"> </w:t>
            </w:r>
            <w:r w:rsidRPr="00031A85">
              <w:t>069</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130</w:t>
            </w:r>
            <w:r>
              <w:t xml:space="preserve"> </w:t>
            </w:r>
            <w:r w:rsidRPr="00031A85">
              <w:t>164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1</w:t>
            </w:r>
            <w:r>
              <w:t xml:space="preserve"> </w:t>
            </w:r>
            <w:r w:rsidRPr="00031A85">
              <w:t>236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5</w:t>
            </w:r>
            <w:r>
              <w:t xml:space="preserve"> </w:t>
            </w:r>
            <w:r w:rsidRPr="00031A85">
              <w:t>016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136</w:t>
            </w:r>
            <w:r>
              <w:t xml:space="preserve"> </w:t>
            </w:r>
            <w:r w:rsidRPr="00031A85">
              <w:t>416</w:t>
            </w:r>
          </w:p>
        </w:tc>
        <w:tc>
          <w:tcPr>
            <w:tcW w:w="70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92</w:t>
            </w:r>
            <w:r>
              <w:t> %</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1</w:t>
            </w:r>
            <w:r>
              <w:t xml:space="preserve"> </w:t>
            </w:r>
            <w:r w:rsidRPr="00031A85">
              <w:t>098</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w:t>
            </w:r>
            <w:r w:rsidRPr="00031A85">
              <w:t>557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5</w:t>
            </w:r>
            <w:r>
              <w:t xml:space="preserve"> </w:t>
            </w:r>
            <w:r w:rsidRPr="00031A85">
              <w:t>062</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6</w:t>
            </w:r>
            <w:r>
              <w:t xml:space="preserve"> </w:t>
            </w:r>
            <w:r w:rsidRPr="00031A85">
              <w:t>717</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4</w:t>
            </w:r>
            <w:r>
              <w:t xml:space="preserve"> </w:t>
            </w:r>
            <w:r w:rsidRPr="00031A85">
              <w:t>823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w:t>
            </w:r>
            <w:r w:rsidRPr="00031A85">
              <w:t>109</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w:t>
            </w:r>
            <w:r w:rsidRPr="00031A85">
              <w:t>3</w:t>
            </w:r>
          </w:p>
        </w:tc>
        <w:tc>
          <w:tcPr>
            <w:tcW w:w="10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rsidRPr="00031A85">
              <w:t>4</w:t>
            </w:r>
            <w:r>
              <w:t xml:space="preserve"> </w:t>
            </w:r>
            <w:r w:rsidRPr="00031A85">
              <w:t>936</w:t>
            </w:r>
          </w:p>
        </w:tc>
      </w:tr>
      <w:bookmarkEnd w:id="687"/>
    </w:tbl>
    <w:p w:rsidR="00FB0C75" w:rsidRPr="00750827" w:rsidRDefault="00FB0C75" w:rsidP="00FB0C75">
      <w:pPr>
        <w:rPr>
          <w:rFonts w:ascii="Verdana"/>
          <w:i/>
          <w:sz w:val="14"/>
          <w:szCs w:val="14"/>
        </w:rPr>
        <w:sectPr w:rsidR="00FB0C75" w:rsidRPr="00750827" w:rsidSect="00FB0C75">
          <w:headerReference w:type="even" r:id="rId601"/>
          <w:headerReference w:type="default" r:id="rId602"/>
          <w:footerReference w:type="even" r:id="rId603"/>
          <w:footerReference w:type="default" r:id="rId604"/>
          <w:headerReference w:type="first" r:id="rId605"/>
          <w:footerReference w:type="first" r:id="rId606"/>
          <w:type w:val="nextColumn"/>
          <w:pgSz w:w="16840" w:h="11907" w:orient="landscape" w:code="9"/>
          <w:pgMar w:top="1134" w:right="1134" w:bottom="1134" w:left="1134" w:header="709" w:footer="709" w:gutter="0"/>
          <w:cols w:space="708"/>
          <w:docGrid w:linePitch="360"/>
        </w:sectPr>
      </w:pPr>
    </w:p>
    <w:p w:rsidR="00FB0C75" w:rsidRDefault="00525E53" w:rsidP="00FB0C75">
      <w:pPr>
        <w:pStyle w:val="HEADER1Part3"/>
        <w:numPr>
          <w:ilvl w:val="0"/>
          <w:numId w:val="1"/>
        </w:numPr>
        <w:ind w:left="907" w:hanging="907"/>
        <w:rPr>
          <w:rFonts w:cs="Verdana"/>
          <w:bCs/>
        </w:rPr>
      </w:pPr>
      <w:bookmarkStart w:id="694" w:name="_Toc485391802"/>
      <w:bookmarkStart w:id="695" w:name="_Toc491681468"/>
      <w:bookmarkStart w:id="696" w:name="_DMBM_10645"/>
      <w:r>
        <w:t>EXÉCUTION DU BUDGET DES AGENCES</w:t>
      </w:r>
      <w:bookmarkEnd w:id="694"/>
      <w:bookmarkEnd w:id="695"/>
    </w:p>
    <w:p w:rsidR="00FB0C75" w:rsidRPr="00F7059F" w:rsidRDefault="00525E53" w:rsidP="00FB0C75">
      <w:pPr>
        <w:pStyle w:val="HEADER2Part3"/>
        <w:numPr>
          <w:ilvl w:val="1"/>
          <w:numId w:val="1"/>
        </w:numPr>
        <w:spacing w:after="0"/>
        <w:ind w:left="907" w:hanging="907"/>
        <w:rPr>
          <w:rFonts w:cs="Verdana"/>
          <w:bCs/>
        </w:rPr>
      </w:pPr>
      <w:bookmarkStart w:id="697" w:name="_Toc485391803"/>
      <w:bookmarkStart w:id="698" w:name="_Toc491681469"/>
      <w:r>
        <w:t>RECETTES BUDGÉTAIRES</w:t>
      </w:r>
      <w:bookmarkEnd w:id="697"/>
      <w:bookmarkEnd w:id="698"/>
    </w:p>
    <w:p w:rsidR="00FB0C75" w:rsidRDefault="00FB0C75" w:rsidP="00FB0C75">
      <w:pPr>
        <w:spacing w:line="200" w:lineRule="atLeast"/>
        <w:rPr>
          <w:rFonts w:ascii="Verdana" w:eastAsia="Verdana" w:hAnsi="Verdana" w:cs="Verdana"/>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1599"/>
        <w:gridCol w:w="1725"/>
        <w:gridCol w:w="1753"/>
      </w:tblGrid>
      <w:tr w:rsidR="005B4EEC" w:rsidTr="00FB0C75">
        <w:trPr>
          <w:trHeight w:val="268"/>
          <w:tblHeader/>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en Mio EUR</w:t>
            </w:r>
          </w:p>
        </w:tc>
      </w:tr>
      <w:tr w:rsidR="005B4EEC" w:rsidTr="00FB0C75">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t>Agence</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Domaine politique — financement Commission</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Budget définitif adopté</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Montants reçus</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de coopération des régulateurs de l’énergie - ACER</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Organe des régulateurs européens des communications électroniques - ORECE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Office communautaire des variétés végétales - OCVV</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pour les consommateurs, la santé, l’agriculture et l’alimentation - Chafea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«Éducation, audiovisuel et culture» - EACEA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pour la sécurité et la santé au travail - EU-OSHA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pour la gestion opérationnelle des systèmes d’information à grande échelle au sein de l’espace de liberté, de sécurité et de justice - eu-LISA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80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97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Bureau européen d’appui en matière d’asile - EASO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de la sécurité aérienne - AESA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193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140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Autorité bancaire européenne - ABE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de garde-frontières et de garde-côtes - Frontex</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233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252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Centre européen de prévention et de contrôle des maladies - ECDC</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Centre européen pour le développement de la formation professionnelle - Cedefop</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des produits chimiques - ECHA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pour l’environnement - AEE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de contrôle des pêches - AECP</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11</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 xml:space="preserve">Autorité européenne de sécurité des aliments - EFSA </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Fondation européenne pour l’amélioration des conditions de vie et de travail - Eurofound</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du GNSS européen</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Institut européen pour l’égalité entre les hommes et les femmes - EIGE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Institut européen d’innovation et de technologie - EIT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264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264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Autorité européenne des assurances et des pensions professionnelles - AEAPP</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pour la sécurité maritime - AESM</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européenne des médicaments - EMA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308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Observatoire européen des drogues et des toxicomanies - OEDT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Office européen de police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117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du Conseil européen de la recherche - ERCEA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Autorité européenne des marchés financiers - AEMF</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Fondation européenne pour la formation - ETF</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des droits fondamentaux de l’Union européenne - FRA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de l'Union européenne pour la formation des services répressifs - CEPOL</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de l’Union européenne chargée de la sécurité des réseaux et de l’information - ENISA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11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de l'Union européenne pour les chemins de fer</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Office de l'Union européenne pour la propriété intellectuelle - OUEPI</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231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Unité de coopération judiciaire de l’Union européenne - Eurojust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33</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pour les petites et moyennes entreprises - EASME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36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Fusion for Energy - F</w:t>
            </w:r>
            <w:r w:rsidRPr="00031A85">
              <w:rPr>
                <w:i w:val="0"/>
              </w:rPr>
              <w:t>4</w:t>
            </w:r>
            <w:r>
              <w:rPr>
                <w:i w:val="0"/>
              </w:rPr>
              <w:t>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724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pour l’innovation et les réseaux - INEA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Agence exécutive pour la recherche - REA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60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60</w:t>
            </w:r>
          </w:p>
        </w:tc>
      </w:tr>
      <w:tr w:rsidR="005B4EEC" w:rsidTr="0065302B">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Centre de traduction des organes de l’Union européenne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031A85">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51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031A85">
              <w:rPr>
                <w:i w:val="0"/>
              </w:rPr>
              <w:t>42</w:t>
            </w:r>
          </w:p>
        </w:tc>
      </w:tr>
      <w:tr w:rsidR="005B4EEC" w:rsidTr="0065302B">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Text9pItalicLeft"/>
              <w:rPr>
                <w:rFonts w:cs="Verdana"/>
                <w:b/>
                <w:i w:val="0"/>
              </w:rPr>
            </w:pPr>
            <w:r>
              <w:rPr>
                <w:b/>
                <w:i w:val="0"/>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FB0C75" w:rsidP="00FB0C75">
            <w:pPr>
              <w:pStyle w:val="Text9pItalicCentered"/>
              <w:rPr>
                <w:rFonts w:cs="Verdana"/>
                <w:b/>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sidRPr="00031A85">
              <w:rPr>
                <w:b/>
                <w:i w:val="0"/>
              </w:rPr>
              <w:t>3</w:t>
            </w:r>
            <w:r>
              <w:rPr>
                <w:b/>
                <w:i w:val="0"/>
              </w:rPr>
              <w:t xml:space="preserve"> </w:t>
            </w:r>
            <w:r w:rsidRPr="00031A85">
              <w:rPr>
                <w:b/>
                <w:i w:val="0"/>
              </w:rPr>
              <w:t>377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sidRPr="00031A85">
              <w:rPr>
                <w:b/>
                <w:i w:val="0"/>
              </w:rPr>
              <w:t>3</w:t>
            </w:r>
            <w:r>
              <w:rPr>
                <w:b/>
                <w:i w:val="0"/>
              </w:rPr>
              <w:t xml:space="preserve"> </w:t>
            </w:r>
            <w:r w:rsidRPr="00031A85">
              <w:rPr>
                <w:b/>
                <w:i w:val="0"/>
              </w:rPr>
              <w:t>389</w:t>
            </w:r>
          </w:p>
        </w:tc>
      </w:tr>
    </w:tbl>
    <w:p w:rsidR="00FB0C75" w:rsidRPr="006A2C3E" w:rsidRDefault="00FB0C75" w:rsidP="00FB0C75">
      <w:pPr>
        <w:spacing w:line="200" w:lineRule="atLeast"/>
        <w:rPr>
          <w:rFonts w:ascii="Verdana" w:eastAsia="Verdana" w:hAnsi="Verdana" w:cs="Verdana"/>
        </w:rPr>
      </w:pPr>
    </w:p>
    <w:p w:rsidR="00FB0C75" w:rsidRPr="006A2C3E" w:rsidRDefault="00FB0C75" w:rsidP="00FB0C75">
      <w:pPr>
        <w:spacing w:line="200" w:lineRule="atLeast"/>
        <w:rPr>
          <w:rFonts w:ascii="Verdana" w:eastAsia="Verdana" w:hAnsi="Verdana" w:cs="Verdana"/>
        </w:rPr>
      </w:pPr>
    </w:p>
    <w:p w:rsidR="00FB0C75" w:rsidRPr="006A2C3E" w:rsidRDefault="00FB0C75" w:rsidP="00FB0C75">
      <w:pPr>
        <w:spacing w:line="200" w:lineRule="atLeast"/>
        <w:rPr>
          <w:rFonts w:ascii="Verdana" w:eastAsia="Verdana" w:hAnsi="Verdana" w:cs="Verdan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r>
              <w:t>Catégorie de recettes</w:t>
            </w: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Budget définitif adopté</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Montants reçus</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Subvention de la Commission</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w:t>
            </w:r>
            <w:r>
              <w:rPr>
                <w:i w:val="0"/>
              </w:rPr>
              <w:t xml:space="preserve"> </w:t>
            </w:r>
            <w:r w:rsidRPr="00031A85">
              <w:rPr>
                <w:i w:val="0"/>
              </w:rPr>
              <w:t>524</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w:t>
            </w:r>
            <w:r>
              <w:rPr>
                <w:i w:val="0"/>
              </w:rPr>
              <w:t xml:space="preserve"> </w:t>
            </w:r>
            <w:r w:rsidRPr="00031A85">
              <w:rPr>
                <w:i w:val="0"/>
              </w:rPr>
              <w:t>540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Redevances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642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w:t>
            </w:r>
            <w:r w:rsidRPr="00031A85">
              <w:rPr>
                <w:i w:val="0"/>
              </w:rPr>
              <w:t>638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Autres recettes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w:t>
            </w:r>
            <w:r>
              <w:rPr>
                <w:i w:val="0"/>
              </w:rPr>
              <w:t xml:space="preserve"> </w:t>
            </w:r>
            <w:r w:rsidRPr="00031A85">
              <w:rPr>
                <w:i w:val="0"/>
              </w:rPr>
              <w:t>211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sidRPr="00031A85">
              <w:rPr>
                <w:i w:val="0"/>
              </w:rPr>
              <w:t>1</w:t>
            </w:r>
            <w:r>
              <w:rPr>
                <w:i w:val="0"/>
              </w:rPr>
              <w:t xml:space="preserve"> </w:t>
            </w:r>
            <w:r w:rsidRPr="00031A85">
              <w:rPr>
                <w:i w:val="0"/>
              </w:rPr>
              <w:t>211</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3</w:t>
            </w:r>
            <w:r>
              <w:t xml:space="preserve"> </w:t>
            </w:r>
            <w:r w:rsidRPr="00031A85">
              <w:t>377</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3</w:t>
            </w:r>
            <w:r>
              <w:t xml:space="preserve"> </w:t>
            </w:r>
            <w:r w:rsidRPr="00031A85">
              <w:t>389</w:t>
            </w:r>
          </w:p>
        </w:tc>
      </w:tr>
    </w:tbl>
    <w:p w:rsidR="00FB0C75" w:rsidRDefault="00525E53" w:rsidP="00FB0C75">
      <w:pPr>
        <w:pStyle w:val="DGTextstand-alone"/>
      </w:pPr>
      <w:r>
        <w:br w:type="page"/>
      </w:r>
    </w:p>
    <w:p w:rsidR="00FB0C75" w:rsidRDefault="00525E53" w:rsidP="00FB0C75">
      <w:pPr>
        <w:pStyle w:val="HEADER2Part3"/>
        <w:numPr>
          <w:ilvl w:val="1"/>
          <w:numId w:val="1"/>
        </w:numPr>
        <w:spacing w:after="0"/>
        <w:ind w:left="907" w:hanging="907"/>
      </w:pPr>
      <w:bookmarkStart w:id="699" w:name="_Toc485391804"/>
      <w:bookmarkStart w:id="700" w:name="_Toc491681470"/>
      <w:r>
        <w:t>CRÉDITS D’ENGAGEMENT ET DE PAIEMENT PAR AGENCE</w:t>
      </w:r>
      <w:bookmarkEnd w:id="699"/>
      <w:bookmarkEnd w:id="700"/>
    </w:p>
    <w:p w:rsidR="00FB0C75" w:rsidRPr="00AB39D2" w:rsidRDefault="00FB0C75" w:rsidP="00FB0C75">
      <w:pPr>
        <w:ind w:right="-7"/>
        <w:jc w:val="right"/>
        <w:rPr>
          <w:rFonts w:ascii="Verdana" w:eastAsia="Verdana" w:hAnsi="Verdana" w:cs="Verdana"/>
          <w:sz w:val="14"/>
          <w:szCs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rPr>
          <w:tblHeader/>
        </w:trPr>
        <w:tc>
          <w:tcPr>
            <w:tcW w:w="379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en Mio EUR</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Crédits d’engagement</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Crédits de paiement</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Left"/>
              <w:rPr>
                <w:rFonts w:eastAsia="Verdana" w:cs="Verdana"/>
              </w:rPr>
            </w:pPr>
            <w:r>
              <w:t>Agence</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 xml:space="preserve">Total des crédits disponibles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Engagements contractés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 xml:space="preserve">Total des crédits disponibles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Paiements exécutés</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de coopération des régulateurs de l’énergie - ACER</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Organe des régulateurs européens des communications électroniques - ORECE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Office communautaire des variétés végétales - OCVV</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pour les consommateurs, la santé, l’agriculture et l’alimentation - Chafea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«Éducation, audiovisuel et culture» - EACEA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47</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pour la sécurité et la santé au travail - EU-OSHA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pour la gestion opérationnelle des systèmes d’information à grande échelle au sein de l’espace de liberté, de sécurité et de justice - eu-LISA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Bureau européen d’appui en matière d’asile - EASO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de la sécurité aérienne - AESA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144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Autorité bancaire européenne - ABE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de garde-frontières et de garde-côtes - Frontex</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256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300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199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Centre européen de prévention et de contrôle des maladies - ECDC</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Centre européen pour le développement de la formation professionnelle - Cedefop</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des produits chimiques - ECHA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pour l’environnement - AEE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de contrôle des pêches - AECP</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 xml:space="preserve">Autorité européenne de sécurité des aliments - EFSA </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Fondation européenne pour l’amélioration des conditions de vie et de travail - Eurofound</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du GNSS européen</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3</w:t>
            </w:r>
            <w:r>
              <w:t xml:space="preserve"> </w:t>
            </w:r>
            <w:r w:rsidRPr="00031A85">
              <w:t>331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xml:space="preserve"> </w:t>
            </w:r>
            <w:r w:rsidRPr="00031A85">
              <w:t>104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Institut européen pour l’égalité entre les hommes et les femmes - EIGE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Institut européen d’innovation et de technologie - EIT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267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265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Autorité européenne des assurances et des pensions professionnelles - AEAPP</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pour la sécurité maritime - AESM</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82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européenne des médicaments - EMA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314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301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Observatoire européen des drogues et des toxicomanies - OEDT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Office européen de police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133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du Conseil européen de la recherche - ERCEA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43</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Autorité européenne des marchés financiers - AEMF</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Fondation européenne pour la formation - ETF</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des droits fondamentaux de l’Union européenne - FRA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de l'Union européenne pour la formation des services répressifs - CEPOL</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de l’Union européenne chargée de la sécurité des réseaux et de l’information - ENISA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10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de l'Union européenne pour les chemins de fer</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Office de l'Union européenne pour la propriété intellectuelle - OUEPI</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450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238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214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Unité de coopération judiciaire de l’Union européenne - Eurojust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pour les petites et moyennes entreprises - EASME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36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Fusion for Energy - F</w:t>
            </w:r>
            <w:r w:rsidRPr="00031A85">
              <w:t>4</w:t>
            </w:r>
            <w:r>
              <w:t>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764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716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pour l’innovation et les réseaux - INEA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Agence exécutive pour la recherche - REA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63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Centre de traduction des organes de l’Union européenne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w:t>
            </w:r>
            <w:r w:rsidRPr="00031A85">
              <w:t>46</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6</w:t>
            </w:r>
            <w:r>
              <w:t xml:space="preserve"> </w:t>
            </w:r>
            <w:r w:rsidRPr="00031A85">
              <w:t>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4</w:t>
            </w:r>
            <w:r>
              <w:t xml:space="preserve"> </w:t>
            </w:r>
            <w:r w:rsidRPr="00031A85">
              <w:t>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4</w:t>
            </w:r>
            <w:r>
              <w:t xml:space="preserve"> </w:t>
            </w:r>
            <w:r w:rsidRPr="00031A85">
              <w:t>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rsidRPr="00031A85">
              <w:t>3</w:t>
            </w:r>
            <w:r>
              <w:t xml:space="preserve"> </w:t>
            </w:r>
            <w:r w:rsidRPr="00031A85">
              <w:t>169</w:t>
            </w:r>
          </w:p>
        </w:tc>
      </w:tr>
    </w:tbl>
    <w:p w:rsidR="00FB0C75" w:rsidRDefault="00FB0C75" w:rsidP="00FB0C75">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3C3832" w:rsidRDefault="00525E53" w:rsidP="00FB0C75">
            <w:pPr>
              <w:pStyle w:val="Text8pItalicRight025EUR"/>
              <w:rPr>
                <w:rFonts w:eastAsia="Verdana" w:cs="Verdana"/>
              </w:rPr>
            </w:pPr>
            <w:r>
              <w:t>en Mio EUR</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FB0C75" w:rsidP="00FB0C75">
            <w:pPr>
              <w:pStyle w:val="Heading9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Crédits d’engagement</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Crédits de paiement</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Left"/>
              <w:rPr>
                <w:rFonts w:eastAsia="Verdana" w:cs="Verdana"/>
              </w:rPr>
            </w:pPr>
            <w:r>
              <w:t>Type de dépenses</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 xml:space="preserve">Total des crédits disponibles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Engagements contractés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 xml:space="preserve">Total des crédits disponibles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Paiements exécutés</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Personnel</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w:t>
            </w:r>
            <w:r w:rsidRPr="00031A85">
              <w:t>054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w:t>
            </w:r>
            <w:r w:rsidRPr="00031A85">
              <w:t>033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w:t>
            </w:r>
            <w:r w:rsidRPr="00031A85">
              <w:t>069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w:t>
            </w:r>
            <w:r w:rsidRPr="00031A85">
              <w:t>029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Dépenses administratives</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367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341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431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330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Dépenses opérationnelles</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5</w:t>
            </w:r>
            <w:r>
              <w:t> </w:t>
            </w:r>
            <w:r w:rsidRPr="00031A85">
              <w:t>505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2</w:t>
            </w:r>
            <w:r>
              <w:t> </w:t>
            </w:r>
            <w:r w:rsidRPr="00031A85">
              <w:t>956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2</w:t>
            </w:r>
            <w:r>
              <w:t> </w:t>
            </w:r>
            <w:r w:rsidRPr="00031A85">
              <w:t>875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rsidRPr="00031A85">
              <w:t>1</w:t>
            </w:r>
            <w:r>
              <w:t> </w:t>
            </w:r>
            <w:r w:rsidRPr="00031A85">
              <w:t>811</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rsidRPr="00031A85">
              <w:t>6</w:t>
            </w:r>
            <w:r>
              <w:t xml:space="preserve"> </w:t>
            </w:r>
            <w:r w:rsidRPr="00031A85">
              <w:t>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rsidRPr="00031A85">
              <w:t>4</w:t>
            </w:r>
            <w:r>
              <w:t xml:space="preserve"> </w:t>
            </w:r>
            <w:r w:rsidRPr="00031A85">
              <w:t>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rsidRPr="00031A85">
              <w:t>4</w:t>
            </w:r>
            <w:r>
              <w:t xml:space="preserve"> </w:t>
            </w:r>
            <w:r w:rsidRPr="00031A85">
              <w:t>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rsidRPr="00031A85">
              <w:t>3</w:t>
            </w:r>
            <w:r>
              <w:t xml:space="preserve"> </w:t>
            </w:r>
            <w:r w:rsidRPr="00031A85">
              <w:t>169</w:t>
            </w:r>
          </w:p>
        </w:tc>
      </w:tr>
      <w:bookmarkEnd w:id="696"/>
    </w:tbl>
    <w:p w:rsidR="00FB0C75" w:rsidRPr="003C3832" w:rsidRDefault="00FB0C75" w:rsidP="00FB0C75">
      <w:pPr>
        <w:pStyle w:val="DGTextstand-alone"/>
      </w:pPr>
    </w:p>
    <w:p w:rsidR="00FB0C75" w:rsidRDefault="00FB0C75" w:rsidP="00FB0C75">
      <w:pPr>
        <w:pStyle w:val="FIRSTCHAPTERPAGE"/>
        <w:sectPr w:rsidR="00FB0C75" w:rsidSect="00FB0C75">
          <w:headerReference w:type="even" r:id="rId607"/>
          <w:headerReference w:type="default" r:id="rId608"/>
          <w:footerReference w:type="even" r:id="rId609"/>
          <w:footerReference w:type="default" r:id="rId610"/>
          <w:headerReference w:type="first" r:id="rId611"/>
          <w:footerReference w:type="first" r:id="rId612"/>
          <w:pgSz w:w="12240" w:h="15840"/>
          <w:pgMar w:top="1134" w:right="1134" w:bottom="1134" w:left="1134" w:header="709" w:footer="709" w:gutter="0"/>
          <w:cols w:space="708"/>
          <w:docGrid w:linePitch="360"/>
        </w:sectPr>
      </w:pPr>
    </w:p>
    <w:p w:rsidR="00FB0C75" w:rsidRPr="003C68EC" w:rsidRDefault="00525E53" w:rsidP="00FB0C75">
      <w:pPr>
        <w:pStyle w:val="FIRSTCHAPTERPAGE"/>
      </w:pPr>
      <w:bookmarkStart w:id="701" w:name="_Toc491678766"/>
      <w:r>
        <w:t>GLOSSAIRE</w:t>
      </w:r>
      <w:bookmarkEnd w:id="621"/>
      <w:bookmarkEnd w:id="701"/>
    </w:p>
    <w:p w:rsidR="00033DEC" w:rsidRPr="00A60D80" w:rsidRDefault="00033DEC" w:rsidP="00033DEC">
      <w:pPr>
        <w:pStyle w:val="Textstand-alone"/>
        <w:spacing w:after="0"/>
        <w:rPr>
          <w:color w:val="016794"/>
        </w:rPr>
      </w:pPr>
      <w:r>
        <w:rPr>
          <w:color w:val="016794"/>
        </w:rPr>
        <w:t>Actifs financiers disponibles à la vente</w:t>
      </w:r>
    </w:p>
    <w:p w:rsidR="00033DEC" w:rsidRDefault="00033DEC" w:rsidP="00033DEC">
      <w:pPr>
        <w:pStyle w:val="DGTextstand-alone"/>
        <w:spacing w:before="120"/>
      </w:pPr>
      <w:r>
        <w:t>Tous les actifs financiers (à l’exception des dérivés) qui, conformément aux normes comptables admises au niveau international pour le secteur public, sont évalués à la juste valeur et dont les variations de la juste valeur doivent être comptabilisées dans une réserve en actifs nets jusqu’à leur décomptabilisation (ou leur dépréciation).</w:t>
      </w:r>
    </w:p>
    <w:p w:rsidR="00033DEC" w:rsidRPr="008A6DB6" w:rsidRDefault="00033DEC" w:rsidP="00033DEC">
      <w:pPr>
        <w:pStyle w:val="Textstand-alone"/>
        <w:spacing w:after="0"/>
        <w:rPr>
          <w:color w:val="016794"/>
        </w:rPr>
      </w:pPr>
      <w:r>
        <w:rPr>
          <w:color w:val="016794"/>
        </w:rPr>
        <w:t>Actifs ou passifs financiers à la juste valeur par le biais de l’excédent ou du déficit</w:t>
      </w:r>
    </w:p>
    <w:p w:rsidR="00033DEC" w:rsidRDefault="00033DEC" w:rsidP="00033DEC">
      <w:pPr>
        <w:pStyle w:val="DGTextstand-alone"/>
        <w:spacing w:before="120"/>
      </w:pPr>
      <w:r>
        <w:t>Tous les actifs ou passifs financiers qui, conformément aux normes comptables admises au niveau international pour le secteur public, sont évalués à la juste valeur et dont les variations de la juste valeur doivent être comptabilisées en excédent ou en déficit sur la période (c’est-à-dire les dérivés).</w:t>
      </w:r>
    </w:p>
    <w:p w:rsidR="00033DEC" w:rsidRPr="000E1F2D" w:rsidRDefault="00033DEC" w:rsidP="00033DEC">
      <w:pPr>
        <w:pStyle w:val="Textstand-alone"/>
        <w:spacing w:after="0"/>
        <w:rPr>
          <w:color w:val="016794"/>
        </w:rPr>
      </w:pPr>
      <w:r>
        <w:rPr>
          <w:color w:val="016794"/>
        </w:rPr>
        <w:t>Annulation de crédits</w:t>
      </w:r>
    </w:p>
    <w:p w:rsidR="00033DEC" w:rsidRDefault="00033DEC" w:rsidP="00033DEC">
      <w:pPr>
        <w:pStyle w:val="DGTextstand-alone"/>
        <w:spacing w:before="120"/>
      </w:pPr>
      <w:r>
        <w:t>Concerne les crédits inutilisés qui ne peuvent plus servir.</w:t>
      </w:r>
    </w:p>
    <w:p w:rsidR="00033DEC" w:rsidRPr="00527D22" w:rsidRDefault="00033DEC" w:rsidP="00033DEC">
      <w:pPr>
        <w:pStyle w:val="Textstand-alone"/>
        <w:spacing w:after="0"/>
        <w:rPr>
          <w:color w:val="016794"/>
        </w:rPr>
      </w:pPr>
      <w:r>
        <w:rPr>
          <w:color w:val="016794"/>
        </w:rPr>
        <w:t>Budget adopté</w:t>
      </w:r>
    </w:p>
    <w:p w:rsidR="00033DEC" w:rsidRPr="009C1EA6" w:rsidRDefault="00033DEC" w:rsidP="00033DEC">
      <w:pPr>
        <w:pStyle w:val="DGTextstand-alone"/>
        <w:spacing w:before="120"/>
      </w:pPr>
      <w:r>
        <w:t>Le projet de budget devient le budget adopté dès qu'il est approuvé par l’autorité budgétaire.</w:t>
      </w:r>
    </w:p>
    <w:p w:rsidR="00033DEC" w:rsidRPr="00527D22" w:rsidRDefault="00033DEC" w:rsidP="00033DEC">
      <w:pPr>
        <w:pStyle w:val="Textstand-alone"/>
        <w:spacing w:after="0"/>
        <w:rPr>
          <w:color w:val="016794"/>
        </w:rPr>
      </w:pPr>
      <w:r>
        <w:rPr>
          <w:color w:val="016794"/>
        </w:rPr>
        <w:t>Budget rectificatif</w:t>
      </w:r>
    </w:p>
    <w:p w:rsidR="00033DEC" w:rsidRDefault="00033DEC" w:rsidP="00033DEC">
      <w:pPr>
        <w:pStyle w:val="DGTextstand-alone"/>
        <w:spacing w:before="120"/>
      </w:pPr>
      <w:r>
        <w:t>Décision adoptée en cours d’exercice afin de modifier (augmenter, diminuer ou transférer) des éléments du budget adopté pour l’exercice en question.</w:t>
      </w:r>
    </w:p>
    <w:p w:rsidR="00033DEC" w:rsidRPr="00527D22" w:rsidRDefault="00033DEC" w:rsidP="00033DEC">
      <w:pPr>
        <w:pStyle w:val="Textstand-alone"/>
        <w:spacing w:after="0"/>
        <w:rPr>
          <w:color w:val="016794"/>
        </w:rPr>
      </w:pPr>
      <w:r>
        <w:rPr>
          <w:color w:val="016794"/>
        </w:rPr>
        <w:t>Correction financière</w:t>
      </w:r>
    </w:p>
    <w:p w:rsidR="00033DEC" w:rsidRDefault="00033DEC" w:rsidP="00033DEC">
      <w:pPr>
        <w:pStyle w:val="DGTextstand-alone"/>
        <w:spacing w:before="120" w:after="60"/>
      </w:pPr>
      <w:r>
        <w:t>Les corrections financières visent à protéger le budget de l'UE contre la charge que représentent les dépenses erronées ou irrégulières. En ce qui concerne les dépenses en gestion partagée, le recouvrement des paiements indus incombe au premier chef à l'État membre.</w:t>
      </w:r>
    </w:p>
    <w:p w:rsidR="00033DEC" w:rsidRDefault="00033DEC" w:rsidP="00033DEC">
      <w:pPr>
        <w:pStyle w:val="DGTextstand-alone"/>
        <w:spacing w:before="0" w:after="0"/>
      </w:pPr>
      <w:r>
        <w:t>Une correction financière est «confirmée» lorsqu'elle a été acceptée par l'État membre concerné. Une correction financière est «décidée» lorsqu'elle a été adoptée par une décision de la Commission exigeant de l'État membre qu'il rembourse les financements irréguliers au budget de l'UE et entraînant une réduction définitive de l'enveloppe qui lui a été allouée. Les corrections décidées sont toujours des corrections nettes. Dans la présente publication, les corrections financières confirmées et décidées sont présentées comme une seule catégorie.</w:t>
      </w:r>
    </w:p>
    <w:p w:rsidR="00033DEC" w:rsidRDefault="00033DEC" w:rsidP="00033DEC">
      <w:pPr>
        <w:pStyle w:val="DGTextstand-alone"/>
        <w:spacing w:before="60"/>
      </w:pPr>
      <w:r>
        <w:t>Une correction financière est «mise en œuvre» lorsqu'elle a permis de corriger l'irrégularité constatée.</w:t>
      </w:r>
    </w:p>
    <w:p w:rsidR="00033DEC" w:rsidRPr="00EC7E27" w:rsidRDefault="00033DEC" w:rsidP="00033DEC">
      <w:pPr>
        <w:pStyle w:val="Textstand-alone"/>
        <w:spacing w:after="0"/>
        <w:rPr>
          <w:color w:val="016794"/>
        </w:rPr>
      </w:pPr>
      <w:r>
        <w:rPr>
          <w:color w:val="016794"/>
        </w:rPr>
        <w:t>Coût des services rendus au cours de la période</w:t>
      </w:r>
    </w:p>
    <w:p w:rsidR="00033DEC" w:rsidRPr="009C1EA6" w:rsidRDefault="00033DEC" w:rsidP="00033DEC">
      <w:pPr>
        <w:pStyle w:val="DGTextstand-alone"/>
        <w:spacing w:before="120"/>
      </w:pPr>
      <w:r>
        <w:t>Hausse du passif d'un régime découlant des services rendus au cours de l’exercice financier.</w:t>
      </w:r>
    </w:p>
    <w:p w:rsidR="00033DEC" w:rsidRPr="00527D22" w:rsidRDefault="00033DEC" w:rsidP="00033DEC">
      <w:pPr>
        <w:pStyle w:val="Textstand-alone"/>
        <w:spacing w:after="0"/>
        <w:rPr>
          <w:color w:val="016794"/>
        </w:rPr>
      </w:pPr>
      <w:r>
        <w:rPr>
          <w:color w:val="016794"/>
        </w:rPr>
        <w:t>Crédits</w:t>
      </w:r>
    </w:p>
    <w:p w:rsidR="00033DEC" w:rsidRDefault="00033DEC" w:rsidP="00033DEC">
      <w:pPr>
        <w:pStyle w:val="DGTextstand-alone"/>
        <w:spacing w:before="120"/>
      </w:pPr>
      <w:r>
        <w:t>Fonds budgétaires. Le budget prévoit à la fois des engagements et des paiements (versements d'espèces ou virements bancaires aux bénéficiaires). Les crédits pour engagements et les crédits pour paiements diffèrent souvent (crédits dissociés) car les programmes et projets pluriannuels sont généralement engagés intégralement pendant l'année où ils sont décidés, et ils donnent lieu à des paiements au fil des années, à mesure que progresse la mise en œuvre du programme ou du projet. Les crédits non dissociés s’appliquent aux dépenses administratives, au soutien aux marchés agricoles et aux paiements directs, les crédits d’engagement étant équivalents aux crédits de paiement.</w:t>
      </w:r>
    </w:p>
    <w:p w:rsidR="00033DEC" w:rsidRPr="00527D22" w:rsidRDefault="00033DEC" w:rsidP="00033DEC">
      <w:pPr>
        <w:pStyle w:val="Textstand-alone"/>
        <w:spacing w:after="0"/>
        <w:rPr>
          <w:color w:val="016794"/>
        </w:rPr>
      </w:pPr>
      <w:r>
        <w:rPr>
          <w:color w:val="016794"/>
        </w:rPr>
        <w:t>Crédits administratifs</w:t>
      </w:r>
    </w:p>
    <w:p w:rsidR="00033DEC" w:rsidRPr="009C1EA6" w:rsidRDefault="00033DEC" w:rsidP="00033DEC">
      <w:pPr>
        <w:pStyle w:val="DGTextstand-alone"/>
        <w:spacing w:before="120"/>
      </w:pPr>
      <w:r>
        <w:t>Les crédits administratifs couvrent les frais de fonctionnement des institutions et des entités (personnel, bâtiments, matériel de bureau).</w:t>
      </w:r>
    </w:p>
    <w:p w:rsidR="00033DEC" w:rsidRDefault="00033DEC" w:rsidP="00033DEC">
      <w:pPr>
        <w:rPr>
          <w:rFonts w:ascii="Verdana" w:hAnsi="Verdana"/>
          <w:noProof/>
          <w:color w:val="016794"/>
          <w:sz w:val="18"/>
          <w:szCs w:val="18"/>
        </w:rPr>
      </w:pPr>
      <w:r>
        <w:rPr>
          <w:color w:val="016794"/>
        </w:rPr>
        <w:br w:type="page"/>
      </w:r>
    </w:p>
    <w:p w:rsidR="00033DEC" w:rsidRPr="000E1F2D" w:rsidRDefault="00033DEC" w:rsidP="00033DEC">
      <w:pPr>
        <w:pStyle w:val="Textstand-alone"/>
        <w:spacing w:after="0"/>
        <w:rPr>
          <w:color w:val="016794"/>
        </w:rPr>
      </w:pPr>
      <w:r>
        <w:rPr>
          <w:color w:val="016794"/>
        </w:rPr>
        <w:t>Crédits d’engagement</w:t>
      </w:r>
    </w:p>
    <w:p w:rsidR="00033DEC" w:rsidRDefault="00033DEC" w:rsidP="00033DEC">
      <w:pPr>
        <w:pStyle w:val="DGTextstand-alone"/>
        <w:spacing w:before="120"/>
      </w:pPr>
      <w:r>
        <w:t>Les crédits d’engagement couvrent le montant total des obligations juridiques (contrats, conventions/décisions de subvention) qui ont pu être signées au cours de l’exercice financier.</w:t>
      </w:r>
    </w:p>
    <w:p w:rsidR="00033DEC" w:rsidRPr="000E1F2D" w:rsidRDefault="00033DEC" w:rsidP="00033DEC">
      <w:pPr>
        <w:pStyle w:val="Textstand-alone"/>
        <w:spacing w:after="0"/>
        <w:rPr>
          <w:color w:val="016794"/>
        </w:rPr>
      </w:pPr>
      <w:r>
        <w:rPr>
          <w:color w:val="016794"/>
        </w:rPr>
        <w:t>Crédits de paiement</w:t>
      </w:r>
    </w:p>
    <w:p w:rsidR="00033DEC" w:rsidRDefault="00033DEC" w:rsidP="00033DEC">
      <w:pPr>
        <w:pStyle w:val="Textstand-alone"/>
        <w:spacing w:after="0"/>
      </w:pPr>
      <w:r>
        <w:t>Les crédits de paiement couvrent les dépenses prévues pour l'exercice en cours qui découlent des engagements juridiques contractés pendant l'exercice en cours et/ou les exercices précédents.</w:t>
      </w:r>
    </w:p>
    <w:p w:rsidR="00033DEC" w:rsidRPr="00B64938" w:rsidRDefault="00033DEC" w:rsidP="00033DEC">
      <w:pPr>
        <w:pStyle w:val="Textstand-alone"/>
        <w:spacing w:after="0"/>
        <w:rPr>
          <w:color w:val="016794"/>
        </w:rPr>
      </w:pPr>
      <w:r>
        <w:rPr>
          <w:color w:val="016794"/>
        </w:rPr>
        <w:t>Crédits tombant en annulation</w:t>
      </w:r>
    </w:p>
    <w:p w:rsidR="00033DEC" w:rsidRDefault="00033DEC" w:rsidP="00033DEC">
      <w:pPr>
        <w:pStyle w:val="DGTextstand-alone"/>
        <w:spacing w:before="120"/>
      </w:pPr>
      <w:r>
        <w:t>Crédits inutilisés à annuler à la clôture de l’exercice. Il s’agit de l’annulation de tout ou partie de l’autorisation, représentée par un crédit, d'effectuer des dépenses et/ou d'assumer des passifs.</w:t>
      </w:r>
    </w:p>
    <w:p w:rsidR="00033DEC" w:rsidRPr="00527D22" w:rsidRDefault="00033DEC" w:rsidP="00033DEC">
      <w:pPr>
        <w:pStyle w:val="Textstand-alone"/>
        <w:spacing w:after="0"/>
        <w:rPr>
          <w:color w:val="016794"/>
        </w:rPr>
      </w:pPr>
      <w:r>
        <w:rPr>
          <w:color w:val="016794"/>
        </w:rPr>
        <w:t>Dégagement</w:t>
      </w:r>
    </w:p>
    <w:p w:rsidR="00033DEC" w:rsidRDefault="00033DEC" w:rsidP="00033DEC">
      <w:pPr>
        <w:pStyle w:val="DGTextstand-alone"/>
        <w:spacing w:before="120"/>
      </w:pPr>
      <w:r>
        <w:t>Acte annulant un engagement antérieur (ou une partie de celui-ci).</w:t>
      </w:r>
    </w:p>
    <w:p w:rsidR="00033DEC" w:rsidRPr="00EC7E27" w:rsidRDefault="00033DEC" w:rsidP="00033DEC">
      <w:pPr>
        <w:pStyle w:val="Textstand-alone"/>
        <w:spacing w:after="0"/>
        <w:rPr>
          <w:color w:val="016794"/>
        </w:rPr>
      </w:pPr>
      <w:r>
        <w:rPr>
          <w:color w:val="016794"/>
        </w:rPr>
        <w:t>Dérivés</w:t>
      </w:r>
    </w:p>
    <w:p w:rsidR="00033DEC" w:rsidRDefault="00033DEC" w:rsidP="00033DEC">
      <w:pPr>
        <w:pStyle w:val="DGTextstand-alone"/>
        <w:spacing w:before="120"/>
      </w:pPr>
      <w:r>
        <w:t>Instruments financiers dont la valeur est liée aux variations de la valeur d’un autre instrument financier, d’un indicateur ou d’une marchandise. Contrairement au porteur d’un instrument financier primaire (par exemple une obligation d’État), qui dispose du droit absolu de recevoir de la trésorerie (ou un autre avantage économique) dans le futur, pour le porteur d’un instrument dérivé, ce droit est assorti de conditions. Le contrat de change à terme est un exemple d’instrument dérivé.</w:t>
      </w:r>
    </w:p>
    <w:p w:rsidR="00033DEC" w:rsidRPr="00EC7E27" w:rsidRDefault="00033DEC" w:rsidP="00033DEC">
      <w:pPr>
        <w:pStyle w:val="Textstand-alone"/>
        <w:spacing w:after="0"/>
        <w:rPr>
          <w:color w:val="016794"/>
        </w:rPr>
      </w:pPr>
      <w:r>
        <w:rPr>
          <w:color w:val="016794"/>
        </w:rPr>
        <w:t>Écarts actuariels</w:t>
      </w:r>
    </w:p>
    <w:p w:rsidR="00033DEC" w:rsidRPr="00AB4D29" w:rsidRDefault="00033DEC" w:rsidP="00033DEC">
      <w:pPr>
        <w:pStyle w:val="DGTextstand-alone"/>
        <w:spacing w:before="120"/>
      </w:pPr>
      <w:r>
        <w:t>Pour un régime à prestations définies, il s'agit de l’évolution des pertes ou des gains actuariels. Ils résultent des différences entre les hypothèses actuarielles antérieures et ce qui s’est effectivement produit ainsi que des changements dans les hypothèses actuarielles.</w:t>
      </w:r>
    </w:p>
    <w:p w:rsidR="00033DEC" w:rsidRPr="00C6647D" w:rsidRDefault="00033DEC" w:rsidP="00033DEC">
      <w:pPr>
        <w:pStyle w:val="Textstand-alone"/>
        <w:spacing w:after="0"/>
        <w:rPr>
          <w:color w:val="016794"/>
        </w:rPr>
      </w:pPr>
      <w:r>
        <w:rPr>
          <w:color w:val="016794"/>
        </w:rPr>
        <w:t>Engagement</w:t>
      </w:r>
    </w:p>
    <w:p w:rsidR="00033DEC" w:rsidRDefault="00033DEC" w:rsidP="00033DEC">
      <w:pPr>
        <w:pStyle w:val="DGTextstand-alone"/>
        <w:spacing w:before="120"/>
      </w:pPr>
      <w:r>
        <w:t>Engagement juridique à fournir des moyens budgétaires, pour autant que certaines conditions soient remplies. L’UE s’engage à rembourser sa part des coûts d’un projet qu’elle finance. Les engagements d’aujourd'hui sont les paiements de demain, tandis que les paiements d'aujourd'hui correspondent aux engagements d'hier.</w:t>
      </w:r>
    </w:p>
    <w:p w:rsidR="00033DEC" w:rsidRPr="005313A3" w:rsidRDefault="00033DEC" w:rsidP="00033DEC">
      <w:pPr>
        <w:pStyle w:val="Textstand-alone"/>
        <w:spacing w:after="0"/>
        <w:rPr>
          <w:color w:val="016794"/>
        </w:rPr>
      </w:pPr>
      <w:r>
        <w:rPr>
          <w:color w:val="016794"/>
        </w:rPr>
        <w:t>Gestion directe</w:t>
      </w:r>
    </w:p>
    <w:p w:rsidR="00033DEC" w:rsidRDefault="00033DEC" w:rsidP="00033DEC">
      <w:pPr>
        <w:pStyle w:val="DGTextstand-alone"/>
        <w:spacing w:before="120"/>
      </w:pPr>
      <w:r>
        <w:t>Mode d’exécution du budget. En gestion directe, le budget est directement exécuté par les services de la Commission, des agences exécutives ou des fonds fiduciaires.</w:t>
      </w:r>
    </w:p>
    <w:p w:rsidR="00033DEC" w:rsidRPr="005313A3" w:rsidRDefault="00033DEC" w:rsidP="00033DEC">
      <w:pPr>
        <w:pStyle w:val="Textstand-alone"/>
        <w:spacing w:after="0"/>
        <w:rPr>
          <w:color w:val="016794"/>
        </w:rPr>
      </w:pPr>
      <w:r>
        <w:rPr>
          <w:color w:val="016794"/>
        </w:rPr>
        <w:t>Gestion indirecte</w:t>
      </w:r>
    </w:p>
    <w:p w:rsidR="00033DEC" w:rsidRDefault="00033DEC" w:rsidP="00033DEC">
      <w:pPr>
        <w:pStyle w:val="DGTextstand-alone"/>
        <w:spacing w:before="60"/>
      </w:pPr>
      <w:r>
        <w:t>Mode d’exécution du budget. En gestion indirecte, la Commission confie certaines tâches d’exécution budgétaire à des organismes de droit européen ou de droit national.</w:t>
      </w:r>
    </w:p>
    <w:p w:rsidR="00033DEC" w:rsidRPr="005313A3" w:rsidRDefault="00033DEC" w:rsidP="00033DEC">
      <w:pPr>
        <w:pStyle w:val="DGTextstand-alone"/>
        <w:spacing w:before="120"/>
        <w:rPr>
          <w:color w:val="016794"/>
        </w:rPr>
      </w:pPr>
      <w:r>
        <w:rPr>
          <w:color w:val="016794"/>
        </w:rPr>
        <w:t>Gestion partagée</w:t>
      </w:r>
    </w:p>
    <w:p w:rsidR="00033DEC" w:rsidRDefault="00033DEC" w:rsidP="00033DEC">
      <w:pPr>
        <w:pStyle w:val="DGTextstand-alone"/>
        <w:spacing w:before="120"/>
      </w:pPr>
      <w:r>
        <w:t xml:space="preserve">Mode d’exécution du budget. En gestion partagée, les tâches d’exécution budgétaires sont déléguées aux États membres. Environ </w:t>
      </w:r>
      <w:r w:rsidRPr="00031A85">
        <w:t>80</w:t>
      </w:r>
      <w:r>
        <w:t> % des dépenses de l’UE relèvent de ce mode d’exécution.</w:t>
      </w:r>
    </w:p>
    <w:p w:rsidR="00033DEC" w:rsidRPr="00527D22" w:rsidRDefault="00033DEC" w:rsidP="00033DEC">
      <w:pPr>
        <w:pStyle w:val="Textstand-alone"/>
        <w:spacing w:after="0"/>
        <w:rPr>
          <w:color w:val="016794"/>
        </w:rPr>
      </w:pPr>
      <w:r>
        <w:rPr>
          <w:color w:val="016794"/>
        </w:rPr>
        <w:t>Hypothèses actuarielles</w:t>
      </w:r>
    </w:p>
    <w:p w:rsidR="00033DEC" w:rsidRDefault="00033DEC" w:rsidP="00033DEC">
      <w:pPr>
        <w:pStyle w:val="DGTextstand-alone"/>
        <w:spacing w:before="120"/>
      </w:pPr>
      <w:r>
        <w:t>Hypothèses servant à calculer les coûts d'événements futurs ayant une incidence sur la charge des pensions.</w:t>
      </w:r>
    </w:p>
    <w:p w:rsidR="00033DEC" w:rsidRPr="00C6647D" w:rsidRDefault="00033DEC" w:rsidP="00033DEC">
      <w:pPr>
        <w:pStyle w:val="Textstand-alone"/>
        <w:spacing w:after="0"/>
        <w:rPr>
          <w:color w:val="016794"/>
        </w:rPr>
      </w:pPr>
      <w:r>
        <w:rPr>
          <w:color w:val="016794"/>
        </w:rPr>
        <w:t>Interruptions et suspensions</w:t>
      </w:r>
    </w:p>
    <w:p w:rsidR="00033DEC" w:rsidRDefault="00033DEC" w:rsidP="00033DEC">
      <w:pPr>
        <w:pStyle w:val="DGTextstand-alone"/>
        <w:spacing w:before="60"/>
      </w:pPr>
      <w:r>
        <w:t>La Commission peut interrompre ou suspendre les paiements si, sur la base de ses propres travaux ou des informations transmises par les autorités d'audit, elle constate qu'un État membre n'a pas comblé les graves lacunes qui affectent les systèmes de gestion et de contrôle et/ou qu'il n'a pas corrigé les dépenses irrégulières déclarées et certifiées.</w:t>
      </w:r>
    </w:p>
    <w:p w:rsidR="00033DEC" w:rsidRPr="00C6647D" w:rsidRDefault="00033DEC" w:rsidP="00033DEC">
      <w:pPr>
        <w:pStyle w:val="Textstand-alone"/>
        <w:spacing w:after="0"/>
        <w:rPr>
          <w:color w:val="016794"/>
        </w:rPr>
      </w:pPr>
      <w:r>
        <w:rPr>
          <w:color w:val="016794"/>
        </w:rPr>
        <w:t>Irrégularité</w:t>
      </w:r>
    </w:p>
    <w:p w:rsidR="00033DEC" w:rsidRDefault="00033DEC" w:rsidP="00033DEC">
      <w:pPr>
        <w:pStyle w:val="DGTextstand-alone"/>
        <w:spacing w:before="120"/>
      </w:pPr>
      <w:r>
        <w:t>Une irrégularité est un acte non conforme aux règles de l'Union, dont les répercussions sur les intérêts financiers de l'UE sont potentiellement négatives. Elle peut résulter d'erreurs commises de bonne foi par les bénéficiaires de fonds ou par les autorités responsables de leur versement. Toute irrégularité commise délibérément constitue une fraude.</w:t>
      </w:r>
    </w:p>
    <w:p w:rsidR="00033DEC" w:rsidRPr="000E1F2D" w:rsidRDefault="00033DEC" w:rsidP="00033DEC">
      <w:pPr>
        <w:pStyle w:val="Textstand-alone"/>
        <w:spacing w:after="0"/>
        <w:rPr>
          <w:color w:val="016794"/>
        </w:rPr>
      </w:pPr>
      <w:r>
        <w:rPr>
          <w:color w:val="016794"/>
        </w:rPr>
        <w:t>Ligne budgétaire</w:t>
      </w:r>
    </w:p>
    <w:p w:rsidR="00033DEC" w:rsidRDefault="00033DEC" w:rsidP="00033DEC">
      <w:pPr>
        <w:pStyle w:val="DGTextstand-alone"/>
        <w:spacing w:before="120"/>
      </w:pPr>
      <w:r>
        <w:t>En ce qui concerne la structure du budget, les recettes et les dépenses sont présentées conformément à une nomenclature contraignante, reflétant une classification voulue par l'autorité budgétaire selon leur nature et leur destination. Les différents intitulés (titre, chapitre, article ou ligne) constituent la description formelle de la nomenclature.</w:t>
      </w:r>
    </w:p>
    <w:p w:rsidR="00033DEC" w:rsidRPr="00C6647D" w:rsidRDefault="00033DEC" w:rsidP="00033DEC">
      <w:pPr>
        <w:pStyle w:val="Textstand-alone"/>
        <w:spacing w:after="0"/>
        <w:rPr>
          <w:color w:val="016794"/>
        </w:rPr>
      </w:pPr>
      <w:r>
        <w:rPr>
          <w:color w:val="016794"/>
        </w:rPr>
        <w:t>Mesures préventives</w:t>
      </w:r>
    </w:p>
    <w:p w:rsidR="00033DEC" w:rsidRDefault="00033DEC" w:rsidP="00033DEC">
      <w:pPr>
        <w:pStyle w:val="DGTextstand-alone"/>
        <w:spacing w:before="120"/>
      </w:pPr>
      <w:r>
        <w:t>Mesures de prévention dont dispose la Commission pour protéger le budget de l'UE lorsqu'elle a connaissance d'insuffisances potentielles. Ces mesures comprennent les suspensions et interruptions de paiements à partir du budget de l'UE en faveur du programme opérationnel.</w:t>
      </w:r>
    </w:p>
    <w:p w:rsidR="00033DEC" w:rsidRPr="00384C46" w:rsidRDefault="00033DEC" w:rsidP="00033DEC">
      <w:pPr>
        <w:pStyle w:val="Textstand-alone"/>
        <w:spacing w:after="0"/>
        <w:rPr>
          <w:color w:val="016794"/>
        </w:rPr>
      </w:pPr>
      <w:r>
        <w:rPr>
          <w:color w:val="016794"/>
        </w:rPr>
        <w:t>Montants à appeler auprès des États membres</w:t>
      </w:r>
    </w:p>
    <w:p w:rsidR="00033DEC" w:rsidRDefault="00033DEC" w:rsidP="00033DEC">
      <w:pPr>
        <w:pStyle w:val="DGTextstand-alone"/>
        <w:spacing w:before="120"/>
      </w:pPr>
      <w:r>
        <w:t>Il s’agit des dépenses encourues au cours de la période de référence qui devront être financées par des budgets ultérieurs, c’est-à-dire par les États membres de l’UE. Ces dépenses sont une conséquence de la coexistence d'états financiers établis selon la comptabilité d'exercice et d’un budget de trésorerie.</w:t>
      </w:r>
    </w:p>
    <w:p w:rsidR="00033DEC" w:rsidRPr="00384C46" w:rsidRDefault="00033DEC" w:rsidP="00033DEC">
      <w:pPr>
        <w:pStyle w:val="Textstand-alone"/>
        <w:spacing w:after="0"/>
        <w:rPr>
          <w:color w:val="016794"/>
        </w:rPr>
      </w:pPr>
      <w:r>
        <w:rPr>
          <w:color w:val="016794"/>
        </w:rPr>
        <w:t>Préfinancement</w:t>
      </w:r>
    </w:p>
    <w:p w:rsidR="00033DEC" w:rsidRDefault="00033DEC" w:rsidP="00033DEC">
      <w:pPr>
        <w:pStyle w:val="DGTextstand-alone"/>
        <w:spacing w:before="120"/>
      </w:pPr>
      <w:r>
        <w:t>Paiement visant à procurer un fonds de trésorerie au bénéficiaire. Il peut être fractionné en plusieurs versements conformément aux dispositions du contrat, de la décision, de la convention ou de l’acte de base sous-jacent. Le fonds de trésorerie (ou l’avance) est soit utilisé aux fins pour lesquelles il a été fourni pendant la période définie dans la convention, soit remboursé.</w:t>
      </w:r>
    </w:p>
    <w:p w:rsidR="00033DEC" w:rsidRPr="00C6647D" w:rsidRDefault="00033DEC" w:rsidP="00033DEC">
      <w:pPr>
        <w:pStyle w:val="Textstand-alone"/>
        <w:spacing w:after="0"/>
        <w:rPr>
          <w:color w:val="016794"/>
        </w:rPr>
      </w:pPr>
      <w:r>
        <w:rPr>
          <w:color w:val="016794"/>
        </w:rPr>
        <w:t>Rapport annuel d'activités (RAA)</w:t>
      </w:r>
    </w:p>
    <w:p w:rsidR="00033DEC" w:rsidRPr="009C1EA6" w:rsidRDefault="00033DEC" w:rsidP="00033DEC">
      <w:pPr>
        <w:pStyle w:val="DGTextstand-alone"/>
        <w:spacing w:before="120"/>
      </w:pPr>
      <w:r>
        <w:t xml:space="preserve">Les rapports annuels d'activités présentent, entre autres, les résultats des opérations par rapport aux objectifs fixés, les risques correspondants et la forme que prend le contrôle interne. Depuis les exercices </w:t>
      </w:r>
      <w:r w:rsidRPr="00031A85">
        <w:t>2001</w:t>
      </w:r>
      <w:r>
        <w:t xml:space="preserve">, pour la Commission, et </w:t>
      </w:r>
      <w:r w:rsidRPr="00031A85">
        <w:t>2003</w:t>
      </w:r>
      <w:r>
        <w:t>, pour toutes les autres institutions de l'Union européenne (UE), chaque «ordonnateur délégué» rend compte à son institution de l'exercice de ses fonctions sous la forme d'un RAA, contenant des informations financières et de gestion.</w:t>
      </w:r>
    </w:p>
    <w:p w:rsidR="00033DEC" w:rsidRPr="007D08CB" w:rsidRDefault="00033DEC" w:rsidP="00033DEC">
      <w:pPr>
        <w:pStyle w:val="Textstand-alone"/>
        <w:spacing w:after="0"/>
        <w:rPr>
          <w:color w:val="016794"/>
        </w:rPr>
      </w:pPr>
      <w:r>
        <w:rPr>
          <w:color w:val="016794"/>
        </w:rPr>
        <w:t>Recettes affectées</w:t>
      </w:r>
    </w:p>
    <w:p w:rsidR="00033DEC" w:rsidRPr="000E1F2D" w:rsidRDefault="00033DEC" w:rsidP="00033DEC">
      <w:pPr>
        <w:pStyle w:val="DGTextstand-alone"/>
        <w:spacing w:before="120"/>
      </w:pPr>
      <w:r>
        <w:t>Recettes spéciales reçues pour financer des dépenses spécifiques. Les contributions financières des pays tiers en faveur de programmes financés par l’Union sont la principale source de recettes affectées externes. La principale source de recettes affectées internes est constituée par les recettes provenant de tiers pour des fournitures, des prestations de services ou des travaux effectués sur leur demande, les recettes provenant de la restitution des sommes qui ont été indûment payées et les recettes provenant de la vente de publications et films, y compris ceux sur support électronique.</w:t>
      </w:r>
    </w:p>
    <w:p w:rsidR="00033DEC" w:rsidRPr="00EC7E27" w:rsidRDefault="00033DEC" w:rsidP="00033DEC">
      <w:pPr>
        <w:pStyle w:val="Textstand-alone"/>
        <w:spacing w:after="0"/>
        <w:rPr>
          <w:color w:val="016794"/>
        </w:rPr>
      </w:pPr>
      <w:r>
        <w:rPr>
          <w:color w:val="016794"/>
        </w:rPr>
        <w:t>Régime à prestations définies</w:t>
      </w:r>
    </w:p>
    <w:p w:rsidR="00033DEC" w:rsidRDefault="00033DEC" w:rsidP="00033DEC">
      <w:pPr>
        <w:pStyle w:val="DGTextstand-alone"/>
        <w:spacing w:before="120"/>
      </w:pPr>
      <w:r>
        <w:t>Régime de pension ou autre régime de prestations de retraite dans lequel les règles du régime définissent les prestations indépendamment des cotisations dues. Les prestations ne sont pas directement liées aux investissements du régime. Celui-ci peut être financé ou non.</w:t>
      </w:r>
    </w:p>
    <w:p w:rsidR="00033DEC" w:rsidRPr="000E1F2D" w:rsidRDefault="00033DEC" w:rsidP="00033DEC">
      <w:pPr>
        <w:pStyle w:val="Textstand-alone"/>
        <w:spacing w:after="0"/>
        <w:rPr>
          <w:color w:val="016794"/>
        </w:rPr>
      </w:pPr>
      <w:r>
        <w:rPr>
          <w:color w:val="016794"/>
        </w:rPr>
        <w:t>Report de crédits</w:t>
      </w:r>
    </w:p>
    <w:p w:rsidR="00033DEC" w:rsidRDefault="00033DEC" w:rsidP="00033DEC">
      <w:pPr>
        <w:pStyle w:val="DGTextstand-alone"/>
        <w:spacing w:before="120"/>
      </w:pPr>
      <w:r>
        <w:t>Exception au principe d’annualité dans la mesure où les crédits n’ayant pas pu être utilisés lors d’un exercice donné peuvent, moyennant le respect de conditions strictes et à titre exceptionnel, être reportés à l’exercice suivant.</w:t>
      </w:r>
    </w:p>
    <w:p w:rsidR="00033DEC" w:rsidRDefault="00033DEC" w:rsidP="00033DEC">
      <w:pPr>
        <w:rPr>
          <w:rFonts w:ascii="Verdana" w:hAnsi="Verdana"/>
          <w:noProof/>
          <w:color w:val="016794"/>
          <w:sz w:val="18"/>
          <w:szCs w:val="18"/>
        </w:rPr>
      </w:pPr>
      <w:r>
        <w:rPr>
          <w:color w:val="016794"/>
        </w:rPr>
        <w:br w:type="page"/>
      </w:r>
    </w:p>
    <w:p w:rsidR="00033DEC" w:rsidRPr="005313A3" w:rsidRDefault="00033DEC" w:rsidP="00033DEC">
      <w:pPr>
        <w:pStyle w:val="Textstand-alone"/>
        <w:spacing w:after="0"/>
        <w:rPr>
          <w:color w:val="016794"/>
        </w:rPr>
      </w:pPr>
      <w:r>
        <w:rPr>
          <w:color w:val="016794"/>
        </w:rPr>
        <w:t>Ressources propres</w:t>
      </w:r>
    </w:p>
    <w:p w:rsidR="00033DEC" w:rsidRDefault="00033DEC" w:rsidP="00033DEC">
      <w:pPr>
        <w:pStyle w:val="DGTextstand-alone"/>
        <w:spacing w:before="120"/>
      </w:pPr>
      <w:r>
        <w:t>Les ressources propres, qui représentent la principale source de financement des institutions et organes de l’UE, sont définies dans le règlement (UE, Euratom) nº </w:t>
      </w:r>
      <w:r w:rsidRPr="00031A85">
        <w:t>609</w:t>
      </w:r>
      <w:r>
        <w:t>/</w:t>
      </w:r>
      <w:r w:rsidRPr="00031A85">
        <w:t>2014</w:t>
      </w:r>
      <w:r>
        <w:t xml:space="preserve"> relatif aux ressources propres. Elles comprennent les ressources RNB, les ressources TVA et les ressources propres traditionnelles.</w:t>
      </w:r>
    </w:p>
    <w:p w:rsidR="00033DEC" w:rsidRPr="005313A3" w:rsidRDefault="00033DEC" w:rsidP="00033DEC">
      <w:pPr>
        <w:pStyle w:val="Textstand-alone"/>
        <w:spacing w:after="0"/>
        <w:rPr>
          <w:color w:val="016794"/>
        </w:rPr>
      </w:pPr>
      <w:r>
        <w:rPr>
          <w:color w:val="016794"/>
        </w:rPr>
        <w:t>Ressources propres traditionnelles</w:t>
      </w:r>
    </w:p>
    <w:p w:rsidR="00033DEC" w:rsidRDefault="00033DEC" w:rsidP="00033DEC">
      <w:pPr>
        <w:pStyle w:val="DGTextstand-alone"/>
        <w:spacing w:before="120"/>
      </w:pPr>
      <w:r>
        <w:t>Les ressources propres traditionnelles sont des recettes de l’UE et font partie des «ressources propres» servant à financer les activités de l’Union. Elles sont définies dans le règlement (UE, Euratom) nº </w:t>
      </w:r>
      <w:r w:rsidRPr="00031A85">
        <w:t>609</w:t>
      </w:r>
      <w:r>
        <w:t>/</w:t>
      </w:r>
      <w:r w:rsidRPr="00031A85">
        <w:t>2014</w:t>
      </w:r>
      <w:r>
        <w:t xml:space="preserve"> relatif aux ressources propres et comprennent les droits de douane et les cotisations «sucre».</w:t>
      </w:r>
    </w:p>
    <w:p w:rsidR="00033DEC" w:rsidRPr="005313A3" w:rsidRDefault="00033DEC" w:rsidP="00033DEC">
      <w:pPr>
        <w:pStyle w:val="Textstand-alone"/>
        <w:spacing w:after="0"/>
        <w:rPr>
          <w:color w:val="016794"/>
        </w:rPr>
      </w:pPr>
      <w:r>
        <w:rPr>
          <w:color w:val="016794"/>
        </w:rPr>
        <w:t>Reste à liquider (RAL)</w:t>
      </w:r>
    </w:p>
    <w:p w:rsidR="00033DEC" w:rsidRDefault="00033DEC" w:rsidP="00033DEC">
      <w:pPr>
        <w:pStyle w:val="DGTextstand-alone"/>
        <w:spacing w:before="120"/>
      </w:pPr>
      <w:r>
        <w:t>Constitue le montant des engagements budgétaires contractés alors que les paiements ultérieurs n’ont pas encore été effectués. Il représente pour l’UE des obligations de paiement pour les exercices à venir et découle directement de l’existence de programmes pluriannuels et de la dissociation entre crédits d’engagement et crédits de paiement.</w:t>
      </w:r>
    </w:p>
    <w:p w:rsidR="00033DEC" w:rsidRPr="00CB73CA" w:rsidRDefault="00033DEC" w:rsidP="00033DEC">
      <w:pPr>
        <w:pStyle w:val="Textstand-alone"/>
        <w:spacing w:after="0"/>
        <w:rPr>
          <w:color w:val="016794"/>
        </w:rPr>
      </w:pPr>
      <w:r>
        <w:rPr>
          <w:color w:val="016794"/>
        </w:rPr>
        <w:t>Taux d’actualisation</w:t>
      </w:r>
    </w:p>
    <w:p w:rsidR="00033DEC" w:rsidRDefault="00033DEC" w:rsidP="00033DEC">
      <w:pPr>
        <w:pStyle w:val="DGTextstand-alone"/>
        <w:spacing w:before="120"/>
      </w:pPr>
      <w:r>
        <w:t>Taux utilisé pour ajuster la valeur temps de l’argent. L’actualisation est une technique utilisée pour comparer les coûts et les avantages au cours de différentes périodes de temps.</w:t>
      </w:r>
    </w:p>
    <w:p w:rsidR="00033DEC" w:rsidRPr="00CB73CA" w:rsidRDefault="00033DEC" w:rsidP="00033DEC">
      <w:pPr>
        <w:pStyle w:val="Textstand-alone"/>
        <w:spacing w:after="0"/>
        <w:rPr>
          <w:color w:val="016794"/>
        </w:rPr>
      </w:pPr>
      <w:r>
        <w:rPr>
          <w:color w:val="016794"/>
        </w:rPr>
        <w:t>Taux d'intérêt effectif</w:t>
      </w:r>
    </w:p>
    <w:p w:rsidR="00033DEC" w:rsidRDefault="00033DEC" w:rsidP="00033DEC">
      <w:pPr>
        <w:pStyle w:val="DGTextstand-alone"/>
        <w:spacing w:before="120"/>
      </w:pPr>
      <w:r>
        <w:t xml:space="preserve">Taux qui actualise les encaissements ou décaissements de trésorerie futurs sur la durée de vie prévue de l’actif ou du passif financier de manière à obtenir la valeur comptable nette de l’actif ou du passif. </w:t>
      </w:r>
    </w:p>
    <w:p w:rsidR="00033DEC" w:rsidRPr="00B64938" w:rsidRDefault="00033DEC" w:rsidP="00033DEC">
      <w:pPr>
        <w:pStyle w:val="Textstand-alone"/>
        <w:spacing w:after="0"/>
        <w:rPr>
          <w:color w:val="016794"/>
        </w:rPr>
      </w:pPr>
      <w:r>
        <w:rPr>
          <w:color w:val="016794"/>
        </w:rPr>
        <w:t>Virements (entre lignes budgétaires)</w:t>
      </w:r>
    </w:p>
    <w:p w:rsidR="00033DEC" w:rsidRDefault="00033DEC" w:rsidP="00033DEC">
      <w:pPr>
        <w:pStyle w:val="DGTextstand-alone"/>
        <w:spacing w:before="120"/>
      </w:pPr>
      <w:r>
        <w:t>Les virements entre lignes budgétaires impliquent la réaffectation de crédits d’une ligne budgétaire à une autre au cours de l’exercice. Ils constituent ainsi une exception au principe budgétaire de spécialité. Ils sont toutefois expressément autorisés par le traité sur le fonctionnement de l’Union européenne, dans les conditions fixées par le règlement financier (RF). Ce dernier définit les différents types de virements selon qu’ils sont effectués entre titres, chapitres ou articles du budget, ou à l'intérieur de ceux-ci, et selon le niveau d’autorisation requis.</w:t>
      </w:r>
      <w:bookmarkEnd w:id="1"/>
      <w:bookmarkEnd w:id="622"/>
    </w:p>
    <w:sectPr w:rsidR="00033DEC" w:rsidSect="00FB0C75">
      <w:headerReference w:type="even" r:id="rId613"/>
      <w:headerReference w:type="default" r:id="rId614"/>
      <w:footerReference w:type="even" r:id="rId615"/>
      <w:footerReference w:type="default" r:id="rId616"/>
      <w:headerReference w:type="first" r:id="rId617"/>
      <w:footerReference w:type="first" r:id="rId618"/>
      <w:pgSz w:w="12240" w:h="15840"/>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C03" w:rsidRDefault="00B92C03">
      <w:r>
        <w:separator/>
      </w:r>
    </w:p>
  </w:endnote>
  <w:endnote w:type="continuationSeparator" w:id="0">
    <w:p w:rsidR="00B92C03" w:rsidRDefault="00B92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4496" behindDoc="1" locked="0" layoutInCell="1" allowOverlap="1" wp14:anchorId="222E6AC2" wp14:editId="69C26579">
              <wp:simplePos x="0" y="0"/>
              <wp:positionH relativeFrom="column">
                <wp:posOffset>2858770</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cGdZy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8592" behindDoc="1" locked="0" layoutInCell="1" allowOverlap="1" wp14:anchorId="61BBBA5B" wp14:editId="79E9285F">
              <wp:simplePos x="0" y="0"/>
              <wp:positionH relativeFrom="column">
                <wp:posOffset>2858770</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nfwbYl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864" behindDoc="1" locked="0" layoutInCell="1" allowOverlap="1" wp14:anchorId="00BEB343" wp14:editId="2EEFB049">
              <wp:simplePos x="0" y="0"/>
              <wp:positionH relativeFrom="column">
                <wp:posOffset>2858770</wp:posOffset>
              </wp:positionH>
              <wp:positionV relativeFrom="paragraph">
                <wp:posOffset>4445</wp:posOffset>
              </wp:positionV>
              <wp:extent cx="403225" cy="795655"/>
              <wp:effectExtent l="0" t="0" r="15875" b="23495"/>
              <wp:wrapNone/>
              <wp:docPr id="917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481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912" behindDoc="1" locked="0" layoutInCell="1" allowOverlap="1" wp14:anchorId="3C4ABB09" wp14:editId="19F6176F">
              <wp:simplePos x="0" y="0"/>
              <wp:positionH relativeFrom="column">
                <wp:posOffset>2858770</wp:posOffset>
              </wp:positionH>
              <wp:positionV relativeFrom="paragraph">
                <wp:posOffset>4445</wp:posOffset>
              </wp:positionV>
              <wp:extent cx="403225" cy="795655"/>
              <wp:effectExtent l="0" t="0" r="15875" b="23495"/>
              <wp:wrapNone/>
              <wp:docPr id="9830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276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0640" behindDoc="1" locked="0" layoutInCell="1" allowOverlap="1" wp14:anchorId="10EDC050" wp14:editId="0BF77F61">
              <wp:simplePos x="0" y="0"/>
              <wp:positionH relativeFrom="column">
                <wp:posOffset>2858770</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fZvVm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936" behindDoc="1" locked="0" layoutInCell="1" allowOverlap="1" wp14:anchorId="30DE5633" wp14:editId="5C9DB193">
              <wp:simplePos x="0" y="0"/>
              <wp:positionH relativeFrom="column">
                <wp:posOffset>2858770</wp:posOffset>
              </wp:positionH>
              <wp:positionV relativeFrom="paragraph">
                <wp:posOffset>4445</wp:posOffset>
              </wp:positionV>
              <wp:extent cx="403225" cy="795655"/>
              <wp:effectExtent l="0" t="0" r="15875" b="23495"/>
              <wp:wrapNone/>
              <wp:docPr id="10158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174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2688" behindDoc="1" locked="0" layoutInCell="1" allowOverlap="1" wp14:anchorId="28B24672" wp14:editId="5A45486C">
              <wp:simplePos x="0" y="0"/>
              <wp:positionH relativeFrom="column">
                <wp:posOffset>2858770</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DkGbS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960" behindDoc="1" locked="0" layoutInCell="1" allowOverlap="1" wp14:anchorId="2EF83C3D" wp14:editId="042BC44F">
              <wp:simplePos x="0" y="0"/>
              <wp:positionH relativeFrom="column">
                <wp:posOffset>2858770</wp:posOffset>
              </wp:positionH>
              <wp:positionV relativeFrom="paragraph">
                <wp:posOffset>4445</wp:posOffset>
              </wp:positionV>
              <wp:extent cx="403225" cy="795655"/>
              <wp:effectExtent l="0" t="0" r="15875" b="23495"/>
              <wp:wrapNone/>
              <wp:docPr id="10486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072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9984" behindDoc="1" locked="0" layoutInCell="1" allowOverlap="1" wp14:anchorId="1E16BD81" wp14:editId="6970B72E">
              <wp:simplePos x="0" y="0"/>
              <wp:positionH relativeFrom="column">
                <wp:posOffset>2858770</wp:posOffset>
              </wp:positionH>
              <wp:positionV relativeFrom="paragraph">
                <wp:posOffset>4445</wp:posOffset>
              </wp:positionV>
              <wp:extent cx="403225" cy="795655"/>
              <wp:effectExtent l="0" t="0" r="15875" b="23495"/>
              <wp:wrapNone/>
              <wp:docPr id="10813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969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1008" behindDoc="1" locked="0" layoutInCell="1" allowOverlap="1" wp14:anchorId="24305E31" wp14:editId="6E9A48A7">
              <wp:simplePos x="0" y="0"/>
              <wp:positionH relativeFrom="column">
                <wp:posOffset>2858770</wp:posOffset>
              </wp:positionH>
              <wp:positionV relativeFrom="paragraph">
                <wp:posOffset>4445</wp:posOffset>
              </wp:positionV>
              <wp:extent cx="403225" cy="795655"/>
              <wp:effectExtent l="0" t="0" r="15875" b="23495"/>
              <wp:wrapNone/>
              <wp:docPr id="11141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867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032" behindDoc="1" locked="0" layoutInCell="1" allowOverlap="1" wp14:anchorId="2FE21A1E" wp14:editId="1010B683">
              <wp:simplePos x="0" y="0"/>
              <wp:positionH relativeFrom="column">
                <wp:posOffset>2858770</wp:posOffset>
              </wp:positionH>
              <wp:positionV relativeFrom="paragraph">
                <wp:posOffset>4445</wp:posOffset>
              </wp:positionV>
              <wp:extent cx="403225" cy="795655"/>
              <wp:effectExtent l="0" t="0" r="15875" b="23495"/>
              <wp:wrapNone/>
              <wp:docPr id="11469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764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3056" behindDoc="1" locked="0" layoutInCell="1" allowOverlap="1" wp14:anchorId="6C36693F" wp14:editId="7E7095C9">
              <wp:simplePos x="0" y="0"/>
              <wp:positionH relativeFrom="column">
                <wp:posOffset>2858770</wp:posOffset>
              </wp:positionH>
              <wp:positionV relativeFrom="paragraph">
                <wp:posOffset>4445</wp:posOffset>
              </wp:positionV>
              <wp:extent cx="403225" cy="795655"/>
              <wp:effectExtent l="0" t="0" r="15875" b="23495"/>
              <wp:wrapNone/>
              <wp:docPr id="11796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662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080" behindDoc="1" locked="0" layoutInCell="1" allowOverlap="1" wp14:anchorId="402F429F" wp14:editId="701B9850">
              <wp:simplePos x="0" y="0"/>
              <wp:positionH relativeFrom="column">
                <wp:posOffset>2858770</wp:posOffset>
              </wp:positionH>
              <wp:positionV relativeFrom="paragraph">
                <wp:posOffset>4445</wp:posOffset>
              </wp:positionV>
              <wp:extent cx="403225" cy="795655"/>
              <wp:effectExtent l="0" t="0" r="15875" b="23495"/>
              <wp:wrapNone/>
              <wp:docPr id="12124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560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240" behindDoc="1" locked="0" layoutInCell="1" allowOverlap="1" wp14:anchorId="7D1DDD55" wp14:editId="7DC113F1">
              <wp:simplePos x="0" y="0"/>
              <wp:positionH relativeFrom="column">
                <wp:posOffset>2858770</wp:posOffset>
              </wp:positionH>
              <wp:positionV relativeFrom="paragraph">
                <wp:posOffset>4445</wp:posOffset>
              </wp:positionV>
              <wp:extent cx="403225" cy="795655"/>
              <wp:effectExtent l="0" t="0" r="15875" b="23495"/>
              <wp:wrapNone/>
              <wp:docPr id="65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4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860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10</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176" behindDoc="1" locked="0" layoutInCell="1" allowOverlap="1" wp14:anchorId="6DAF2AFF" wp14:editId="74117517">
              <wp:simplePos x="0" y="0"/>
              <wp:positionH relativeFrom="column">
                <wp:posOffset>2858770</wp:posOffset>
              </wp:positionH>
              <wp:positionV relativeFrom="paragraph">
                <wp:posOffset>4445</wp:posOffset>
              </wp:positionV>
              <wp:extent cx="403225" cy="795655"/>
              <wp:effectExtent l="0" t="0" r="15875" b="23495"/>
              <wp:wrapNone/>
              <wp:docPr id="13435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150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9200" behindDoc="1" locked="0" layoutInCell="1" allowOverlap="1" wp14:anchorId="5CC5E851" wp14:editId="2F6E5A19">
              <wp:simplePos x="0" y="0"/>
              <wp:positionH relativeFrom="column">
                <wp:posOffset>2858770</wp:posOffset>
              </wp:positionH>
              <wp:positionV relativeFrom="paragraph">
                <wp:posOffset>4445</wp:posOffset>
              </wp:positionV>
              <wp:extent cx="403225" cy="795655"/>
              <wp:effectExtent l="0" t="0" r="15875" b="23495"/>
              <wp:wrapNone/>
              <wp:docPr id="13762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048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224" behindDoc="1" locked="0" layoutInCell="1" allowOverlap="1" wp14:anchorId="37832F6C" wp14:editId="3EBF20DF">
              <wp:simplePos x="0" y="0"/>
              <wp:positionH relativeFrom="column">
                <wp:posOffset>2858770</wp:posOffset>
              </wp:positionH>
              <wp:positionV relativeFrom="paragraph">
                <wp:posOffset>4445</wp:posOffset>
              </wp:positionV>
              <wp:extent cx="403225" cy="795655"/>
              <wp:effectExtent l="0" t="0" r="15875" b="23495"/>
              <wp:wrapNone/>
              <wp:docPr id="1409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945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1248" behindDoc="1" locked="0" layoutInCell="1" allowOverlap="1" wp14:anchorId="455CCE4C" wp14:editId="146317CC">
              <wp:simplePos x="0" y="0"/>
              <wp:positionH relativeFrom="column">
                <wp:posOffset>2858770</wp:posOffset>
              </wp:positionH>
              <wp:positionV relativeFrom="paragraph">
                <wp:posOffset>4445</wp:posOffset>
              </wp:positionV>
              <wp:extent cx="403225" cy="795655"/>
              <wp:effectExtent l="0" t="0" r="15875" b="23495"/>
              <wp:wrapNone/>
              <wp:docPr id="14418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843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272" behindDoc="1" locked="0" layoutInCell="1" allowOverlap="1" wp14:anchorId="3894ACF3" wp14:editId="3ABBB6D3">
              <wp:simplePos x="0" y="0"/>
              <wp:positionH relativeFrom="column">
                <wp:posOffset>2858770</wp:posOffset>
              </wp:positionH>
              <wp:positionV relativeFrom="paragraph">
                <wp:posOffset>4445</wp:posOffset>
              </wp:positionV>
              <wp:extent cx="403225" cy="795655"/>
              <wp:effectExtent l="0" t="0" r="15875" b="23495"/>
              <wp:wrapNone/>
              <wp:docPr id="1474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740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3296" behindDoc="1" locked="0" layoutInCell="1" allowOverlap="1" wp14:anchorId="4E61A09B" wp14:editId="125B3FFD">
              <wp:simplePos x="0" y="0"/>
              <wp:positionH relativeFrom="column">
                <wp:posOffset>2858770</wp:posOffset>
              </wp:positionH>
              <wp:positionV relativeFrom="paragraph">
                <wp:posOffset>4445</wp:posOffset>
              </wp:positionV>
              <wp:extent cx="403225" cy="795655"/>
              <wp:effectExtent l="0" t="0" r="15875" b="23495"/>
              <wp:wrapNone/>
              <wp:docPr id="1507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638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320" behindDoc="1" locked="0" layoutInCell="1" allowOverlap="1" wp14:anchorId="51B2930B" wp14:editId="4ABFE76F">
              <wp:simplePos x="0" y="0"/>
              <wp:positionH relativeFrom="column">
                <wp:posOffset>2858770</wp:posOffset>
              </wp:positionH>
              <wp:positionV relativeFrom="paragraph">
                <wp:posOffset>4445</wp:posOffset>
              </wp:positionV>
              <wp:extent cx="403225" cy="795655"/>
              <wp:effectExtent l="0" t="0" r="15875" b="23495"/>
              <wp:wrapNone/>
              <wp:docPr id="15401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536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5344" behindDoc="1" locked="0" layoutInCell="1" allowOverlap="1" wp14:anchorId="3F1E7061" wp14:editId="0DCA1807">
              <wp:simplePos x="0" y="0"/>
              <wp:positionH relativeFrom="column">
                <wp:posOffset>2858770</wp:posOffset>
              </wp:positionH>
              <wp:positionV relativeFrom="paragraph">
                <wp:posOffset>4445</wp:posOffset>
              </wp:positionV>
              <wp:extent cx="403225" cy="795655"/>
              <wp:effectExtent l="0" t="0" r="15875" b="23495"/>
              <wp:wrapNone/>
              <wp:docPr id="15729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433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7392" behindDoc="1" locked="0" layoutInCell="1" allowOverlap="1" wp14:anchorId="1D086F68" wp14:editId="67A6985C">
              <wp:simplePos x="0" y="0"/>
              <wp:positionH relativeFrom="column">
                <wp:posOffset>2858770</wp:posOffset>
              </wp:positionH>
              <wp:positionV relativeFrom="paragraph">
                <wp:posOffset>4445</wp:posOffset>
              </wp:positionV>
              <wp:extent cx="403225" cy="795655"/>
              <wp:effectExtent l="0" t="0" r="15875" b="23495"/>
              <wp:wrapNone/>
              <wp:docPr id="16384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228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8416" behindDoc="1" locked="0" layoutInCell="1" allowOverlap="1" wp14:anchorId="7D2FE85F" wp14:editId="31F27461">
              <wp:simplePos x="0" y="0"/>
              <wp:positionH relativeFrom="column">
                <wp:posOffset>2858770</wp:posOffset>
              </wp:positionH>
              <wp:positionV relativeFrom="paragraph">
                <wp:posOffset>4445</wp:posOffset>
              </wp:positionV>
              <wp:extent cx="403225" cy="795655"/>
              <wp:effectExtent l="0" t="0" r="15875" b="23495"/>
              <wp:wrapNone/>
              <wp:docPr id="16712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126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264" behindDoc="1" locked="0" layoutInCell="1" allowOverlap="1" wp14:anchorId="7326ED5F" wp14:editId="376D5A36">
              <wp:simplePos x="0" y="0"/>
              <wp:positionH relativeFrom="column">
                <wp:posOffset>2858770</wp:posOffset>
              </wp:positionH>
              <wp:positionV relativeFrom="paragraph">
                <wp:posOffset>4445</wp:posOffset>
              </wp:positionV>
              <wp:extent cx="403225" cy="795655"/>
              <wp:effectExtent l="0" t="0" r="15875" b="23495"/>
              <wp:wrapNone/>
              <wp:docPr id="983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758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9440" behindDoc="1" locked="0" layoutInCell="1" allowOverlap="1" wp14:anchorId="3D678E6C" wp14:editId="48CF8F43">
              <wp:simplePos x="0" y="0"/>
              <wp:positionH relativeFrom="column">
                <wp:posOffset>2858770</wp:posOffset>
              </wp:positionH>
              <wp:positionV relativeFrom="paragraph">
                <wp:posOffset>4445</wp:posOffset>
              </wp:positionV>
              <wp:extent cx="403225" cy="795655"/>
              <wp:effectExtent l="0" t="0" r="15875" b="23495"/>
              <wp:wrapNone/>
              <wp:docPr id="17039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024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4736" behindDoc="1" locked="0" layoutInCell="1" allowOverlap="1" wp14:anchorId="5DB7E8DC" wp14:editId="736D32DC">
              <wp:simplePos x="0" y="0"/>
              <wp:positionH relativeFrom="column">
                <wp:posOffset>2858770</wp:posOffset>
              </wp:positionH>
              <wp:positionV relativeFrom="paragraph">
                <wp:posOffset>4445</wp:posOffset>
              </wp:positionV>
              <wp:extent cx="403225" cy="795655"/>
              <wp:effectExtent l="0" t="0" r="15875" b="23495"/>
              <wp:wrapNone/>
              <wp:docPr id="2129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d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K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FVqj11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464" behindDoc="1" locked="0" layoutInCell="1" allowOverlap="1" wp14:anchorId="3F451430" wp14:editId="58244F6D">
              <wp:simplePos x="0" y="0"/>
              <wp:positionH relativeFrom="column">
                <wp:posOffset>4445635</wp:posOffset>
              </wp:positionH>
              <wp:positionV relativeFrom="paragraph">
                <wp:posOffset>82740</wp:posOffset>
              </wp:positionV>
              <wp:extent cx="403225" cy="795655"/>
              <wp:effectExtent l="0" t="0" r="15875" b="23495"/>
              <wp:wrapNone/>
              <wp:docPr id="1736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0"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2921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1488" behindDoc="1" locked="0" layoutInCell="1" allowOverlap="1" wp14:anchorId="0407E836" wp14:editId="3E640A67">
              <wp:simplePos x="0" y="0"/>
              <wp:positionH relativeFrom="column">
                <wp:posOffset>2858770</wp:posOffset>
              </wp:positionH>
              <wp:positionV relativeFrom="paragraph">
                <wp:posOffset>4445</wp:posOffset>
              </wp:positionV>
              <wp:extent cx="403225" cy="795655"/>
              <wp:effectExtent l="0" t="0" r="15875" b="23495"/>
              <wp:wrapNone/>
              <wp:docPr id="17695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819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2512" behindDoc="1" locked="0" layoutInCell="1" allowOverlap="1" wp14:anchorId="1EEFE065" wp14:editId="73804766">
              <wp:simplePos x="0" y="0"/>
              <wp:positionH relativeFrom="column">
                <wp:posOffset>2858770</wp:posOffset>
              </wp:positionH>
              <wp:positionV relativeFrom="paragraph">
                <wp:posOffset>4445</wp:posOffset>
              </wp:positionV>
              <wp:extent cx="403225" cy="795655"/>
              <wp:effectExtent l="0" t="0" r="15875" b="23495"/>
              <wp:wrapNone/>
              <wp:docPr id="1802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716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73</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4560" behindDoc="1" locked="0" layoutInCell="1" allowOverlap="1" wp14:anchorId="1B40038D" wp14:editId="01D4F67E">
              <wp:simplePos x="0" y="0"/>
              <wp:positionH relativeFrom="column">
                <wp:posOffset>2858770</wp:posOffset>
              </wp:positionH>
              <wp:positionV relativeFrom="paragraph">
                <wp:posOffset>4445</wp:posOffset>
              </wp:positionV>
              <wp:extent cx="403225" cy="795655"/>
              <wp:effectExtent l="0" t="0" r="15875" b="23495"/>
              <wp:wrapNone/>
              <wp:docPr id="18678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512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6784" behindDoc="1" locked="0" layoutInCell="1" allowOverlap="1" wp14:anchorId="6200F113" wp14:editId="592D53AC">
              <wp:simplePos x="0" y="0"/>
              <wp:positionH relativeFrom="column">
                <wp:posOffset>2858770</wp:posOffset>
              </wp:positionH>
              <wp:positionV relativeFrom="paragraph">
                <wp:posOffset>4445</wp:posOffset>
              </wp:positionV>
              <wp:extent cx="403225" cy="795655"/>
              <wp:effectExtent l="0" t="0" r="15875" b="23495"/>
              <wp:wrapNone/>
              <wp:docPr id="2129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pVwIAALY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FVJ0ySd&#10;z/MpJYp1OKhHpI6prRRk6knqjS0w98k8wOhZNH3Hhxo6/429kEMg9vVErDg4wvEyi6dpmlPCMXQx&#10;z2d57jGjtx8bsO6b0B3xRkkBHw90sv2tdUPqMcW/ZbVsq3UrZXBgu7mWQPbMzziZXcyzEf1dmlSk&#10;xy7zLI4D9LugPcfI1pfJ15shqWGVGJDzGD9H4CE9tHCGgw1J5UsSQXlj6Z66gSxvbXT1ioyDHqRo&#10;DV+32PMts+6BAWoPVYr75O7xqKXGkvVoUdJo+PW3e5+PksAoJT1quaT2546BoER+VyiWeZJlXvzB&#10;yWaX2AeB88hmiOQXKUbUrrvWSGWCm2t4MH2+k0ezBt294Nqt/KsYYorj2yXdHM1rN2wYri0Xq1VI&#10;Qrkb5m7Vk+Ee2rPkJ/p8eGFgxrE71MudPqqeFR+mP+Qi6W88jg4uR5jFuMh++879kPX2d7P8D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EmcHOl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74</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8832" behindDoc="1" locked="0" layoutInCell="1" allowOverlap="1" wp14:anchorId="3AEFE24C" wp14:editId="1FC95E45">
              <wp:simplePos x="0" y="0"/>
              <wp:positionH relativeFrom="column">
                <wp:posOffset>2858770</wp:posOffset>
              </wp:positionH>
              <wp:positionV relativeFrom="paragraph">
                <wp:posOffset>4445</wp:posOffset>
              </wp:positionV>
              <wp:extent cx="403225" cy="795655"/>
              <wp:effectExtent l="0" t="0" r="15875" b="23495"/>
              <wp:wrapNone/>
              <wp:docPr id="21299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VQ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G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9SBVB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77</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2928" behindDoc="1" locked="0" layoutInCell="1" allowOverlap="1" wp14:anchorId="0B323CAF" wp14:editId="214EC138">
              <wp:simplePos x="0" y="0"/>
              <wp:positionH relativeFrom="column">
                <wp:posOffset>2858770</wp:posOffset>
              </wp:positionH>
              <wp:positionV relativeFrom="paragraph">
                <wp:posOffset>4445</wp:posOffset>
              </wp:positionV>
              <wp:extent cx="403225" cy="795655"/>
              <wp:effectExtent l="0" t="0" r="15875" b="23495"/>
              <wp:wrapNone/>
              <wp:docPr id="21299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PiVgIAALYEAAAOAAAAZHJzL2Uyb0RvYy54bWysVE1v2zAMvQ/YfxB0X/xRO22MOEWWIMOA&#10;oi3aDj0rshwbkCWNUuN0v36U7KRpt9OwHBRSZB7Jp8fMrw+dJHsBttWqpMkkpkQorqtW7Ur642nz&#10;5YoS65iqmNRKlPRVWHq9+Pxp3ptCpLrRshJAEETZojclbZwzRRRZ3oiO2Yk2QmGw1tAxhy7sogpY&#10;j+idjNI4nka9hsqA5sJavF0PQboI+HUtuLuraysckSXF3lw4IZxbf0aLOSt2wEzT8rEN9g9ddKxV&#10;WPQEtWaOkRdo/4DqWg7a6tpNuO4iXdctF2EGnCaJP0zz2DAjwixIjjUnmuz/g+W3+3sgbVXSNEln&#10;s3xKiWIdPtQDUsfUTgpy4UnqjS0w99Hcw+hZNP3Ehxo6/42zkEMg9vVErDg4wvEyiy/SNKeEY+gS&#10;i+S5x4zefmzAum9Cd8QbJQUsHuhk+xvrhtRjiq9ltWyrTStlcGC3XUkge+bfOJlezrIR/V2aVKTH&#10;KfMsjgP0u6A9x8g2V8nX9ZDUsEoMyHmMnyPwkB5GOMPBgaTyLYmgvLF1T91Alre2unpFxkEPUrSG&#10;b1qc+YZZd88AtYcqxX1yd3jUUmPLerQoaTT8+tu9z0dJYJSSHrVcUvvzhYGgRH5XKJZZkmVe/MHJ&#10;plc4B4HzyHaI5JcpRtRLt9JIZYKba3gwfb6TR7MG3T3j2i19VQwxxbF2SbdHc+WGDcO15WK5DEko&#10;d8PcjXo03EN7lvyLPh2eGZjx2R3q5VYfVc+KD68/5CLpbzyODi5HeItxkf32nfsh6+3vZvE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5rhT4lYCAAC2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81</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632" behindDoc="1" locked="0" layoutInCell="1" allowOverlap="1" wp14:anchorId="65574B4C" wp14:editId="60F08729">
              <wp:simplePos x="0" y="0"/>
              <wp:positionH relativeFrom="column">
                <wp:posOffset>2858770</wp:posOffset>
              </wp:positionH>
              <wp:positionV relativeFrom="paragraph">
                <wp:posOffset>4445</wp:posOffset>
              </wp:positionV>
              <wp:extent cx="403225" cy="795655"/>
              <wp:effectExtent l="0" t="0" r="15875" b="23495"/>
              <wp:wrapNone/>
              <wp:docPr id="19661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204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83</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FooterCoverPage"/>
      <w:rPr>
        <w:rFonts w:ascii="Arial" w:hAnsi="Arial" w:cs="Arial"/>
        <w:b/>
        <w:sz w:val="48"/>
      </w:rPr>
    </w:pPr>
    <w:r w:rsidRPr="00915D0A">
      <w:rPr>
        <w:rFonts w:ascii="Arial" w:hAnsi="Arial" w:cs="Arial"/>
        <w:b/>
        <w:sz w:val="48"/>
      </w:rPr>
      <w:t>FR</w:t>
    </w:r>
    <w:r w:rsidRPr="00915D0A">
      <w:rPr>
        <w:rFonts w:ascii="Arial" w:hAnsi="Arial" w:cs="Arial"/>
        <w:b/>
        <w:sz w:val="48"/>
      </w:rPr>
      <w:tab/>
    </w:r>
    <w:r w:rsidRPr="00915D0A">
      <w:rPr>
        <w:rFonts w:ascii="Arial" w:hAnsi="Arial" w:cs="Arial"/>
        <w:b/>
        <w:sz w:val="48"/>
      </w:rPr>
      <w:tab/>
    </w:r>
    <w:fldSimple w:instr=" DOCVARIABLE &quot;LW_Confidence&quot; \* MERGEFORMAT ">
      <w:r>
        <w:t xml:space="preserve"> </w:t>
      </w:r>
    </w:fldSimple>
    <w:r w:rsidRPr="00915D0A">
      <w:tab/>
    </w:r>
    <w:r w:rsidRPr="00915D0A">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288" behindDoc="1" locked="0" layoutInCell="1" allowOverlap="1" wp14:anchorId="792A9777" wp14:editId="7201A5DD">
              <wp:simplePos x="0" y="0"/>
              <wp:positionH relativeFrom="column">
                <wp:posOffset>2858770</wp:posOffset>
              </wp:positionH>
              <wp:positionV relativeFrom="paragraph">
                <wp:posOffset>4445</wp:posOffset>
              </wp:positionV>
              <wp:extent cx="403225" cy="795655"/>
              <wp:effectExtent l="0" t="0" r="15875" b="23495"/>
              <wp:wrapNone/>
              <wp:docPr id="131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553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12</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8656" behindDoc="1" locked="0" layoutInCell="1" allowOverlap="1" wp14:anchorId="067E26F6" wp14:editId="30A95088">
              <wp:simplePos x="0" y="0"/>
              <wp:positionH relativeFrom="column">
                <wp:posOffset>2858770</wp:posOffset>
              </wp:positionH>
              <wp:positionV relativeFrom="paragraph">
                <wp:posOffset>4445</wp:posOffset>
              </wp:positionV>
              <wp:extent cx="403225" cy="795655"/>
              <wp:effectExtent l="0" t="0" r="15875" b="23495"/>
              <wp:wrapNone/>
              <wp:docPr id="19989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102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84</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4976" behindDoc="1" locked="0" layoutInCell="1" allowOverlap="1" wp14:anchorId="6A834ED7" wp14:editId="4A747B5A">
              <wp:simplePos x="0" y="0"/>
              <wp:positionH relativeFrom="column">
                <wp:posOffset>2858770</wp:posOffset>
              </wp:positionH>
              <wp:positionV relativeFrom="paragraph">
                <wp:posOffset>4445</wp:posOffset>
              </wp:positionV>
              <wp:extent cx="403225" cy="795655"/>
              <wp:effectExtent l="0" t="0" r="15875" b="23495"/>
              <wp:wrapNone/>
              <wp:docPr id="21299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BWVwIAALY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0ySd&#10;zfIJJYq1OKhHpI6pnRTkypPUGTvH3CezgcGzaPqOjxW0/ht7IcdA7OsbseLoCMfLLL5K05wSjqHJ&#10;LB/nuceMzj82YN03oVvijYICPh7oZIc76/rUU4p/y2rZlOtGyuDAbnsjgRyYn3EynsyyAf1dmlSk&#10;wy7zLI4D9LugvcTI1tPk622fVLNS9Mh5jJ8TcJ8eWrjAwYak8iWJoLyhdE9dT5a3trp8RcZB91K0&#10;hq8b7PmOWbdhgNpDleI+uQc8KqmxZD1YlNQafv3t3uejJDBKSYdaLqj9uWcgKJHfFYpllmSZF39w&#10;svEU+yBwGdn2kXySYkTt2xuNVCa4uYYH0+c7eTIr0O0Lrt3Kv4ohpji+XdDtybxx/Ybh2nKxWoUk&#10;lLth7k49Ge6hPUt+os/HFwZmGLtDvdzrk+rZ/MP0+1wk/czj4OByhFkMi+y379IPWee/m+Vv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pOwF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87</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7024" behindDoc="1" locked="0" layoutInCell="1" allowOverlap="1" wp14:anchorId="71ACFF16" wp14:editId="14C2F591">
              <wp:simplePos x="0" y="0"/>
              <wp:positionH relativeFrom="column">
                <wp:posOffset>2858770</wp:posOffset>
              </wp:positionH>
              <wp:positionV relativeFrom="paragraph">
                <wp:posOffset>4445</wp:posOffset>
              </wp:positionV>
              <wp:extent cx="403225" cy="795655"/>
              <wp:effectExtent l="0" t="0" r="15875" b="23495"/>
              <wp:wrapNone/>
              <wp:docPr id="21299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FL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jmOS7EOB/WA1DG1k4JceJJ6YwvMfTT3MHoWTd/xoYbOf2Mv5BCIfT0RKw6OcLzM4os0zSnhGLqc&#10;5dM895jR248NWPdN6I54o6SAjwc62f7GuiH1mOLfslq21aaVMjiw264kkD3zM06ml7NsRH+XJhXp&#10;scs8i+MA/S5ozzGyzVXydT0kNawSA3Ie4+cIPKSHFs5wsCGpfEkiKG8s3VM3kOWtra5ekXHQgxSt&#10;4ZsWe75h1t0zQO2hSnGf3B0etdRYsh4tShoNv/527/NREhilpEctl9T+fGEgKJHfFYpllmSZF39w&#10;sukV9kHgPLIdIvllihH10q00Upng5hoeTJ/v5NGsQXfPuHZL/yqGmOL4dkm3R3Plhg3DteViuQxJ&#10;KHfD3I16NNxDe5b8RJ8OzwzMOHaHernVR9Wz4sP0h1wk/Y3H0cHlCLMYF9lv37kfst7+bha/A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AsjEUt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88</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0704" behindDoc="1" locked="0" layoutInCell="1" allowOverlap="1" wp14:anchorId="165377D9" wp14:editId="1B296DD7">
              <wp:simplePos x="0" y="0"/>
              <wp:positionH relativeFrom="column">
                <wp:posOffset>2858770</wp:posOffset>
              </wp:positionH>
              <wp:positionV relativeFrom="paragraph">
                <wp:posOffset>4445</wp:posOffset>
              </wp:positionV>
              <wp:extent cx="403225" cy="795655"/>
              <wp:effectExtent l="0" t="0" r="15875" b="23495"/>
              <wp:wrapNone/>
              <wp:docPr id="20644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897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89</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1728" behindDoc="1" locked="0" layoutInCell="1" allowOverlap="1" wp14:anchorId="1F6798D0" wp14:editId="645E36E2">
              <wp:simplePos x="0" y="0"/>
              <wp:positionH relativeFrom="column">
                <wp:posOffset>2858770</wp:posOffset>
              </wp:positionH>
              <wp:positionV relativeFrom="paragraph">
                <wp:posOffset>4445</wp:posOffset>
              </wp:positionV>
              <wp:extent cx="403225" cy="795655"/>
              <wp:effectExtent l="0" t="0" r="15875" b="23495"/>
              <wp:wrapNone/>
              <wp:docPr id="20972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795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91</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2752" behindDoc="1" locked="0" layoutInCell="1" allowOverlap="1" wp14:anchorId="0D6C5558" wp14:editId="1012D143">
              <wp:simplePos x="0" y="0"/>
              <wp:positionH relativeFrom="column">
                <wp:posOffset>2858770</wp:posOffset>
              </wp:positionH>
              <wp:positionV relativeFrom="paragraph">
                <wp:posOffset>4445</wp:posOffset>
              </wp:positionV>
              <wp:extent cx="403225" cy="795655"/>
              <wp:effectExtent l="0" t="0" r="15875" b="23495"/>
              <wp:wrapNone/>
              <wp:docPr id="21299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692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92</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776" behindDoc="1" locked="0" layoutInCell="1" allowOverlap="1" wp14:anchorId="3CF2A4F9" wp14:editId="43AFAFAF">
              <wp:simplePos x="0" y="0"/>
              <wp:positionH relativeFrom="column">
                <wp:posOffset>2858770</wp:posOffset>
              </wp:positionH>
              <wp:positionV relativeFrom="paragraph">
                <wp:posOffset>4445</wp:posOffset>
              </wp:positionV>
              <wp:extent cx="403225" cy="795655"/>
              <wp:effectExtent l="0" t="0" r="15875" b="23495"/>
              <wp:wrapNone/>
              <wp:docPr id="21627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590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93</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9072" behindDoc="1" locked="0" layoutInCell="1" allowOverlap="1" wp14:anchorId="45F3B480" wp14:editId="316069DE">
              <wp:simplePos x="0" y="0"/>
              <wp:positionH relativeFrom="column">
                <wp:posOffset>2858770</wp:posOffset>
              </wp:positionH>
              <wp:positionV relativeFrom="paragraph">
                <wp:posOffset>4445</wp:posOffset>
              </wp:positionV>
              <wp:extent cx="403225" cy="795655"/>
              <wp:effectExtent l="0" t="0" r="15875" b="23495"/>
              <wp:wrapNone/>
              <wp:docPr id="21299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VwIAALYEAAAOAAAAZHJzL2Uyb0RvYy54bWysVE1v2zAMvQ/YfxB0X/xRO62DOEWWIMOA&#10;oi3aDj0rshwbkCWNUuN0v36U7KRpt9OwHBRSZJ7Ix8fMrw+dJHsBttWqpMkkpkQorqtW7Ur642nz&#10;5YoS65iqmNRKlPRVWHq9+Pxp3puZSHWjZSWAIIiys96UtHHOzKLI8kZ0zE60EQqDtYaOOXRhF1XA&#10;ekTvZJTG8TTqNVQGNBfW4u16CNJFwK9rwd1dXVvhiCwp1ubCCeHc+jNazNlsB8w0LR/LYP9QRcda&#10;hY+eoNbMMfIC7R9QXctBW127CdddpOu65SL0gN0k8YduHhtmROgFybHmRJP9f7D8dn8PpK1KmiZp&#10;UeQFJYp1OKgHpI6pnRTkwpPUGzvD3EdzD6Nn0fQdH2ro/Df2Qg6B2NcTseLgCMfLLL5I05wSjqHL&#10;Ip/muceM3n5swLpvQnfEGyUFfDzQyfY31g2pxxT/ltWyrTatlMGB3XYlgeyZn3EyvSyyEf1dmlSk&#10;xy7zLI4D9LugPcfINlfJ1/WQ1LBKDMh5jJ8j8JAeWjjDwYak8iWJoLyxdE/dQJa3trp6RcZBD1K0&#10;hm9a7PmGWXfPALWHKsV9cnd41FJjyXq0KGk0/Prbvc9HSWCUkh61XFL784WBoER+VyiWIskyL/7g&#10;ZNMr7IPAeWQ7RPLLFCPqpVtppDLBzTU8mD7fyaNZg+6ece2W/lUMMcXx7ZJuj+bKDRuGa8vFchmS&#10;UO6GuRv1aLiH9iz5iT4dnhmYcewO9XKrj6pnsw/TH3KR9DceRweXI8xiXGS/fed+yHr7u1n8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BfVgv9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94</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4800" behindDoc="1" locked="0" layoutInCell="1" allowOverlap="1" wp14:anchorId="5ACA3B8B" wp14:editId="1B5B31CB">
              <wp:simplePos x="0" y="0"/>
              <wp:positionH relativeFrom="column">
                <wp:posOffset>2858770</wp:posOffset>
              </wp:positionH>
              <wp:positionV relativeFrom="paragraph">
                <wp:posOffset>4445</wp:posOffset>
              </wp:positionV>
              <wp:extent cx="403225" cy="795655"/>
              <wp:effectExtent l="0" t="0" r="15875" b="23495"/>
              <wp:wrapNone/>
              <wp:docPr id="21955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488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100</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3168" behindDoc="1" locked="0" layoutInCell="1" allowOverlap="1" wp14:anchorId="1491FA9C" wp14:editId="3F47FF8C">
              <wp:simplePos x="0" y="0"/>
              <wp:positionH relativeFrom="column">
                <wp:posOffset>2858770</wp:posOffset>
              </wp:positionH>
              <wp:positionV relativeFrom="paragraph">
                <wp:posOffset>4445</wp:posOffset>
              </wp:positionV>
              <wp:extent cx="403225" cy="795655"/>
              <wp:effectExtent l="0" t="0" r="15875" b="23495"/>
              <wp:wrapNone/>
              <wp:docPr id="21299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Rm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tOEEsU6HNQDUsfUTgpy4UnqjS0w99Hcw+hZNH3Hhxo6/429kEMg9vVErDg4wvEyiy/SNKeEY+hy&#10;lk/z3GNGbz82YN03oTvijZICPh7oZPsb64bUY4p/y2rZVptWyuDAbruSQPbMzziZXs6yEf1dmlSk&#10;xy7zLI4D9LugPcfINlfJ1/WQ1LBKDMh5jJ8j8JAeWjjDwYak8iWJoLyxdE/dQJa3trp6RcZBD1K0&#10;hm9a7PmGWXfPALWHKsV9cnd41FJjyXq0KGk0/Prbvc9HSWCUkh61XFL784WBoER+VyiWWZJlXvzB&#10;yaZX2AeB88h2iOSXKUbUS7fSSCVKAasLps938mjWoLtnXLulfxVDTHF8u6Tbo7lyw4bh2nKxXIYk&#10;lLth7kY9Gu6hPUt+ok+HZwZmHLtDvdzqo+pZ8WH6Qy6S/sbj6OByhFmMi+y379wPWW9/N4vf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smlG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108</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312" behindDoc="1" locked="0" layoutInCell="1" allowOverlap="1" wp14:anchorId="4445163B" wp14:editId="2972B485">
              <wp:simplePos x="0" y="0"/>
              <wp:positionH relativeFrom="column">
                <wp:posOffset>2858770</wp:posOffset>
              </wp:positionH>
              <wp:positionV relativeFrom="paragraph">
                <wp:posOffset>4445</wp:posOffset>
              </wp:positionV>
              <wp:extent cx="403225" cy="795655"/>
              <wp:effectExtent l="0" t="0" r="15875" b="23495"/>
              <wp:wrapNone/>
              <wp:docPr id="1638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348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5824" behindDoc="1" locked="0" layoutInCell="1" allowOverlap="1" wp14:anchorId="482385A3" wp14:editId="15CA87A6">
              <wp:simplePos x="0" y="0"/>
              <wp:positionH relativeFrom="column">
                <wp:posOffset>2858770</wp:posOffset>
              </wp:positionH>
              <wp:positionV relativeFrom="paragraph">
                <wp:posOffset>4445</wp:posOffset>
              </wp:positionV>
              <wp:extent cx="403225" cy="795655"/>
              <wp:effectExtent l="0" t="0" r="15875" b="23495"/>
              <wp:wrapNone/>
              <wp:docPr id="22282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385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111</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920" behindDoc="1" locked="0" layoutInCell="1" allowOverlap="1" wp14:anchorId="15C29F15" wp14:editId="665DAFCF">
              <wp:simplePos x="0" y="0"/>
              <wp:positionH relativeFrom="column">
                <wp:posOffset>2858770</wp:posOffset>
              </wp:positionH>
              <wp:positionV relativeFrom="paragraph">
                <wp:posOffset>4445</wp:posOffset>
              </wp:positionV>
              <wp:extent cx="403225" cy="795655"/>
              <wp:effectExtent l="20320" t="13970" r="14605" b="19050"/>
              <wp:wrapNone/>
              <wp:docPr id="21"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2" o:spid="_x0000_s1026" style="position:absolute;margin-left:225.1pt;margin-top:.35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y6KwIAAEA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YZJZr1&#10;2KPPqBrTOyVIli7yINFgXYmZT/YRQpHOPhj+zRFtNh0mijWAGTrBGiSWhfzkxYXgOLxK6uGDafAB&#10;tvcmqnVsoQ+AqAM5xqacLk0RR084/pymN3leUMIxdLsoZkURX2Dl82ULzr8TpifBqCgg+wjODg/O&#10;BzKsfE6J5I2Szb1UKjqwqzcKyIGF+chmt4vpGd1dpylNBlSomKZphH4RdNcYN/NiO1//DaOXHidd&#10;yb6i8zR8IYmVQba3uom2Z1KNNnJW+qxjkG5sQW2aE8oIZhxjXDs0OgM/KBlwhCvqvu8ZCErUe42t&#10;WGTTaZj56EyL2xwduI7U1xGmOUJVtKZkNDd+3JO9Bbnr8KUs1q7NGtvXyihtaO3I6kwWxzQqfl6p&#10;sAfXfsz6tfirnwAAAP//AwBQSwMEFAAGAAgAAAAhAN/NATncAAAACAEAAA8AAABkcnMvZG93bnJl&#10;di54bWxMj8FOwzAMhu9IvENkJG4saekG6ppOgNTbODDGPWuypqNxqiTdyttjTuxm6//0+3O1md3A&#10;zibE3qOEbCGAGWy97rGTsP9sHp6BxaRQq8GjkfBjImzq25tKldpf8MOcd6ljVIKxVBJsSmPJeWyt&#10;cSou/GiQsqMPTiVaQ8d1UBcqdwPPhVhxp3qkC1aN5s2a9ns3OQmn1+122r+fUswtV1lRNKEJX1Le&#10;380va2DJzOkfhj99UoeanA5+Qh3ZIKFYipxQCU/AKF5mjzQciMtXAnhd8esH6l8AAAD//wMAUEsB&#10;Ai0AFAAGAAgAAAAhALaDOJL+AAAA4QEAABMAAAAAAAAAAAAAAAAAAAAAAFtDb250ZW50X1R5cGVz&#10;XS54bWxQSwECLQAUAAYACAAAACEAOP0h/9YAAACUAQAACwAAAAAAAAAAAAAAAAAvAQAAX3JlbHMv&#10;LnJlbHNQSwECLQAUAAYACAAAACEAc7iMuisCAABABAAADgAAAAAAAAAAAAAAAAAuAgAAZHJzL2Uy&#10;b0RvYy54bWxQSwECLQAUAAYACAAAACEA380BOdwAAAAIAQAADwAAAAAAAAAAAAAAAACFBAAAZHJz&#10;L2Rvd25yZXYueG1sUEsFBgAAAAAEAAQA8wAAAI4FAAAAAA==&#10;" fillcolor="#016794" strokecolor="#385d8a" strokeweight="2p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112</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1968" behindDoc="1" locked="0" layoutInCell="1" allowOverlap="1" wp14:anchorId="332E8778" wp14:editId="1B0FD652">
              <wp:simplePos x="0" y="0"/>
              <wp:positionH relativeFrom="column">
                <wp:posOffset>2858770</wp:posOffset>
              </wp:positionH>
              <wp:positionV relativeFrom="paragraph">
                <wp:posOffset>4445</wp:posOffset>
              </wp:positionV>
              <wp:extent cx="403225" cy="795655"/>
              <wp:effectExtent l="20320" t="13970" r="14605" b="19050"/>
              <wp:wrapNone/>
              <wp:docPr id="20"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3" o:spid="_x0000_s1026" style="position:absolute;margin-left:225.1pt;margin-top:.35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9tKg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Lrko5RHs06&#10;7NFnVI3pvRIkS5eTIFFvXYGZT/YRQpHOPhj+zRFtti0mig2A6VvBaiSWhfzkxYXgOLxKqv6DqfEB&#10;dvAmqnVqoAuAqAM5xaacr00RJ084/pymk/E4p4RjaL7MZ3keX2DF82ULzr8TpiPBKCkg+wjOjg/O&#10;BzKseE6J5I2S9b1UKjqwr7YKyJGF+chm8+X0gu5u05QmPSqUT9M0Qr8IuluMySLfLTZ/w+ikx0lX&#10;sivpIg1fSGJFkO2trqPtmVSDjZyVvugYpBtaUJn6jDKCGcYY1w6N1sAPSnoc4ZK67wcGghL1XmMr&#10;ltl0GmY+OtN8HjoMt5HqNsI0R6iSVpQM5tYPe3KwIPctvpTF2rXZYPsaGaUNrR1YXcjimEbFLysV&#10;9uDWj1m/Fn/9EwAA//8DAFBLAwQUAAYACAAAACEA380BOdwAAAAIAQAADwAAAGRycy9kb3ducmV2&#10;LnhtbEyPwU7DMAyG70i8Q2Qkbixp6Qbqmk6A1Ns4MMY9a7Kmo3GqJN3K22NO7Gbr//T7c7WZ3cDO&#10;JsTeo4RsIYAZbL3usZOw/2wenoHFpFCrwaOR8GMibOrbm0qV2l/ww5x3qWNUgrFUEmxKY8l5bK1x&#10;Ki78aJCyow9OJVpDx3VQFyp3A8+FWHGneqQLVo3mzZr2ezc5CafX7Xbav59SzC1XWVE0oQlfUt7f&#10;zS9rYMnM6R+GP31Sh5qcDn5CHdkgoViKnFAJT8AoXmaPNByIy1cCeF3x6wfqXwAAAP//AwBQSwEC&#10;LQAUAAYACAAAACEAtoM4kv4AAADhAQAAEwAAAAAAAAAAAAAAAAAAAAAAW0NvbnRlbnRfVHlwZXNd&#10;LnhtbFBLAQItABQABgAIAAAAIQA4/SH/1gAAAJQBAAALAAAAAAAAAAAAAAAAAC8BAABfcmVscy8u&#10;cmVsc1BLAQItABQABgAIAAAAIQAlUN9tKgIAAEAEAAAOAAAAAAAAAAAAAAAAAC4CAABkcnMvZTJv&#10;RG9jLnhtbFBLAQItABQABgAIAAAAIQDfzQE53AAAAAgBAAAPAAAAAAAAAAAAAAAAAIQEAABkcnMv&#10;ZG93bnJldi54bWxQSwUGAAAAAAQABADzAAAAjQUAAAAA&#10;" fillcolor="#016794" strokecolor="#385d8a" strokeweight="2pt"/>
          </w:pict>
        </mc:Fallback>
      </mc:AlternateContent>
    </w:r>
  </w:p>
  <w:p w:rsidR="00B92C03" w:rsidRPr="000D064C" w:rsidRDefault="00B92C03" w:rsidP="00B6073C">
    <w:pPr>
      <w:pStyle w:val="Footer"/>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113</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5216" behindDoc="1" locked="0" layoutInCell="1" allowOverlap="1" wp14:anchorId="499DC574" wp14:editId="44ACDFC9">
              <wp:simplePos x="0" y="0"/>
              <wp:positionH relativeFrom="column">
                <wp:posOffset>2858770</wp:posOffset>
              </wp:positionH>
              <wp:positionV relativeFrom="paragraph">
                <wp:posOffset>4445</wp:posOffset>
              </wp:positionV>
              <wp:extent cx="403225" cy="795655"/>
              <wp:effectExtent l="20320" t="13970" r="14605" b="19050"/>
              <wp:wrapNone/>
              <wp:docPr id="2129962"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3" o:spid="_x0000_s1026" style="position:absolute;margin-left:225.1pt;margin-top:.35pt;width:31.75pt;height:62.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y5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tp&#10;TolmHTbqM0rH9F4JkqWLcdCpt67E9Cf7CKFSZx8M/+aINpsWE8UawPStYDWyy0J+8uJCcBxeJbv+&#10;g6nxAXbwJkp2aqALgCgGOcXOnK+dESdPOP6cpOM8LyjhGJotimlRxBdY+XzZgvPvhOlIMCoKyD6C&#10;s+OD84EMK59TInmjZH0vlYoO7HcbBeTIwpBk09lickF3t2lKkx5lKiZpGqFfBN0txnhebOfrv2F0&#10;0uO4K9lVdJ6GLySxMsj2VtfR9kyqwUbOSl90DNINLdiZ+owyghlmGXcPjdbAD0p6nOOKuu8HBoIS&#10;9V5jKxbZZBIGPzqTYpajA7eR3W2EaY5QFd1RMpgbPyzLwYLct/hSFmvXZo3ta2SUNrR2YHUhi7Ma&#10;Fb/sVViGWz9m/dr+1U8A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NHXnLkvAgAARQQAAA4AAAAAAAAAAAAAAAAALgIAAGRy&#10;cy9lMm9Eb2MueG1sUEsBAi0AFAAGAAgAAAAhAN/NATncAAAACAEAAA8AAAAAAAAAAAAAAAAAiQQA&#10;AGRycy9kb3ducmV2LnhtbFBLBQYAAAAABAAEAPMAAACSBQAAAAA=&#10;" fillcolor="#016794" strokecolor="#385d8a" strokeweight="2pt"/>
          </w:pict>
        </mc:Fallback>
      </mc:AlternateContent>
    </w:r>
  </w:p>
  <w:p w:rsidR="00B92C03" w:rsidRPr="000D064C" w:rsidRDefault="00B92C03" w:rsidP="00B6073C">
    <w:pPr>
      <w:pStyle w:val="Footer"/>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114</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4016" behindDoc="1" locked="0" layoutInCell="1" allowOverlap="1" wp14:anchorId="37120A65" wp14:editId="4A259F81">
              <wp:simplePos x="0" y="0"/>
              <wp:positionH relativeFrom="column">
                <wp:posOffset>2858770</wp:posOffset>
              </wp:positionH>
              <wp:positionV relativeFrom="paragraph">
                <wp:posOffset>4445</wp:posOffset>
              </wp:positionV>
              <wp:extent cx="403225" cy="795655"/>
              <wp:effectExtent l="20320" t="13970" r="14605" b="19050"/>
              <wp:wrapNone/>
              <wp:docPr id="19"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4" o:spid="_x0000_s1026" style="position:absolute;margin-left:225.1pt;margin-top:.35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2GLQIAAEAEAAAOAAAAZHJzL2Uyb0RvYy54bWysU9uO0zAQfUfiHyy/0yTdppeo6apqWYS0&#10;wIqFD3Acp7FwbDN2m5av37HTLS28IfJgzWTGx2fOzCzvj50iBwFOGl3SbJRSIjQ3tdS7kn7/9vBu&#10;TonzTNdMGS1KehKO3q/evln2thBj0xpVCyAIol3R25K23tsiSRxvRcfcyFihMdgY6JhHF3ZJDaxH&#10;9E4l4zSdJr2B2oLhwjn8ux2CdBXxm0Zw/6VpnPBElRS5+XhCPKtwJqslK3bAbCv5mQb7BxYdkxof&#10;vUBtmWdkD/IvqE5yMM40fsRNl5imkVzEGrCaLP2jmueWWRFrQXGcvcjk/h8s/3x4AiJr7N2CEs06&#10;7NFXVI3pnRIkSxeTIFFvXYGZz/YJQpHOPhr+wxFtNi0mijWA6VvBaiSWhfzk5kJwHF4lVf/J1PgA&#10;23sT1To20AVA1IEcY1NOl6aIoyccf07Su/E4p4RjaLbIp3keX2DF62ULzn8QpiPBKCkg+wjODo/O&#10;BzKseE2J5I2S9YNUKjqwqzYKyIGF+cims6FevOKu05QmfUnH+SRNI/RN0F1j3M3z7Xx9ZniT1kmP&#10;k65kV9J5Gr6QxIog23tdR9szqQYbCSh91jFIN7SgMvUJZQQzjDGuHRqtgV+U9DjCJXU/9wwEJeqj&#10;xlYssskkzHx0JvlsjA5cR6rrCNMcoUpaUTKYGz/syd6C3LX4UhZr12aN7WtklDa0dmB1JotjGhU/&#10;r1TYg2s/Zv1e/NULAAAA//8DAFBLAwQUAAYACAAAACEA380BOdwAAAAIAQAADwAAAGRycy9kb3du&#10;cmV2LnhtbEyPwU7DMAyG70i8Q2Qkbixp6Qbqmk6A1Ns4MMY9a7Kmo3GqJN3K22NO7Gbr//T7c7WZ&#10;3cDOJsTeo4RsIYAZbL3usZOw/2wenoHFpFCrwaOR8GMibOrbm0qV2l/ww5x3qWNUgrFUEmxKY8l5&#10;bK1xKi78aJCyow9OJVpDx3VQFyp3A8+FWHGneqQLVo3mzZr2ezc5CafX7Xbav59SzC1XWVE0oQlf&#10;Ut7fzS9rYMnM6R+GP31Sh5qcDn5CHdkgoViKnFAJT8AoXmaPNByIy1cCeF3x6wfqXwAAAP//AwBQ&#10;SwECLQAUAAYACAAAACEAtoM4kv4AAADhAQAAEwAAAAAAAAAAAAAAAAAAAAAAW0NvbnRlbnRfVHlw&#10;ZXNdLnhtbFBLAQItABQABgAIAAAAIQA4/SH/1gAAAJQBAAALAAAAAAAAAAAAAAAAAC8BAABfcmVs&#10;cy8ucmVsc1BLAQItABQABgAIAAAAIQDlw82GLQIAAEAEAAAOAAAAAAAAAAAAAAAAAC4CAABkcnMv&#10;ZTJvRG9jLnhtbFBLAQItABQABgAIAAAAIQDfzQE53AAAAAgBAAAPAAAAAAAAAAAAAAAAAIcEAABk&#10;cnMvZG93bnJldi54bWxQSwUGAAAAAAQABADzAAAAkAUAAAAA&#10;" fillcolor="#016794" strokecolor="#385d8a" strokeweight="2p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116</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9312" behindDoc="1" locked="0" layoutInCell="1" allowOverlap="1" wp14:anchorId="2064F766" wp14:editId="5C73CE3B">
              <wp:simplePos x="0" y="0"/>
              <wp:positionH relativeFrom="column">
                <wp:posOffset>2858770</wp:posOffset>
              </wp:positionH>
              <wp:positionV relativeFrom="paragraph">
                <wp:posOffset>4445</wp:posOffset>
              </wp:positionV>
              <wp:extent cx="403225" cy="795655"/>
              <wp:effectExtent l="20320" t="13970" r="14605" b="19050"/>
              <wp:wrapNone/>
              <wp:docPr id="2129964"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6" o:spid="_x0000_s1026" style="position:absolute;margin-left:225.1pt;margin-top:.35pt;width:31.75pt;height:6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2LwIAAEUEAAAOAAAAZHJzL2Uyb0RvYy54bWysU9uO0zAQfUfiHyy/01w26bZR01XVsghp&#10;gRULH+A6TmPh2GbsNi1fz9jpli7whMiDNZMZH585M7O4O/aKHAQ4aXRNs0lKidDcNFLvavr1y/2b&#10;GSXOM90wZbSo6Uk4erd8/Wox2ErkpjOqEUAQRLtqsDXtvLdVkjjeiZ65ibFCY7A10DOPLuySBtiA&#10;6L1K8jSdJoOBxoLhwjn8uxmDdBnx21Zw/6ltnfBE1RS5+XhCPLfhTJYLVu2A2U7yMw32Dyx6JjU+&#10;eoHaMM/IHuQfUL3kYJxp/YSbPjFtK7mINWA1WfpbNU8dsyLWguI4e5HJ/T9Y/vHwCEQ2Nc2zfD6f&#10;FpRo1mOjPqN0TO+UIFk6nwadBusqTH+yjxAqdfbB8G+OaLPuMFGsAMzQCdYguyzkJy8uBMfhVbId&#10;PpgGH2B7b6Jkxxb6AIhikGPszOnSGXH0hOPPIr3J85ISjqHbeTkty/gCq54vW3D+nTA9CUZNAdlH&#10;cHZ4cD6QYdVzSiRvlGzupVLRgd12rYAcWBiSbHo7L87o7jpNaTKgTGWRphH6RdBdY9zMys1s9TeM&#10;XnocdyX7ms7S8IUkVgXZ3uom2p5JNdrIWemzjkG6sQVb05xQRjDjLOPuodEZ+EHJgHNcU/d9z0BQ&#10;ot5rbMU8K4ow+NEpytscHbiObK8jTHOEqumWktFc+3FZ9hbkrsOXsli7NitsXyujtKG1I6szWZzV&#10;qPh5r8IyXPsx69f2L38C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P4vsLYvAgAARQQAAA4AAAAAAAAAAAAAAAAALgIAAGRy&#10;cy9lMm9Eb2MueG1sUEsBAi0AFAAGAAgAAAAhAN/NATncAAAACAEAAA8AAAAAAAAAAAAAAAAAiQQA&#10;AGRycy9kb3ducmV2LnhtbFBLBQYAAAAABAAEAPMAAACSBQAAAAA=&#10;" fillcolor="#016794" strokecolor="#385d8a" strokeweight="2p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126</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0160" behindDoc="1" locked="0" layoutInCell="1" allowOverlap="1" wp14:anchorId="61BBA6E4" wp14:editId="76FE6386">
              <wp:simplePos x="0" y="0"/>
              <wp:positionH relativeFrom="column">
                <wp:posOffset>4445635</wp:posOffset>
              </wp:positionH>
              <wp:positionV relativeFrom="paragraph">
                <wp:posOffset>82550</wp:posOffset>
              </wp:positionV>
              <wp:extent cx="403225" cy="795655"/>
              <wp:effectExtent l="16510" t="15875" r="18415" b="17145"/>
              <wp:wrapNone/>
              <wp:docPr id="15"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7"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DYKwIAAEAEAAAOAAAAZHJzL2Uyb0RvYy54bWysU9uO0zAQfUfiHyy/0yTdpJeo6apqWYS0&#10;wIqFD3AdJ7FwbDN2my5fz9jpli7whMiDNZMZH585M7O6PfWKHAU4aXRFs0lKidDc1FK3Ff365e7N&#10;ghLnma6ZMlpU9Ek4ert+/Wo12FJMTWdULYAgiHblYCvaeW/LJHG8Ez1zE2OFxmBjoGceXWiTGtiA&#10;6L1Kpmk6SwYDtQXDhXP4dzcG6TriN43g/lPTOOGJqihy8/GEeO7DmaxXrGyB2U7yMw32Dyx6JjU+&#10;eoHaMc/IAeQfUL3kYJxp/ISbPjFNI7mINWA1WfpbNY8dsyLWguI4e5HJ/T9Y/vH4AETW2LuCEs16&#10;7NFnVI3pVgmSpct5kGiwrsTMR/sAoUhn7w3/5og22w4TxQbADJ1gNRLLQn7y4kJwHF4l++GDqfEB&#10;dvAmqnVqoA+AqAM5xaY8XZoiTp5w/JmnN9MpcuMYmi+LWVHEF1j5fNmC8++E6UkwKgrIPoKz473z&#10;gQwrn1MieaNkfSeVig60+60CcmRhPrLZfJmf0d11mtJkqOi0yNM0Qr8IumuMm0WxW2z+htFLj5Ou&#10;ZF/RRRq+kMTKINtbXUfbM6lGGzkrfdYxSDe2YG/qJ5QRzDjGuHZodAZ+UDLgCFfUfT8wEJSo9xpb&#10;sczyPMx8dPJiPkUHriP76wjTHKEquqdkNLd+3JODBdl2+FIWa9dmg+1rZJQ2tHZkdSaLYxoVP69U&#10;2INrP2b9Wvz1TwA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HG20NgrAgAAQAQAAA4AAAAAAAAAAAAAAAAALgIAAGRycy9l&#10;Mm9Eb2MueG1sUEsBAi0AFAAGAAgAAAAhAMm8fObdAAAACgEAAA8AAAAAAAAAAAAAAAAAhQQAAGRy&#10;cy9kb3ducmV2LnhtbFBLBQYAAAAABAAEAPMAAACPBQAAAAA=&#10;" fillcolor="#016794" strokecolor="#385d8a" strokeweight="2p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127</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2208" behindDoc="1" locked="0" layoutInCell="1" allowOverlap="1" wp14:anchorId="183CFEB3" wp14:editId="7703C59B">
              <wp:simplePos x="0" y="0"/>
              <wp:positionH relativeFrom="column">
                <wp:posOffset>4445635</wp:posOffset>
              </wp:positionH>
              <wp:positionV relativeFrom="paragraph">
                <wp:posOffset>82550</wp:posOffset>
              </wp:positionV>
              <wp:extent cx="403225" cy="795655"/>
              <wp:effectExtent l="16510" t="15875" r="18415" b="17145"/>
              <wp:wrapNone/>
              <wp:docPr id="1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8GKw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Jr7N2EEs06&#10;7NFnVI3pvRIkS5eLIFFvXYGZT/YRQpHOPhj+zRFtti0mig2A6VvBaiSWhfzkxYXgOLxKqv6DqfEB&#10;dvAmqnVqoAuAqAM5xaacr00RJ084/pymk/E4p4RjaL7MZ3keX2DF82ULzr8TpiPBKCkg+wjOjg/O&#10;BzKseE6J5I2S9b1UKjqwr7YKyJGF+chm8+X0gu5u05QmfUnH+TRNI/SLoLvFmCzy3WLzN4xOepx0&#10;JbuSLtLwhSRWBNne6jrankk12MhZ6YuOQbqhBZWpzygjmGGMce3QaA38oKTHES6p+35gIChR7zW2&#10;YplNp2HmozPN52N04DZS3UaY5ghV0oqSwdz6YU8OFuS+xZeyWLs2G2xfI6O0obUDqwtZHNOo+GWl&#10;wh7c+jHr1+KvfwI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IxI7wYrAgAAQAQAAA4AAAAAAAAAAAAAAAAALgIAAGRycy9l&#10;Mm9Eb2MueG1sUEsBAi0AFAAGAAgAAAAhAMm8fObdAAAACgEAAA8AAAAAAAAAAAAAAAAAhQQAAGRy&#10;cy9kb3ducmV2LnhtbFBLBQYAAAAABAAEAPMAAACPBQ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1360" behindDoc="1" locked="0" layoutInCell="1" allowOverlap="1" wp14:anchorId="66C0CE6E" wp14:editId="0DBC4D39">
              <wp:simplePos x="0" y="0"/>
              <wp:positionH relativeFrom="column">
                <wp:posOffset>4445635</wp:posOffset>
              </wp:positionH>
              <wp:positionV relativeFrom="paragraph">
                <wp:posOffset>82550</wp:posOffset>
              </wp:positionV>
              <wp:extent cx="403225" cy="795655"/>
              <wp:effectExtent l="16510" t="15875" r="18415" b="17145"/>
              <wp:wrapNone/>
              <wp:docPr id="212996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nY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Cko067FRn1E6pndKkCxdzINOg3Ulpj/ZRwiVOvtg+DdHtNl0mCjWAGboBGuQXRbykxcXguPwKqmH&#10;D6bBB9jemyjZsYU+AKIY5Bg7c7p0Rhw94fhzmt7kOXLjGLpdFLOiiC+w8vmyBeffCdOTYFQUkH0E&#10;Z4cH5wMZVj6nRPJGyeZeKhUd2NUbBeTAwpBks9vF9IzurtOUJgPKVEzTNEK/CLprjJt5sZ2v/4bR&#10;S4/jrmRf0XkavpDEyiDbW91E2zOpRhs5K33WMUg3tqA2zQllBDPOMu4eGp2BH5QMOMcVdd/3DAQl&#10;6r3GViyy6TQMfnSmxW2ODlxH6usI0xyhKlpTMpobPy7L3oLcdfhSFmvXZo3ta2WUNrR2ZHUmi7Ma&#10;FT/vVViGaz9m/dr+1U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TQnnY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129</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3408" behindDoc="1" locked="0" layoutInCell="1" allowOverlap="1" wp14:anchorId="0BEB2F78" wp14:editId="5888C511">
              <wp:simplePos x="0" y="0"/>
              <wp:positionH relativeFrom="column">
                <wp:posOffset>4445635</wp:posOffset>
              </wp:positionH>
              <wp:positionV relativeFrom="paragraph">
                <wp:posOffset>82550</wp:posOffset>
              </wp:positionV>
              <wp:extent cx="403225" cy="795655"/>
              <wp:effectExtent l="16510" t="15875" r="18415" b="17145"/>
              <wp:wrapNone/>
              <wp:docPr id="21299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r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ZpRo1mOjPqN0TO+UIFm6mAedButKTH+yjxAqdfbB8G+OaLPpMFGsAczQCdYguyzkJy8uBMfhVVIP&#10;H0yDD7C9N1GyYwt9AEQxyDF25nTpjDh6wvHnNL3J84ISjqHbRTErivgCK58vW3D+nTA9CUZFAdlH&#10;cHZ4cD6QYeVzSiRvlGzupVLRgV29UUAOLAxJNrtdTM/o7jpNaTKgTMU0TSP0i6C7xriZF9v5+m8Y&#10;vfQ47kr2FZ2n4QtJrAyyvdVNtD2TarSRs9JnHYN0Ywtq05xQRjDjLOPuodEZ+EHJgHNcUfd9z0BQ&#10;ot5rbMUim07D4EdnWtzm6MB1pL6OMM0RqqI1JaO58eOy7C3IXYcvZbF2bdbYvlZGaUNrR1Znsjir&#10;UfHzXoVluPZj1q/tX/0E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w/6vr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130</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336" behindDoc="1" locked="0" layoutInCell="1" allowOverlap="1" wp14:anchorId="3084190D" wp14:editId="56C1CD2E">
              <wp:simplePos x="0" y="0"/>
              <wp:positionH relativeFrom="column">
                <wp:posOffset>2858770</wp:posOffset>
              </wp:positionH>
              <wp:positionV relativeFrom="paragraph">
                <wp:posOffset>4445</wp:posOffset>
              </wp:positionV>
              <wp:extent cx="403225" cy="795655"/>
              <wp:effectExtent l="0" t="0" r="15875" b="23495"/>
              <wp:wrapNone/>
              <wp:docPr id="1966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144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14</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5456" behindDoc="1" locked="0" layoutInCell="1" allowOverlap="1" wp14:anchorId="11FCF90A" wp14:editId="30EAC2A2">
              <wp:simplePos x="0" y="0"/>
              <wp:positionH relativeFrom="column">
                <wp:posOffset>4445635</wp:posOffset>
              </wp:positionH>
              <wp:positionV relativeFrom="paragraph">
                <wp:posOffset>82550</wp:posOffset>
              </wp:positionV>
              <wp:extent cx="403225" cy="795655"/>
              <wp:effectExtent l="16510" t="15875" r="18415" b="17145"/>
              <wp:wrapNone/>
              <wp:docPr id="2129967"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X6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5n&#10;c0o067FRn1E6pvdKkCxdLoJOg3Ulpj/aBwiVOntv+DdHtNl2mCg2AGboBGuQXRbykxcXguPwKqmH&#10;D6bBB9jBmyjZqYU+AKIY5BQ783TpjDh5wvHnNL3J84ISjqH5spgVRXyBlc+XLTj/TpieBKOigOwj&#10;ODveOx/IsPI5JZI3SjZ3UqnowL7eKiBHFoYkm82X0zO6u05TmgwoUzFN0wj9IuiuMW4WxW6x+RtG&#10;Lz2Ou5J9RRdp+EISK4Nsb3UTbc+kGm3krPRZxyDd2ILaNE8oI5hxlnH30OgM/KBkwDmuqPt+YCAo&#10;Ue81tmKZTadh8KMzLeY5OnAdqa8jTHOEqmhNyWhu/bgsBwty3+FLWaxdmw22r5VR2tDakdWZLM5q&#10;VPy8V2EZrv2Y9Wv71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RlOX6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131</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7504" behindDoc="1" locked="0" layoutInCell="1" allowOverlap="1" wp14:anchorId="39399E10" wp14:editId="7271A426">
              <wp:simplePos x="0" y="0"/>
              <wp:positionH relativeFrom="column">
                <wp:posOffset>4445635</wp:posOffset>
              </wp:positionH>
              <wp:positionV relativeFrom="paragraph">
                <wp:posOffset>82550</wp:posOffset>
              </wp:positionV>
              <wp:extent cx="403225" cy="795655"/>
              <wp:effectExtent l="16510" t="15875" r="18415" b="17145"/>
              <wp:wrapNone/>
              <wp:docPr id="212996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G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sF2a9diozygd0zslSJYu5kGnwboS05/sI4RKnX0w/Jsj2mw6TBRrADN0gjXILgv5yYsLwXF4ldTD&#10;B9PgA2zvTZTs2EIfAFEMcoydOV06I46ecPw5TW/yvKCEY+h2UcyKIr7AyufLFpx/J0xPglFRQPYR&#10;nB0enA9kWPmcEskbJZt7qVR0YFdvFJADC0OSzW4X0zO6u05TmgwoUzFN0wj9IuiuMW7mxXa+/htG&#10;Lz2Ou5J9Redp+EISK4Nsb3UTbc+kGm3krPRZxyDd2ILaNCeUEcw4y7h7aHQGflAy4BxX1H3fMxCU&#10;qPcaW7HIptMw+NGZFrc5OnAdqa8jTHOEqmhNyWhu/Lgsewty1+FLWaxdmzW2r5VR2tDakdWZLM5q&#10;VPy8V2EZrv2Y9Wv7V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330G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132</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9552" behindDoc="1" locked="0" layoutInCell="1" allowOverlap="1" wp14:anchorId="0CB34BEE" wp14:editId="5574A22E">
              <wp:simplePos x="0" y="0"/>
              <wp:positionH relativeFrom="column">
                <wp:posOffset>4445635</wp:posOffset>
              </wp:positionH>
              <wp:positionV relativeFrom="paragraph">
                <wp:posOffset>82550</wp:posOffset>
              </wp:positionV>
              <wp:extent cx="403225" cy="795655"/>
              <wp:effectExtent l="16510" t="15875" r="18415" b="17145"/>
              <wp:wrapNone/>
              <wp:docPr id="2129969"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MXLwIAAEUEAAAOAAAAZHJzL2Uyb0RvYy54bWysU9uO0zAQfUfiHyy/01y26TZR01XVsghp&#10;gRULH+A6TmPh2GbsNi1fz9jpli7whMiDNZMZH585M7O4O/aKHAQ4aXRNs0lKidDcNFLvavr1y/2b&#10;OSXOM90wZbSo6Uk4erd8/Wox2ErkpjOqEUAQRLtqsDXtvLdVkjjeiZ65ibFCY7A10DOPLuySBtiA&#10;6L1K8jSdJYOBxoLhwjn8uxmDdBnx21Zw/6ltnfBE1RS5+XhCPLfhTJYLVu2A2U7yMw32Dyx6JjU+&#10;eoHaMM/IHuQfUL3kYJxp/YSbPjFtK7mINWA1WfpbNU8dsyLWguI4e5HJ/T9Y/vHwCEQ2Nc2zvCxn&#10;JSWa9diozygd0zslSJaW86DTYF2F6U/2EUKlzj4Y/s0RbdYdJooVgBk6wRpkl4X85MWF4Di8SrbD&#10;B9PgA2zvTZTs2EIfAFEMcoydOV06I46ecPw5TW/yvKCEY+i2LGZFEV9g1fNlC86/E6YnwagpIPsI&#10;zg4PzgcyrHpOieSNks29VCo6sNuuFZADC0OSzW7L6RndXacpTQaUqZimaYR+EXTXGDfzYjNf/Q2j&#10;lx7HXcm+pvM0fCGJVUG2t7qJtmdSjTZyVvqsY5BubMHWNCeUEcw4y7h7aHQGflAy4BzX1H3fMxCU&#10;qPcaW1Fm02kY/OhMi9scHbiObK8jTHOEqumWktFc+3FZ9hbkrsOXsli7NitsXyujtKG1I6szWZzV&#10;qPh5r8IyXPsx69f2L38C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ftDMX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133</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1600" behindDoc="1" locked="0" layoutInCell="1" allowOverlap="1" wp14:anchorId="767EABCE" wp14:editId="7491E9A8">
              <wp:simplePos x="0" y="0"/>
              <wp:positionH relativeFrom="column">
                <wp:posOffset>4445635</wp:posOffset>
              </wp:positionH>
              <wp:positionV relativeFrom="paragraph">
                <wp:posOffset>82550</wp:posOffset>
              </wp:positionV>
              <wp:extent cx="403225" cy="795655"/>
              <wp:effectExtent l="16510" t="15875" r="18415" b="17145"/>
              <wp:wrapNone/>
              <wp:docPr id="212997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q2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qJFmPTbqM0rH9F4JkqXLRdBpsK7E9Ef7AKFSZ+8N/+aINtsOE8UGwAydYA2yy0J+8uJCcBxeJfXw&#10;wTT4ADt4EyU7tdAHQBSDnGJnni6dESdPOP6cpjd5XlDCMTRfFrOiiC+w8vmyBeffCdOTYFQUkH0E&#10;Z8d75wMZVj6nRPJGyeZOKhUd2NdbBeTIwpBks/lyekZ312lKkwFlKqZpGqFfBN01xs2i2C02f8Po&#10;pcdxV7Kv6CINX0hiZZDtrW6i7ZlUo42clT7rGKQbW1Cb5gllBDPOMu4eGp2BH5QMOMcVdd8PDAQl&#10;6r3GViyz6TQMfnSmxTxHB64j9XWEaY5QFa0pGc2tH5flYEHuO3wpi7Vrs8H2tTJKG1o7sjqTxVmN&#10;ip/3KizDtR+zfm3/+ic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BTm6q2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134</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3648" behindDoc="1" locked="0" layoutInCell="1" allowOverlap="1" wp14:anchorId="1CBDBA8F" wp14:editId="35AAC269">
              <wp:simplePos x="0" y="0"/>
              <wp:positionH relativeFrom="column">
                <wp:posOffset>4445635</wp:posOffset>
              </wp:positionH>
              <wp:positionV relativeFrom="paragraph">
                <wp:posOffset>82550</wp:posOffset>
              </wp:positionV>
              <wp:extent cx="403225" cy="795655"/>
              <wp:effectExtent l="16510" t="15875" r="18415" b="17145"/>
              <wp:wrapNone/>
              <wp:docPr id="2129971"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Sn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G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y8OSn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136</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5696" behindDoc="1" locked="0" layoutInCell="1" allowOverlap="1" wp14:anchorId="72F11467" wp14:editId="25A8A097">
              <wp:simplePos x="0" y="0"/>
              <wp:positionH relativeFrom="column">
                <wp:posOffset>4445635</wp:posOffset>
              </wp:positionH>
              <wp:positionV relativeFrom="paragraph">
                <wp:posOffset>82550</wp:posOffset>
              </wp:positionV>
              <wp:extent cx="403225" cy="795655"/>
              <wp:effectExtent l="16510" t="15875" r="18415" b="17145"/>
              <wp:wrapNone/>
              <wp:docPr id="2129972"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aU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O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RTTaU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137</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7744" behindDoc="1" locked="0" layoutInCell="1" allowOverlap="1" wp14:anchorId="51258D5B" wp14:editId="28ACC75C">
              <wp:simplePos x="0" y="0"/>
              <wp:positionH relativeFrom="column">
                <wp:posOffset>4445635</wp:posOffset>
              </wp:positionH>
              <wp:positionV relativeFrom="paragraph">
                <wp:posOffset>82550</wp:posOffset>
              </wp:positionV>
              <wp:extent cx="403225" cy="795655"/>
              <wp:effectExtent l="16510" t="15875" r="18415" b="17145"/>
              <wp:wrapNone/>
              <wp:docPr id="212997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iF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mBLNOmzUZ5SO6b0SJEsX86BTb12J6U/2EUKlzj4Y/s0RbTYtJoo1gOlbwWpkl4X85MWF4Di8Snb9&#10;B1PjA+zgTZTs1EAXAFEMcoqdOV87I06ecPw5Scd5XlDCMTRbFNOiiC+w8vmyBeffCdORYFQUkH0E&#10;Z8cH5wMZVj6nRPJGyfpeKhUd2O82CsiRhSHJprPF5ILubtOUJj3KVEzSNEK/CLpbjPG82M7Xf8Po&#10;pMdxV7Kr6DwNX0hiZZDtra6j7ZlUg42clb7oGKQbWrAz9RllBDPMMu4eGq2BH5T0OMcVdd8PDAQl&#10;6r3GViyyySQMfnQmxSxHB24ju9sI0xyhKrqjZDA3fliWgwW5b/GlLNauzRrb18gobWjtwOpCFmc1&#10;Kn7Zq7AMt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wJniF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138</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9792" behindDoc="1" locked="0" layoutInCell="1" allowOverlap="1" wp14:anchorId="0768CC19" wp14:editId="5A6A8CFC">
              <wp:simplePos x="0" y="0"/>
              <wp:positionH relativeFrom="column">
                <wp:posOffset>4445635</wp:posOffset>
              </wp:positionH>
              <wp:positionV relativeFrom="paragraph">
                <wp:posOffset>82550</wp:posOffset>
              </wp:positionV>
              <wp:extent cx="403225" cy="795655"/>
              <wp:effectExtent l="16510" t="15875" r="18415" b="17145"/>
              <wp:wrapNone/>
              <wp:docPr id="212997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PzLwIAAEUEAAAOAAAAZHJzL2Uyb0RvYy54bWysU9uO0zAQfUfiHyy/01w26SVquqpaFiEt&#10;sGLhA1zHaSwc24zdpsvXM3a6pQs8IfJgzWTGx2fOzCxvT70iRwFOGl3TbJJSIjQ3jdT7mn79cvdm&#10;TonzTDdMGS1q+iQcvV29frUcbCVy0xnVCCAIol012Jp23tsqSRzvRM/cxFihMdga6JlHF/ZJA2xA&#10;9F4leZpOk8FAY8Fw4Rz+3Y5Buor4bSu4/9S2TniiaorcfDwhnrtwJqslq/bAbCf5mQb7BxY9kxof&#10;vUBtmWfkAPIPqF5yMM60fsJNn5i2lVzEGrCaLP2tmseOWRFrQXGcvcjk/h8s/3h8ACKbmuZZvljM&#10;Cko067FRn1E6pvdKkCxdzINOg3UVpj/aBwiVOntv+DdHtNl0mCjWAGboBGuQXRbykxcXguPwKtkN&#10;H0yDD7CDN1GyUwt9AEQxyCl25unSGXHyhOPPIr3J85ISjqHZopyWZXyBVc+XLTj/TpieBKOmgOwj&#10;ODveOx/IsOo5JZI3SjZ3UqnowH63UUCOLAxJNp0tijO6u05TmgwoU1mkaYR+EXTXGDfzcjtf/w2j&#10;lx7HXcm+pvM0fCGJVUG2t7qJtmdSjTZyVvqsY5BubMHONE8oI5hxlnH30OgM/KBkwDmuqft+YCAo&#10;Ue81tmKRFUUY/OgU5SxHB64ju+sI0xyharqjZDQ3flyWgwW57/ClLNauzRrb18oobWjtyOpMFmc1&#10;Kn7eq7AM1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XNpPzLwIAAEUEAAAOAAAAAAAAAAAAAAAAAC4CAABk&#10;cnMvZTJvRG9jLnhtbFBLAQItABQABgAIAAAAIQDJvHzm3QAAAAoBAAAPAAAAAAAAAAAAAAAAAIkE&#10;AABkcnMvZG93bnJldi54bWxQSwUGAAAAAAQABADzAAAAkwU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139</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1840" behindDoc="1" locked="0" layoutInCell="1" allowOverlap="1" wp14:anchorId="44AF7856" wp14:editId="1AA85E73">
              <wp:simplePos x="0" y="0"/>
              <wp:positionH relativeFrom="column">
                <wp:posOffset>4445635</wp:posOffset>
              </wp:positionH>
              <wp:positionV relativeFrom="paragraph">
                <wp:posOffset>82550</wp:posOffset>
              </wp:positionV>
              <wp:extent cx="403225" cy="795655"/>
              <wp:effectExtent l="16510" t="15875" r="18415" b="17145"/>
              <wp:wrapNone/>
              <wp:docPr id="212997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3iLg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BSWa9diozygd03slSJYuF0GnwboS0x/tA4RKnb03/Jsj2mw7TBQbADN0gjXILgv5yYsLwXF4ldTD&#10;B9PgA+zgTZTs1EIfAFEMcoqdebp0Rpw84fhzmt7kOXLjGJovi1lRxBdY+XzZgvPvhOlJMCoKyD6C&#10;s+O984EMK59TInmjZHMnlYoO7OutAnJkYUiy2Xw5PaO76zSlyYAyFdM0jdAvgu4a42ZR7Babv2H0&#10;0uO4K9lXdJGGLySxMsj2VjfR9kyq0UbOSp91DNKNLahN84QyghlnGXcPjc7AD0oGnOOKuu8HBoIS&#10;9V5jK5bZdBoGPzrTYp6jA9eR+jrCNEeoitaUjObWj8tysCD3Hb6Uxdq12WD7WhmlDa0dWZ3J4qxG&#10;xc97FZbh2o9Zv7Z//RMAAP//AwBQSwMEFAAGAAgAAAAhAMm8fObdAAAACgEAAA8AAABkcnMvZG93&#10;bnJldi54bWxMj8FOwzAQRO9I/IO1SNyonaZKqxCnAqTcyoG23N3YxCnxOrKdNvw92xMcd+Zpdqba&#10;zm5gFxNi71FCthDADLZe99hJOB6apw2wmBRqNXg0En5MhG19f1epUvsrfpjLPnWMQjCWSoJNaSw5&#10;j601TsWFHw2S9+WDU4nO0HEd1JXC3cCXQhTcqR7pg1WjebOm/d5PTsL5dbebju/nFJeWq2y1akIT&#10;PqV8fJhfnoElM6c/GG71qTrU1OnkJ9SRDRLWQmSEkpHTJgLWRV4AO92ETQ68rvj/CfUvAAAA//8D&#10;AFBLAQItABQABgAIAAAAIQC2gziS/gAAAOEBAAATAAAAAAAAAAAAAAAAAAAAAABbQ29udGVudF9U&#10;eXBlc10ueG1sUEsBAi0AFAAGAAgAAAAhADj9If/WAAAAlAEAAAsAAAAAAAAAAAAAAAAALwEAAF9y&#10;ZWxzLy5yZWxzUEsBAi0AFAAGAAgAAAAhALZd3eIuAgAARQQAAA4AAAAAAAAAAAAAAAAALgIAAGRy&#10;cy9lMm9Eb2MueG1sUEsBAi0AFAAGAAgAAAAhAMm8fObdAAAACgEAAA8AAAAAAAAAAAAAAAAAiAQA&#10;AGRycy9kb3ducmV2LnhtbFBLBQYAAAAABAAEAPMAAACSBQAAAAA=&#10;" fillcolor="#016794" strokecolor="#385d8a" strokeweight="2pt"/>
          </w:pict>
        </mc:Fallback>
      </mc:AlternateContent>
    </w:r>
  </w:p>
  <w:p w:rsidR="00B92C03" w:rsidRPr="000D064C" w:rsidRDefault="00B92C03"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140</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6848" behindDoc="1" locked="0" layoutInCell="1" allowOverlap="1" wp14:anchorId="483C2823" wp14:editId="46DC8FB2">
              <wp:simplePos x="0" y="0"/>
              <wp:positionH relativeFrom="column">
                <wp:posOffset>2858770</wp:posOffset>
              </wp:positionH>
              <wp:positionV relativeFrom="paragraph">
                <wp:posOffset>4445</wp:posOffset>
              </wp:positionV>
              <wp:extent cx="403225" cy="795655"/>
              <wp:effectExtent l="20320" t="13970" r="14605"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mKKAIAAD0EAAAOAAAAZHJzL2Uyb0RvYy54bWysU9uO0zAQfUfiHyy/06Rp00vUdFW1LEJa&#10;YMXCBziO01g4thm7TcvXM3a6pQs8IfJgzWTGx2fOzKzuTp0iRwFOGl3S8SilRGhuaqn3Jf365f7N&#10;ghLnma6ZMlqU9CwcvVu/frXqbSEy0xpVCyAIol3R25K23tsiSRxvRcfcyFihMdgY6JhHF/ZJDaxH&#10;9E4lWZrOkt5AbcFw4Rz+3Q1Buo74TSO4/9Q0TniiSorcfDwhnlU4k/WKFXtgtpX8QoP9A4uOSY2P&#10;XqF2zDNyAPkHVCc5GGcaP+KmS0zTSC5iDVjNOP2tmqeWWRFrQXGcvcrk/h8s/3h8BCJr7F1GiWYd&#10;9ugzqsb0XgkyCfr01hWY9mQfIVTo7IPh3xzRZttiltgAmL4VrEZW45CfvLgQHIdXSdV/MDWis4M3&#10;UapTA10ARBHIKXbkfO2IOHnC8ec0nWRZTgnH0HyZz/I8vsCK58sWnH8nTEeCUVJA6hGcHR+cD2RY&#10;8ZwSyRsl63upVHRgX20VkCMLwzGezZfTC7q7TVOa9CXN8mmaRugXQXeLMVnku8Xmbxid9DjmSnYl&#10;XaThC0msCLK91XW0PZNqsJGz0hcdg3RDCypTn1FGMMMM486h0Rr4QUmP81tS9/3AQFCi3mtsxXI8&#10;nYaBj840n2fowG2kuo0wzRGqpBUlg7n1w5IcLMh9iy+NY+3abLB9jYzShtYOrC5kcUaj4pd9Cktw&#10;68esX1u//gkAAP//AwBQSwMEFAAGAAgAAAAhAN/NATncAAAACAEAAA8AAABkcnMvZG93bnJldi54&#10;bWxMj8FOwzAMhu9IvENkJG4saekG6ppOgNTbODDGPWuypqNxqiTdyttjTuxm6//0+3O1md3AzibE&#10;3qOEbCGAGWy97rGTsP9sHp6BxaRQq8GjkfBjImzq25tKldpf8MOcd6ljVIKxVBJsSmPJeWytcSou&#10;/GiQsqMPTiVaQ8d1UBcqdwPPhVhxp3qkC1aN5s2a9ns3OQmn1+122r+fUswtV1lRNKEJX1Le380v&#10;a2DJzOkfhj99UoeanA5+Qh3ZIKFYipxQCU/AKF5mjzQciMtXAnhd8esH6l8AAAD//wMAUEsBAi0A&#10;FAAGAAgAAAAhALaDOJL+AAAA4QEAABMAAAAAAAAAAAAAAAAAAAAAAFtDb250ZW50X1R5cGVzXS54&#10;bWxQSwECLQAUAAYACAAAACEAOP0h/9YAAACUAQAACwAAAAAAAAAAAAAAAAAvAQAAX3JlbHMvLnJl&#10;bHNQSwECLQAUAAYACAAAACEAhhVJiigCAAA9BAAADgAAAAAAAAAAAAAAAAAuAgAAZHJzL2Uyb0Rv&#10;Yy54bWxQSwECLQAUAAYACAAAACEA380BOdwAAAAIAQAADwAAAAAAAAAAAAAAAACCBAAAZHJzL2Rv&#10;d25yZXYueG1sUEsFBgAAAAAEAAQA8wAAAIsFAAAAAA==&#10;" fillcolor="#016794" strokecolor="#385d8a" strokeweight="2pt"/>
          </w:pict>
        </mc:Fallback>
      </mc:AlternateContent>
    </w:r>
  </w:p>
  <w:p w:rsidR="00B92C03" w:rsidRPr="000D064C" w:rsidRDefault="00B92C03" w:rsidP="009E2F05">
    <w:pPr>
      <w:pStyle w:val="Footer"/>
      <w:rPr>
        <w:rFonts w:ascii="Verdana" w:hAnsi="Verdana"/>
        <w:b/>
        <w:color w:val="FFFFFF"/>
        <w:sz w:val="18"/>
      </w:rPr>
    </w:pPr>
    <w:r>
      <w:tab/>
    </w: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141</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360" behindDoc="1" locked="0" layoutInCell="1" allowOverlap="1" wp14:anchorId="63E94629" wp14:editId="073574AE">
              <wp:simplePos x="0" y="0"/>
              <wp:positionH relativeFrom="column">
                <wp:posOffset>2858770</wp:posOffset>
              </wp:positionH>
              <wp:positionV relativeFrom="paragraph">
                <wp:posOffset>4445</wp:posOffset>
              </wp:positionV>
              <wp:extent cx="403225" cy="795655"/>
              <wp:effectExtent l="0" t="0" r="15875" b="23495"/>
              <wp:wrapNone/>
              <wp:docPr id="2293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939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5936" behindDoc="1" locked="0" layoutInCell="1" allowOverlap="1" wp14:anchorId="3225E9AC" wp14:editId="73824AB7">
              <wp:simplePos x="0" y="0"/>
              <wp:positionH relativeFrom="column">
                <wp:posOffset>2858770</wp:posOffset>
              </wp:positionH>
              <wp:positionV relativeFrom="paragraph">
                <wp:posOffset>4445</wp:posOffset>
              </wp:positionV>
              <wp:extent cx="403225" cy="795655"/>
              <wp:effectExtent l="20320" t="13970" r="14605" b="19050"/>
              <wp:wrapNone/>
              <wp:docPr id="21299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epLAIAAEI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jBLNOmzUZ5SO6b0SZBxE6q0rMffJPkIo09kHw785os2mxSyxBjB9K1iN1LKQn7y4EByHV8mu/2Bq&#10;RGcHb6Jepwa6AIhKkFNsy/naFnHyhOPPSTrO84ISjqHZopgWRXyBlc+XLTj/TpiOBKOigNQjODs+&#10;OB/IsPI5JZI3Stb3UqnowH63UUCOLExINp0tJhd0d5umNOlRo2KSphH6RdDdYoznxXa+/htGJz3O&#10;upJdRedp+EISK4Nsb3Udbc+kGmzkrPRFxyDd0IKdqc8oI5hhkHHx0GgN/KCkxyGuqPt+YCAoUe81&#10;tmKRTSZh6qMzKWY5OnAb2d1GmOYIVdEdJYO58cOmHCzIfYsvZbF2bdbYvkZGaUNrB1YXsjioUfHL&#10;UoVNuPVj1q/VX/0EAAD//wMAUEsDBBQABgAIAAAAIQDfzQE53AAAAAgBAAAPAAAAZHJzL2Rvd25y&#10;ZXYueG1sTI/BTsMwDIbvSLxDZCRuLGnpBuqaToDU2zgwxj1rsqajcaok3crbY07sZuv/9PtztZnd&#10;wM4mxN6jhGwhgBlsve6xk7D/bB6egcWkUKvBo5HwYyJs6tubSpXaX/DDnHepY1SCsVQSbEpjyXls&#10;rXEqLvxokLKjD04lWkPHdVAXKncDz4VYcad6pAtWjebNmvZ7NzkJp9ftdtq/n1LMLVdZUTShCV9S&#10;3t/NL2tgyczpH4Y/fVKHmpwOfkId2SChWIqcUAlPwCheZo80HIjLVwJ4XfHrB+pfAAAA//8DAFBL&#10;AQItABQABgAIAAAAIQC2gziS/gAAAOEBAAATAAAAAAAAAAAAAAAAAAAAAABbQ29udGVudF9UeXBl&#10;c10ueG1sUEsBAi0AFAAGAAgAAAAhADj9If/WAAAAlAEAAAsAAAAAAAAAAAAAAAAALwEAAF9yZWxz&#10;Ly5yZWxzUEsBAi0AFAAGAAgAAAAhADoyd6ksAgAAQgQAAA4AAAAAAAAAAAAAAAAALgIAAGRycy9l&#10;Mm9Eb2MueG1sUEsBAi0AFAAGAAgAAAAhAN/NATncAAAACAEAAA8AAAAAAAAAAAAAAAAAhgQAAGRy&#10;cy9kb3ducmV2LnhtbFBLBQYAAAAABAAEAPMAAACPBQAAAAA=&#10;" fillcolor="#016794" strokecolor="#385d8a" strokeweight="2pt"/>
          </w:pict>
        </mc:Fallback>
      </mc:AlternateContent>
    </w:r>
  </w:p>
  <w:p w:rsidR="00B92C03" w:rsidRPr="000D064C" w:rsidRDefault="00B92C03" w:rsidP="009E2F05">
    <w:pPr>
      <w:pStyle w:val="Footer"/>
      <w:rPr>
        <w:rFonts w:ascii="Verdana" w:hAnsi="Verdana"/>
        <w:b/>
        <w:color w:val="FFFFFF"/>
        <w:sz w:val="18"/>
      </w:rPr>
    </w:pPr>
    <w:r>
      <w:tab/>
    </w: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148</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384" behindDoc="1" locked="0" layoutInCell="1" allowOverlap="1" wp14:anchorId="28C9EC43" wp14:editId="657990E4">
              <wp:simplePos x="0" y="0"/>
              <wp:positionH relativeFrom="column">
                <wp:posOffset>2858770</wp:posOffset>
              </wp:positionH>
              <wp:positionV relativeFrom="paragraph">
                <wp:posOffset>4445</wp:posOffset>
              </wp:positionV>
              <wp:extent cx="403225" cy="795655"/>
              <wp:effectExtent l="0" t="0" r="15875" b="23495"/>
              <wp:wrapNone/>
              <wp:docPr id="262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734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16</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408" behindDoc="1" locked="0" layoutInCell="1" allowOverlap="1" wp14:anchorId="03B870C5" wp14:editId="55CAE54B">
              <wp:simplePos x="0" y="0"/>
              <wp:positionH relativeFrom="column">
                <wp:posOffset>4445635</wp:posOffset>
              </wp:positionH>
              <wp:positionV relativeFrom="paragraph">
                <wp:posOffset>82740</wp:posOffset>
              </wp:positionV>
              <wp:extent cx="403225" cy="795655"/>
              <wp:effectExtent l="0" t="0" r="15875" b="23495"/>
              <wp:wrapNone/>
              <wp:docPr id="2949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6"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7529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17</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6432" behindDoc="1" locked="0" layoutInCell="1" allowOverlap="1" wp14:anchorId="63CB6322" wp14:editId="0CA6F6FB">
              <wp:simplePos x="0" y="0"/>
              <wp:positionH relativeFrom="column">
                <wp:posOffset>2858770</wp:posOffset>
              </wp:positionH>
              <wp:positionV relativeFrom="paragraph">
                <wp:posOffset>4445</wp:posOffset>
              </wp:positionV>
              <wp:extent cx="403225" cy="795655"/>
              <wp:effectExtent l="0" t="0" r="15875" b="23495"/>
              <wp:wrapNone/>
              <wp:docPr id="3276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324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18</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456" behindDoc="1" locked="0" layoutInCell="1" allowOverlap="1" wp14:anchorId="7C5DB6AC" wp14:editId="3235ED3B">
              <wp:simplePos x="0" y="0"/>
              <wp:positionH relativeFrom="column">
                <wp:posOffset>2858770</wp:posOffset>
              </wp:positionH>
              <wp:positionV relativeFrom="paragraph">
                <wp:posOffset>4445</wp:posOffset>
              </wp:positionV>
              <wp:extent cx="403225" cy="795655"/>
              <wp:effectExtent l="0" t="0" r="15875" b="23495"/>
              <wp:wrapNone/>
              <wp:docPr id="3604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222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19</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480" behindDoc="1" locked="0" layoutInCell="1" allowOverlap="1" wp14:anchorId="59DAB6F1" wp14:editId="36A91278">
              <wp:simplePos x="0" y="0"/>
              <wp:positionH relativeFrom="column">
                <wp:posOffset>2858770</wp:posOffset>
              </wp:positionH>
              <wp:positionV relativeFrom="paragraph">
                <wp:posOffset>4445</wp:posOffset>
              </wp:positionV>
              <wp:extent cx="403225" cy="795655"/>
              <wp:effectExtent l="0" t="0" r="15875" b="23495"/>
              <wp:wrapNone/>
              <wp:docPr id="3932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120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9504" behindDoc="1" locked="0" layoutInCell="1" allowOverlap="1" wp14:anchorId="0F36540C" wp14:editId="32430AA8">
              <wp:simplePos x="0" y="0"/>
              <wp:positionH relativeFrom="column">
                <wp:posOffset>2858770</wp:posOffset>
              </wp:positionH>
              <wp:positionV relativeFrom="paragraph">
                <wp:posOffset>4445</wp:posOffset>
              </wp:positionV>
              <wp:extent cx="403225" cy="795655"/>
              <wp:effectExtent l="0" t="0" r="15875" b="23495"/>
              <wp:wrapNone/>
              <wp:docPr id="4259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017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528" behindDoc="1" locked="0" layoutInCell="1" allowOverlap="1" wp14:anchorId="50FC8EA5" wp14:editId="03F931F4">
              <wp:simplePos x="0" y="0"/>
              <wp:positionH relativeFrom="column">
                <wp:posOffset>2858770</wp:posOffset>
              </wp:positionH>
              <wp:positionV relativeFrom="paragraph">
                <wp:posOffset>4445</wp:posOffset>
              </wp:positionV>
              <wp:extent cx="403225" cy="795655"/>
              <wp:effectExtent l="0" t="0" r="15875" b="23495"/>
              <wp:wrapNone/>
              <wp:docPr id="4587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915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1552" behindDoc="1" locked="0" layoutInCell="1" allowOverlap="1" wp14:anchorId="09FE013C" wp14:editId="708218FC">
              <wp:simplePos x="0" y="0"/>
              <wp:positionH relativeFrom="column">
                <wp:posOffset>2858770</wp:posOffset>
              </wp:positionH>
              <wp:positionV relativeFrom="paragraph">
                <wp:posOffset>4445</wp:posOffset>
              </wp:positionV>
              <wp:extent cx="403225" cy="795655"/>
              <wp:effectExtent l="0" t="0" r="15875" b="23495"/>
              <wp:wrapNone/>
              <wp:docPr id="4915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812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576" behindDoc="1" locked="0" layoutInCell="1" allowOverlap="1" wp14:anchorId="4A05729C" wp14:editId="4E0A9646">
              <wp:simplePos x="0" y="0"/>
              <wp:positionH relativeFrom="column">
                <wp:posOffset>2858770</wp:posOffset>
              </wp:positionH>
              <wp:positionV relativeFrom="paragraph">
                <wp:posOffset>4445</wp:posOffset>
              </wp:positionV>
              <wp:extent cx="403225" cy="795655"/>
              <wp:effectExtent l="0" t="0" r="15875" b="23495"/>
              <wp:wrapNone/>
              <wp:docPr id="5243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710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3600" behindDoc="1" locked="0" layoutInCell="1" allowOverlap="1" wp14:anchorId="0733DFD6" wp14:editId="6C1ED780">
              <wp:simplePos x="0" y="0"/>
              <wp:positionH relativeFrom="column">
                <wp:posOffset>4445635</wp:posOffset>
              </wp:positionH>
              <wp:positionV relativeFrom="paragraph">
                <wp:posOffset>82740</wp:posOffset>
              </wp:positionV>
              <wp:extent cx="403225" cy="795655"/>
              <wp:effectExtent l="0" t="0" r="15875" b="23495"/>
              <wp:wrapNone/>
              <wp:docPr id="5570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4"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6608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624" behindDoc="1" locked="0" layoutInCell="1" allowOverlap="1" wp14:anchorId="763E43A1" wp14:editId="4DB57A8A">
              <wp:simplePos x="0" y="0"/>
              <wp:positionH relativeFrom="column">
                <wp:posOffset>2858770</wp:posOffset>
              </wp:positionH>
              <wp:positionV relativeFrom="paragraph">
                <wp:posOffset>4445</wp:posOffset>
              </wp:positionV>
              <wp:extent cx="403225" cy="795655"/>
              <wp:effectExtent l="0" t="0" r="15875" b="23495"/>
              <wp:wrapNone/>
              <wp:docPr id="5898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505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4256" behindDoc="1" locked="0" layoutInCell="1" allowOverlap="1" wp14:anchorId="462ACE22" wp14:editId="7332CB8F">
              <wp:simplePos x="0" y="0"/>
              <wp:positionH relativeFrom="column">
                <wp:posOffset>2858770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30MWw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5648" behindDoc="1" locked="0" layoutInCell="1" allowOverlap="1" wp14:anchorId="7EB82BA6" wp14:editId="7A6F857F">
              <wp:simplePos x="0" y="0"/>
              <wp:positionH relativeFrom="column">
                <wp:posOffset>2858770</wp:posOffset>
              </wp:positionH>
              <wp:positionV relativeFrom="paragraph">
                <wp:posOffset>4445</wp:posOffset>
              </wp:positionV>
              <wp:extent cx="403225" cy="795655"/>
              <wp:effectExtent l="0" t="0" r="15875" b="23495"/>
              <wp:wrapNone/>
              <wp:docPr id="622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403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38</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6672" behindDoc="1" locked="0" layoutInCell="1" allowOverlap="1" wp14:anchorId="236165A1" wp14:editId="6A849B24">
              <wp:simplePos x="0" y="0"/>
              <wp:positionH relativeFrom="column">
                <wp:posOffset>2858770</wp:posOffset>
              </wp:positionH>
              <wp:positionV relativeFrom="paragraph">
                <wp:posOffset>4445</wp:posOffset>
              </wp:positionV>
              <wp:extent cx="403225" cy="795655"/>
              <wp:effectExtent l="0" t="0" r="15875" b="23495"/>
              <wp:wrapNone/>
              <wp:docPr id="6553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300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40</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6304" behindDoc="1" locked="0" layoutInCell="1" allowOverlap="1" wp14:anchorId="7C40A31E" wp14:editId="56BEBD71">
              <wp:simplePos x="0" y="0"/>
              <wp:positionH relativeFrom="column">
                <wp:posOffset>2858770</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DtYV0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42</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8352" behindDoc="1" locked="0" layoutInCell="1" allowOverlap="1" wp14:anchorId="6E768884" wp14:editId="54602271">
              <wp:simplePos x="0" y="0"/>
              <wp:positionH relativeFrom="column">
                <wp:posOffset>2858770</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Ve5zN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2448" behindDoc="1" locked="0" layoutInCell="1" allowOverlap="1" wp14:anchorId="071637E0" wp14:editId="7A6A3249">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8720" behindDoc="1" locked="0" layoutInCell="1" allowOverlap="1" wp14:anchorId="57181746" wp14:editId="5241C2E7">
              <wp:simplePos x="0" y="0"/>
              <wp:positionH relativeFrom="column">
                <wp:posOffset>2858770</wp:posOffset>
              </wp:positionH>
              <wp:positionV relativeFrom="paragraph">
                <wp:posOffset>4445</wp:posOffset>
              </wp:positionV>
              <wp:extent cx="403225" cy="795655"/>
              <wp:effectExtent l="0" t="0" r="15875" b="23495"/>
              <wp:wrapNone/>
              <wp:docPr id="7209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096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744" behindDoc="1" locked="0" layoutInCell="1" allowOverlap="1" wp14:anchorId="3FDEF607" wp14:editId="679149C6">
              <wp:simplePos x="0" y="0"/>
              <wp:positionH relativeFrom="column">
                <wp:posOffset>2858770</wp:posOffset>
              </wp:positionH>
              <wp:positionV relativeFrom="paragraph">
                <wp:posOffset>4445</wp:posOffset>
              </wp:positionV>
              <wp:extent cx="403225" cy="795655"/>
              <wp:effectExtent l="0" t="0" r="15875" b="23495"/>
              <wp:wrapNone/>
              <wp:docPr id="75368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9936"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768" behindDoc="1" locked="0" layoutInCell="1" allowOverlap="1" wp14:anchorId="4BC82BF6" wp14:editId="594B5FF2">
              <wp:simplePos x="0" y="0"/>
              <wp:positionH relativeFrom="column">
                <wp:posOffset>2858770</wp:posOffset>
              </wp:positionH>
              <wp:positionV relativeFrom="paragraph">
                <wp:posOffset>4445</wp:posOffset>
              </wp:positionV>
              <wp:extent cx="403225" cy="795655"/>
              <wp:effectExtent l="0" t="0" r="15875" b="23495"/>
              <wp:wrapNone/>
              <wp:docPr id="7864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8912"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48</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1792" behindDoc="1" locked="0" layoutInCell="1" allowOverlap="1" wp14:anchorId="3BACB01D" wp14:editId="6AED2345">
              <wp:simplePos x="0" y="0"/>
              <wp:positionH relativeFrom="column">
                <wp:posOffset>2858770</wp:posOffset>
              </wp:positionH>
              <wp:positionV relativeFrom="paragraph">
                <wp:posOffset>4445</wp:posOffset>
              </wp:positionV>
              <wp:extent cx="403225" cy="795655"/>
              <wp:effectExtent l="0" t="0" r="15875" b="23495"/>
              <wp:wrapNone/>
              <wp:docPr id="8192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7888"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816" behindDoc="1" locked="0" layoutInCell="1" allowOverlap="1" wp14:anchorId="266F0CFF" wp14:editId="0D5260F1">
              <wp:simplePos x="0" y="0"/>
              <wp:positionH relativeFrom="column">
                <wp:posOffset>2858770</wp:posOffset>
              </wp:positionH>
              <wp:positionV relativeFrom="paragraph">
                <wp:posOffset>4445</wp:posOffset>
              </wp:positionV>
              <wp:extent cx="403225" cy="795655"/>
              <wp:effectExtent l="0" t="0" r="15875" b="23495"/>
              <wp:wrapNone/>
              <wp:docPr id="8519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6864"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34840">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0D064C" w:rsidRDefault="00B92C03"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840" behindDoc="1" locked="0" layoutInCell="1" allowOverlap="1" wp14:anchorId="2C5DA9E9" wp14:editId="204C1781">
              <wp:simplePos x="0" y="0"/>
              <wp:positionH relativeFrom="column">
                <wp:posOffset>2858770</wp:posOffset>
              </wp:positionH>
              <wp:positionV relativeFrom="paragraph">
                <wp:posOffset>4445</wp:posOffset>
              </wp:positionV>
              <wp:extent cx="403225" cy="795655"/>
              <wp:effectExtent l="0" t="0" r="15875" b="23495"/>
              <wp:wrapNone/>
              <wp:docPr id="884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5840" fillcolor="#016794" strokecolor="#385d8a" strokeweight="2pt">
              <v:path arrowok="t"/>
            </v:rect>
          </w:pict>
        </mc:Fallback>
      </mc:AlternateContent>
    </w:r>
  </w:p>
  <w:p w:rsidR="00B92C03" w:rsidRPr="000D064C" w:rsidRDefault="00B92C03">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C03" w:rsidRDefault="00B92C03">
      <w:r>
        <w:separator/>
      </w:r>
    </w:p>
  </w:footnote>
  <w:footnote w:type="continuationSeparator" w:id="0">
    <w:p w:rsidR="00B92C03" w:rsidRDefault="00B92C03">
      <w:r>
        <w:continuationSeparator/>
      </w:r>
    </w:p>
  </w:footnote>
  <w:footnote w:id="1">
    <w:p w:rsidR="00B92C03" w:rsidRPr="008E6916" w:rsidRDefault="00B92C03" w:rsidP="00FB0C75">
      <w:pPr>
        <w:pStyle w:val="FootnoteText"/>
        <w:tabs>
          <w:tab w:val="left" w:pos="284"/>
        </w:tabs>
        <w:ind w:left="284" w:hanging="284"/>
        <w:jc w:val="both"/>
        <w:rPr>
          <w:rFonts w:ascii="Verdana" w:hAnsi="Verdana"/>
          <w:sz w:val="16"/>
        </w:rPr>
      </w:pPr>
      <w:r>
        <w:rPr>
          <w:rStyle w:val="FootnoteReference"/>
        </w:rPr>
        <w:footnoteRef/>
      </w:r>
      <w:r>
        <w:t xml:space="preserve"> </w:t>
      </w:r>
      <w:r>
        <w:tab/>
      </w:r>
      <w:r>
        <w:rPr>
          <w:rFonts w:ascii="Verdana" w:hAnsi="Verdana"/>
          <w:sz w:val="16"/>
        </w:rPr>
        <w:t xml:space="preserve">Le </w:t>
      </w:r>
      <w:r w:rsidRPr="00031A85">
        <w:rPr>
          <w:rFonts w:ascii="Verdana" w:hAnsi="Verdana"/>
          <w:sz w:val="16"/>
        </w:rPr>
        <w:t>29</w:t>
      </w:r>
      <w:r>
        <w:rPr>
          <w:rFonts w:ascii="Verdana" w:hAnsi="Verdana"/>
          <w:sz w:val="16"/>
        </w:rPr>
        <w:t> mars </w:t>
      </w:r>
      <w:r w:rsidRPr="00031A85">
        <w:rPr>
          <w:rFonts w:ascii="Verdana" w:hAnsi="Verdana"/>
          <w:sz w:val="16"/>
        </w:rPr>
        <w:t>2017</w:t>
      </w:r>
      <w:r>
        <w:rPr>
          <w:rFonts w:ascii="Verdana" w:hAnsi="Verdana"/>
          <w:sz w:val="16"/>
        </w:rPr>
        <w:t>, le Royaume-Uni a officiellement annoncé son intention de quitter l’UE, déclenchant ainsi le processus de retrait prévu à l’article </w:t>
      </w:r>
      <w:r w:rsidRPr="00031A85">
        <w:rPr>
          <w:rFonts w:ascii="Verdana" w:hAnsi="Verdana"/>
          <w:sz w:val="16"/>
        </w:rPr>
        <w:t>50</w:t>
      </w:r>
      <w:r>
        <w:rPr>
          <w:rFonts w:ascii="Verdana" w:hAnsi="Verdana"/>
          <w:sz w:val="16"/>
        </w:rPr>
        <w:t xml:space="preserve"> du traité sur l’Union européenne.</w:t>
      </w:r>
    </w:p>
  </w:footnote>
  <w:footnote w:id="2">
    <w:p w:rsidR="00B92C03" w:rsidRPr="007173C7" w:rsidRDefault="00B92C03" w:rsidP="00FB0C75">
      <w:pPr>
        <w:pStyle w:val="FootnoteText"/>
        <w:tabs>
          <w:tab w:val="left" w:pos="284"/>
        </w:tabs>
        <w:ind w:left="284" w:hanging="284"/>
        <w:jc w:val="both"/>
        <w:rPr>
          <w:sz w:val="18"/>
          <w:szCs w:val="18"/>
        </w:rPr>
      </w:pPr>
      <w:r>
        <w:rPr>
          <w:rStyle w:val="FootnoteReference"/>
        </w:rPr>
        <w:footnoteRef/>
      </w:r>
      <w:r>
        <w:rPr>
          <w:sz w:val="18"/>
        </w:rPr>
        <w:t xml:space="preserve"> </w:t>
      </w:r>
      <w:r>
        <w:tab/>
      </w:r>
      <w:r>
        <w:rPr>
          <w:rFonts w:ascii="Verdana" w:hAnsi="Verdana"/>
          <w:sz w:val="16"/>
        </w:rPr>
        <w:t>En vertu du principe de subsidiarité, l'Union intervient seulement si, et dans la mesure où, les objectifs de l'action envisagée ne peuvent pas être atteints de manière suffisante par les États membres, mais peuvent l'être mieux, en raison des dimensions ou des effets de l'action envisagée, au niveau de l'Union. En vertu du principe de proportionnalité, le contenu et la forme de l'action de l'Union n'excèdent pas ce qui est nécessaire pour atteindre les objectifs des traités. Voir l’article </w:t>
      </w:r>
      <w:r w:rsidRPr="00031A85">
        <w:rPr>
          <w:rFonts w:ascii="Verdana" w:hAnsi="Verdana"/>
          <w:sz w:val="16"/>
        </w:rPr>
        <w:t>5</w:t>
      </w:r>
      <w:r>
        <w:rPr>
          <w:rFonts w:ascii="Verdana" w:hAnsi="Verdana"/>
          <w:sz w:val="16"/>
        </w:rPr>
        <w:t xml:space="preserve"> du TFUE.</w:t>
      </w:r>
    </w:p>
  </w:footnote>
  <w:footnote w:id="3">
    <w:p w:rsidR="00B92C03" w:rsidRPr="008E6916" w:rsidRDefault="00B92C03" w:rsidP="00FB0C75">
      <w:pPr>
        <w:pStyle w:val="FootnoteText"/>
        <w:tabs>
          <w:tab w:val="left" w:pos="284"/>
        </w:tabs>
        <w:ind w:left="284" w:hanging="284"/>
        <w:jc w:val="both"/>
      </w:pPr>
      <w:r>
        <w:rPr>
          <w:rStyle w:val="FootnoteReference"/>
        </w:rPr>
        <w:footnoteRef/>
      </w:r>
      <w:r>
        <w:t xml:space="preserve"> </w:t>
      </w:r>
      <w:r>
        <w:tab/>
      </w:r>
      <w:r>
        <w:rPr>
          <w:rFonts w:ascii="Verdana" w:hAnsi="Verdana"/>
          <w:sz w:val="16"/>
        </w:rPr>
        <w:t>Voir la communication de la Commission «Europe </w:t>
      </w:r>
      <w:r w:rsidRPr="00031A85">
        <w:rPr>
          <w:rFonts w:ascii="Verdana" w:hAnsi="Verdana"/>
          <w:sz w:val="16"/>
        </w:rPr>
        <w:t>2020</w:t>
      </w:r>
      <w:r>
        <w:rPr>
          <w:rFonts w:ascii="Verdana" w:hAnsi="Verdana"/>
          <w:sz w:val="16"/>
        </w:rPr>
        <w:t xml:space="preserve"> - Une stratégie pour une croissance intelligente, durable et inclusive», COM(</w:t>
      </w:r>
      <w:r w:rsidRPr="00031A85">
        <w:rPr>
          <w:rFonts w:ascii="Verdana" w:hAnsi="Verdana"/>
          <w:sz w:val="16"/>
        </w:rPr>
        <w:t>2010</w:t>
      </w:r>
      <w:r>
        <w:rPr>
          <w:rFonts w:ascii="Verdana" w:hAnsi="Verdana"/>
          <w:sz w:val="16"/>
        </w:rPr>
        <w:t>) </w:t>
      </w:r>
      <w:r w:rsidRPr="00031A85">
        <w:rPr>
          <w:rFonts w:ascii="Verdana" w:hAnsi="Verdana"/>
          <w:sz w:val="16"/>
        </w:rPr>
        <w:t>2020</w:t>
      </w:r>
      <w:r>
        <w:rPr>
          <w:rFonts w:ascii="Verdana" w:hAnsi="Verdana"/>
          <w:sz w:val="16"/>
        </w:rPr>
        <w:t xml:space="preserve"> du </w:t>
      </w:r>
      <w:r w:rsidRPr="00031A85">
        <w:rPr>
          <w:rFonts w:ascii="Verdana" w:hAnsi="Verdana"/>
          <w:sz w:val="16"/>
        </w:rPr>
        <w:t>3</w:t>
      </w:r>
      <w:r>
        <w:rPr>
          <w:rFonts w:ascii="Verdana" w:hAnsi="Verdana"/>
          <w:sz w:val="16"/>
        </w:rPr>
        <w:t xml:space="preserve"> mars </w:t>
      </w:r>
      <w:r w:rsidRPr="00031A85">
        <w:rPr>
          <w:rFonts w:ascii="Verdana" w:hAnsi="Verdana"/>
          <w:sz w:val="16"/>
        </w:rPr>
        <w:t>2010</w:t>
      </w:r>
      <w:r>
        <w:rPr>
          <w:rFonts w:ascii="Verdana" w:hAnsi="Verdana"/>
          <w:sz w:val="16"/>
        </w:rPr>
        <w:t>.</w:t>
      </w:r>
    </w:p>
  </w:footnote>
  <w:footnote w:id="4">
    <w:p w:rsidR="00B92C03" w:rsidRPr="008E6916" w:rsidRDefault="00B92C03" w:rsidP="00FB0C75">
      <w:pPr>
        <w:pStyle w:val="FootnoteText"/>
        <w:tabs>
          <w:tab w:val="left" w:pos="284"/>
        </w:tabs>
        <w:ind w:left="284" w:hanging="284"/>
        <w:jc w:val="both"/>
      </w:pPr>
      <w:r>
        <w:rPr>
          <w:rStyle w:val="FootnoteReference"/>
        </w:rPr>
        <w:footnoteRef/>
      </w:r>
      <w:r>
        <w:t xml:space="preserve"> </w:t>
      </w:r>
      <w:r>
        <w:tab/>
      </w:r>
      <w:r>
        <w:rPr>
          <w:rFonts w:ascii="Verdana" w:hAnsi="Verdana"/>
          <w:sz w:val="16"/>
        </w:rPr>
        <w:t xml:space="preserve">Accord interinstitutionnel du </w:t>
      </w:r>
      <w:r w:rsidRPr="00031A85">
        <w:rPr>
          <w:rFonts w:ascii="Verdana" w:hAnsi="Verdana"/>
          <w:sz w:val="16"/>
        </w:rPr>
        <w:t>2</w:t>
      </w:r>
      <w:r>
        <w:rPr>
          <w:rFonts w:ascii="Verdana" w:hAnsi="Verdana"/>
          <w:sz w:val="16"/>
        </w:rPr>
        <w:t> décembre </w:t>
      </w:r>
      <w:r w:rsidRPr="00031A85">
        <w:rPr>
          <w:rFonts w:ascii="Verdana" w:hAnsi="Verdana"/>
          <w:sz w:val="16"/>
        </w:rPr>
        <w:t>2013</w:t>
      </w:r>
      <w:r>
        <w:rPr>
          <w:rFonts w:ascii="Verdana" w:hAnsi="Verdana"/>
          <w:sz w:val="16"/>
        </w:rPr>
        <w:t xml:space="preserve"> entre le Parlement européen, le Conseil et la Commission sur la discipline budgétaire, la coopération en matière budgétaire et la bonne gestion financière (</w:t>
      </w:r>
      <w:r w:rsidRPr="00031A85">
        <w:rPr>
          <w:rFonts w:ascii="Verdana" w:hAnsi="Verdana"/>
          <w:sz w:val="16"/>
        </w:rPr>
        <w:t>2013</w:t>
      </w:r>
      <w:r>
        <w:rPr>
          <w:rFonts w:ascii="Verdana" w:hAnsi="Verdana"/>
          <w:sz w:val="16"/>
        </w:rPr>
        <w:t>/C </w:t>
      </w:r>
      <w:r w:rsidRPr="00031A85">
        <w:rPr>
          <w:rFonts w:ascii="Verdana" w:hAnsi="Verdana"/>
          <w:sz w:val="16"/>
        </w:rPr>
        <w:t>373</w:t>
      </w:r>
      <w:r>
        <w:rPr>
          <w:rFonts w:ascii="Verdana" w:hAnsi="Verdana"/>
          <w:sz w:val="16"/>
        </w:rPr>
        <w:t>/</w:t>
      </w:r>
      <w:r w:rsidRPr="00031A85">
        <w:rPr>
          <w:rFonts w:ascii="Verdana" w:hAnsi="Verdana"/>
          <w:sz w:val="16"/>
        </w:rPr>
        <w:t>01</w:t>
      </w:r>
      <w:r>
        <w:rPr>
          <w:rFonts w:ascii="Verdana" w:hAnsi="Verdana"/>
          <w:sz w:val="16"/>
        </w:rPr>
        <w:t>).</w:t>
      </w:r>
    </w:p>
  </w:footnote>
  <w:footnote w:id="5">
    <w:p w:rsidR="00B92C03" w:rsidRPr="0007050D" w:rsidRDefault="00B92C03" w:rsidP="00FB0C75">
      <w:pPr>
        <w:pStyle w:val="FootnoteText"/>
        <w:jc w:val="both"/>
      </w:pPr>
      <w:r>
        <w:rPr>
          <w:rStyle w:val="FootnoteReference"/>
          <w:rFonts w:ascii="Verdana" w:hAnsi="Verdana"/>
          <w:sz w:val="16"/>
        </w:rPr>
        <w:footnoteRef/>
      </w:r>
      <w:r>
        <w:t xml:space="preserve"> </w:t>
      </w:r>
      <w:r>
        <w:tab/>
      </w:r>
      <w:r>
        <w:rPr>
          <w:rFonts w:ascii="Verdana" w:hAnsi="Verdana"/>
          <w:sz w:val="16"/>
        </w:rPr>
        <w:t>Les standards de contrôle interne, par exemple, reposent sur les principes de contrôle interne </w:t>
      </w:r>
      <w:r w:rsidRPr="00031A85">
        <w:rPr>
          <w:rFonts w:ascii="Verdana" w:hAnsi="Verdana"/>
          <w:sz w:val="16"/>
        </w:rPr>
        <w:t>2013</w:t>
      </w:r>
      <w:r>
        <w:rPr>
          <w:rFonts w:ascii="Verdana" w:hAnsi="Verdana"/>
          <w:sz w:val="16"/>
        </w:rPr>
        <w:t xml:space="preserve"> du COSO.</w:t>
      </w:r>
    </w:p>
  </w:footnote>
  <w:footnote w:id="6">
    <w:p w:rsidR="00B92C03" w:rsidRPr="00C63AA5" w:rsidRDefault="00B92C03" w:rsidP="00FB0C75">
      <w:pPr>
        <w:pStyle w:val="Corpsdutexte1"/>
        <w:spacing w:before="0" w:after="0" w:line="240" w:lineRule="auto"/>
        <w:ind w:left="709" w:right="40" w:hanging="709"/>
        <w:jc w:val="both"/>
        <w:rPr>
          <w:rFonts w:ascii="Verdana" w:hAnsi="Verdana"/>
          <w:sz w:val="16"/>
          <w:szCs w:val="18"/>
        </w:rPr>
      </w:pPr>
      <w:r>
        <w:rPr>
          <w:rStyle w:val="FootnoteReference"/>
          <w:rFonts w:ascii="Verdana" w:hAnsi="Verdana"/>
          <w:sz w:val="16"/>
        </w:rPr>
        <w:footnoteRef/>
      </w:r>
      <w:r>
        <w:rPr>
          <w:rFonts w:ascii="Verdana" w:hAnsi="Verdana"/>
          <w:sz w:val="16"/>
        </w:rPr>
        <w:t xml:space="preserve"> </w:t>
      </w:r>
      <w:r>
        <w:tab/>
      </w:r>
      <w:r>
        <w:rPr>
          <w:rFonts w:ascii="Verdana" w:hAnsi="Verdana"/>
          <w:sz w:val="16"/>
        </w:rPr>
        <w:t>Par conséquent, le terme «Commission européenne» est utilisé pour désigner tant l’institution (le collège), formée par les membres de la Commission, que son administration gérée par les directeurs généraux de ses départements (ainsi que les dirigeants d’autres structures administratives comme les services, les offices et les agences exécutives).</w:t>
      </w:r>
    </w:p>
  </w:footnote>
  <w:footnote w:id="7">
    <w:p w:rsidR="00B92C03" w:rsidRPr="003F36E4" w:rsidRDefault="00B92C03" w:rsidP="00FB0C75">
      <w:pPr>
        <w:pStyle w:val="FootnoteText"/>
        <w:tabs>
          <w:tab w:val="left" w:pos="284"/>
        </w:tabs>
        <w:rPr>
          <w:rFonts w:ascii="Verdana" w:hAnsi="Verdana"/>
          <w:sz w:val="16"/>
        </w:rPr>
      </w:pPr>
      <w:r>
        <w:rPr>
          <w:rStyle w:val="FootnoteReference"/>
        </w:rPr>
        <w:footnoteRef/>
      </w:r>
      <w:r>
        <w:t xml:space="preserve"> </w:t>
      </w:r>
      <w:r>
        <w:tab/>
      </w:r>
      <w:r>
        <w:rPr>
          <w:rFonts w:ascii="Verdana" w:hAnsi="Verdana"/>
          <w:sz w:val="16"/>
        </w:rPr>
        <w:t xml:space="preserve">Pour plus de plus amples informations, voir Commission européenne, «Prévisions économiques européennes, hiver </w:t>
      </w:r>
      <w:r w:rsidRPr="00031A85">
        <w:rPr>
          <w:rFonts w:ascii="Verdana" w:hAnsi="Verdana"/>
          <w:sz w:val="16"/>
        </w:rPr>
        <w:t>2017</w:t>
      </w:r>
      <w:r>
        <w:rPr>
          <w:rFonts w:ascii="Verdana" w:hAnsi="Verdana"/>
          <w:sz w:val="16"/>
        </w:rPr>
        <w:t>».</w:t>
      </w:r>
    </w:p>
  </w:footnote>
  <w:footnote w:id="8">
    <w:p w:rsidR="00B92C03" w:rsidRPr="003F36E4" w:rsidRDefault="00B92C03" w:rsidP="00ED2730">
      <w:pPr>
        <w:pStyle w:val="FootnoteText"/>
        <w:tabs>
          <w:tab w:val="left" w:pos="284"/>
        </w:tabs>
        <w:ind w:left="284" w:hanging="284"/>
        <w:jc w:val="both"/>
        <w:rPr>
          <w:rFonts w:ascii="Verdana" w:hAnsi="Verdana"/>
          <w:sz w:val="16"/>
        </w:rPr>
      </w:pPr>
      <w:r>
        <w:rPr>
          <w:rStyle w:val="FootnoteReference"/>
        </w:rPr>
        <w:footnoteRef/>
      </w:r>
      <w:r>
        <w:t xml:space="preserve"> </w:t>
      </w:r>
      <w:r>
        <w:tab/>
      </w:r>
      <w:r>
        <w:rPr>
          <w:rFonts w:ascii="Verdana" w:hAnsi="Verdana"/>
          <w:sz w:val="16"/>
        </w:rPr>
        <w:t>Décision C(</w:t>
      </w:r>
      <w:r w:rsidRPr="00031A85">
        <w:rPr>
          <w:rFonts w:ascii="Verdana" w:hAnsi="Verdana"/>
          <w:sz w:val="16"/>
        </w:rPr>
        <w:t>2016</w:t>
      </w:r>
      <w:r>
        <w:rPr>
          <w:rFonts w:ascii="Verdana" w:hAnsi="Verdana"/>
          <w:sz w:val="16"/>
        </w:rPr>
        <w:t xml:space="preserve">) </w:t>
      </w:r>
      <w:r w:rsidRPr="00031A85">
        <w:rPr>
          <w:rFonts w:ascii="Verdana" w:hAnsi="Verdana"/>
          <w:sz w:val="16"/>
        </w:rPr>
        <w:t>60</w:t>
      </w:r>
      <w:r>
        <w:rPr>
          <w:rFonts w:ascii="Verdana" w:hAnsi="Verdana"/>
          <w:sz w:val="16"/>
        </w:rPr>
        <w:t>/</w:t>
      </w:r>
      <w:r w:rsidRPr="00031A85">
        <w:rPr>
          <w:rFonts w:ascii="Verdana" w:hAnsi="Verdana"/>
          <w:sz w:val="16"/>
        </w:rPr>
        <w:t>03</w:t>
      </w:r>
      <w:r>
        <w:rPr>
          <w:rFonts w:ascii="Verdana" w:hAnsi="Verdana"/>
          <w:sz w:val="16"/>
        </w:rPr>
        <w:t xml:space="preserve"> de la Commission du </w:t>
      </w:r>
      <w:r w:rsidRPr="00031A85">
        <w:rPr>
          <w:rFonts w:ascii="Verdana" w:hAnsi="Verdana"/>
          <w:sz w:val="16"/>
        </w:rPr>
        <w:t>10</w:t>
      </w:r>
      <w:r>
        <w:rPr>
          <w:rFonts w:ascii="Verdana" w:hAnsi="Verdana"/>
          <w:sz w:val="16"/>
        </w:rPr>
        <w:t> février </w:t>
      </w:r>
      <w:r w:rsidRPr="00031A85">
        <w:rPr>
          <w:rFonts w:ascii="Verdana" w:hAnsi="Verdana"/>
          <w:sz w:val="16"/>
        </w:rPr>
        <w:t>2016</w:t>
      </w:r>
      <w:r>
        <w:rPr>
          <w:rFonts w:ascii="Verdana" w:hAnsi="Verdana"/>
          <w:sz w:val="16"/>
        </w:rPr>
        <w:t xml:space="preserve"> relative à la facilité en faveur des réfugiés en Turquie, modifiant la décision C(</w:t>
      </w:r>
      <w:r w:rsidRPr="00031A85">
        <w:rPr>
          <w:rFonts w:ascii="Verdana" w:hAnsi="Verdana"/>
          <w:sz w:val="16"/>
        </w:rPr>
        <w:t>2015</w:t>
      </w:r>
      <w:r>
        <w:rPr>
          <w:rFonts w:ascii="Verdana" w:hAnsi="Verdana"/>
          <w:sz w:val="16"/>
        </w:rPr>
        <w:t>) </w:t>
      </w:r>
      <w:r w:rsidRPr="00031A85">
        <w:rPr>
          <w:rFonts w:ascii="Verdana" w:hAnsi="Verdana"/>
          <w:sz w:val="16"/>
        </w:rPr>
        <w:t>9500</w:t>
      </w:r>
      <w:r>
        <w:rPr>
          <w:rFonts w:ascii="Verdana" w:hAnsi="Verdana"/>
          <w:sz w:val="16"/>
        </w:rPr>
        <w:t xml:space="preserve"> du </w:t>
      </w:r>
      <w:r w:rsidRPr="00031A85">
        <w:rPr>
          <w:rFonts w:ascii="Verdana" w:hAnsi="Verdana"/>
          <w:sz w:val="16"/>
        </w:rPr>
        <w:t>24</w:t>
      </w:r>
      <w:r>
        <w:rPr>
          <w:rFonts w:ascii="Verdana" w:hAnsi="Verdana"/>
          <w:sz w:val="16"/>
        </w:rPr>
        <w:t> novembre </w:t>
      </w:r>
      <w:r w:rsidRPr="00031A85">
        <w:rPr>
          <w:rFonts w:ascii="Verdana" w:hAnsi="Verdana"/>
          <w:sz w:val="16"/>
        </w:rPr>
        <w:t>2015</w:t>
      </w:r>
      <w:r>
        <w:rPr>
          <w:rFonts w:ascii="Verdana" w:hAnsi="Verdana"/>
          <w:sz w:val="16"/>
        </w:rPr>
        <w:t>.</w:t>
      </w:r>
    </w:p>
  </w:footnote>
  <w:footnote w:id="9">
    <w:p w:rsidR="00B92C03" w:rsidRPr="00D208D2" w:rsidRDefault="00B92C03" w:rsidP="00FB0C75">
      <w:pPr>
        <w:pStyle w:val="FootnoteText"/>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Voir la communication de la Commission au Parlement européen et au Conseil, Premier rapport annuel sur la facilité en faveur des réfugiés en Turquie, COM(</w:t>
      </w:r>
      <w:r w:rsidRPr="00031A85">
        <w:rPr>
          <w:rFonts w:ascii="Verdana" w:hAnsi="Verdana"/>
          <w:sz w:val="16"/>
        </w:rPr>
        <w:t>2017</w:t>
      </w:r>
      <w:r>
        <w:rPr>
          <w:rFonts w:ascii="Verdana" w:hAnsi="Verdana"/>
          <w:sz w:val="16"/>
        </w:rPr>
        <w:t>) </w:t>
      </w:r>
      <w:r w:rsidRPr="00031A85">
        <w:rPr>
          <w:rFonts w:ascii="Verdana" w:hAnsi="Verdana"/>
          <w:sz w:val="16"/>
        </w:rPr>
        <w:t>130</w:t>
      </w:r>
      <w:r>
        <w:rPr>
          <w:rFonts w:ascii="Verdana" w:hAnsi="Verdana"/>
          <w:sz w:val="16"/>
        </w:rPr>
        <w:t xml:space="preserve"> final du </w:t>
      </w:r>
      <w:r w:rsidRPr="00031A85">
        <w:rPr>
          <w:rFonts w:ascii="Verdana" w:hAnsi="Verdana"/>
          <w:sz w:val="16"/>
        </w:rPr>
        <w:t>2</w:t>
      </w:r>
      <w:r>
        <w:rPr>
          <w:rFonts w:ascii="Verdana" w:hAnsi="Verdana"/>
          <w:sz w:val="16"/>
        </w:rPr>
        <w:t>.</w:t>
      </w:r>
      <w:r w:rsidRPr="00031A85">
        <w:rPr>
          <w:rFonts w:ascii="Verdana" w:hAnsi="Verdana"/>
          <w:sz w:val="16"/>
        </w:rPr>
        <w:t>3</w:t>
      </w:r>
      <w:r>
        <w:rPr>
          <w:rFonts w:ascii="Verdana" w:hAnsi="Verdana"/>
          <w:sz w:val="16"/>
        </w:rPr>
        <w:t>.</w:t>
      </w:r>
      <w:r w:rsidRPr="00031A85">
        <w:rPr>
          <w:rFonts w:ascii="Verdana" w:hAnsi="Verdana"/>
          <w:sz w:val="16"/>
        </w:rPr>
        <w:t>2017</w:t>
      </w:r>
      <w:r>
        <w:rPr>
          <w:rFonts w:ascii="Verdana" w:hAnsi="Verdana"/>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D0A" w:rsidRPr="00915D0A" w:rsidRDefault="00915D0A" w:rsidP="00915D0A">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Pr="006A0C78" w:rsidRDefault="00B92C03" w:rsidP="00FB0C75">
    <w:pPr>
      <w:pStyle w:val="Header"/>
      <w:tabs>
        <w:tab w:val="center" w:pos="4819"/>
        <w:tab w:val="right" w:pos="9638"/>
      </w:tabs>
      <w:jc w:val="center"/>
      <w:rPr>
        <w:rFonts w:ascii="Verdana" w:hAnsi="Verdana"/>
      </w:rPr>
    </w:pPr>
    <w:r>
      <w:rPr>
        <w:rFonts w:ascii="Verdana" w:hAnsi="Verdana"/>
        <w:i/>
        <w:color w:val="016794"/>
        <w:sz w:val="16"/>
      </w:rPr>
      <w:t xml:space="preserve"> Comptes annuels de l’Union européenne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rsidP="00FB0C75">
    <w:pPr>
      <w:tabs>
        <w:tab w:val="center" w:pos="4819"/>
        <w:tab w:val="right" w:pos="9638"/>
      </w:tabs>
      <w:autoSpaceDE w:val="0"/>
      <w:autoSpaceDN w:val="0"/>
      <w:adjustRightInd w:val="0"/>
      <w:jc w:val="center"/>
    </w:pPr>
    <w:r>
      <w:rPr>
        <w:rFonts w:ascii="Verdana" w:hAnsi="Verdana"/>
        <w:i/>
        <w:color w:val="016794"/>
        <w:sz w:val="16"/>
      </w:rPr>
      <w:t>Comptes annuels de l’Union européenne 2016</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C03" w:rsidRDefault="00B92C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000002"/>
    <w:multiLevelType w:val="hybridMultilevel"/>
    <w:tmpl w:val="7F020AC0"/>
    <w:lvl w:ilvl="0" w:tplc="3DCE7AEA">
      <w:start w:val="1"/>
      <w:numFmt w:val="bullet"/>
      <w:lvlText w:val=""/>
      <w:lvlJc w:val="left"/>
      <w:pPr>
        <w:ind w:left="720" w:hanging="360"/>
      </w:pPr>
      <w:rPr>
        <w:rFonts w:ascii="Wingdings" w:hAnsi="Wingdings" w:hint="default"/>
      </w:rPr>
    </w:lvl>
    <w:lvl w:ilvl="1" w:tplc="F2F8C2DC" w:tentative="1">
      <w:start w:val="1"/>
      <w:numFmt w:val="bullet"/>
      <w:lvlText w:val="o"/>
      <w:lvlJc w:val="left"/>
      <w:pPr>
        <w:ind w:left="1440" w:hanging="360"/>
      </w:pPr>
      <w:rPr>
        <w:rFonts w:ascii="Courier New" w:hAnsi="Courier New" w:cs="Courier New" w:hint="default"/>
      </w:rPr>
    </w:lvl>
    <w:lvl w:ilvl="2" w:tplc="F4C23A5E" w:tentative="1">
      <w:start w:val="1"/>
      <w:numFmt w:val="bullet"/>
      <w:lvlText w:val=""/>
      <w:lvlJc w:val="left"/>
      <w:pPr>
        <w:ind w:left="2160" w:hanging="360"/>
      </w:pPr>
      <w:rPr>
        <w:rFonts w:ascii="Wingdings" w:hAnsi="Wingdings" w:hint="default"/>
      </w:rPr>
    </w:lvl>
    <w:lvl w:ilvl="3" w:tplc="7BEEE2C6" w:tentative="1">
      <w:start w:val="1"/>
      <w:numFmt w:val="bullet"/>
      <w:lvlText w:val=""/>
      <w:lvlJc w:val="left"/>
      <w:pPr>
        <w:ind w:left="2880" w:hanging="360"/>
      </w:pPr>
      <w:rPr>
        <w:rFonts w:ascii="Symbol" w:hAnsi="Symbol" w:hint="default"/>
      </w:rPr>
    </w:lvl>
    <w:lvl w:ilvl="4" w:tplc="7D465666" w:tentative="1">
      <w:start w:val="1"/>
      <w:numFmt w:val="bullet"/>
      <w:lvlText w:val="o"/>
      <w:lvlJc w:val="left"/>
      <w:pPr>
        <w:ind w:left="3600" w:hanging="360"/>
      </w:pPr>
      <w:rPr>
        <w:rFonts w:ascii="Courier New" w:hAnsi="Courier New" w:cs="Courier New" w:hint="default"/>
      </w:rPr>
    </w:lvl>
    <w:lvl w:ilvl="5" w:tplc="03CC1E9C" w:tentative="1">
      <w:start w:val="1"/>
      <w:numFmt w:val="bullet"/>
      <w:lvlText w:val=""/>
      <w:lvlJc w:val="left"/>
      <w:pPr>
        <w:ind w:left="4320" w:hanging="360"/>
      </w:pPr>
      <w:rPr>
        <w:rFonts w:ascii="Wingdings" w:hAnsi="Wingdings" w:hint="default"/>
      </w:rPr>
    </w:lvl>
    <w:lvl w:ilvl="6" w:tplc="ABB83CB2" w:tentative="1">
      <w:start w:val="1"/>
      <w:numFmt w:val="bullet"/>
      <w:lvlText w:val=""/>
      <w:lvlJc w:val="left"/>
      <w:pPr>
        <w:ind w:left="5040" w:hanging="360"/>
      </w:pPr>
      <w:rPr>
        <w:rFonts w:ascii="Symbol" w:hAnsi="Symbol" w:hint="default"/>
      </w:rPr>
    </w:lvl>
    <w:lvl w:ilvl="7" w:tplc="F4FADBDC" w:tentative="1">
      <w:start w:val="1"/>
      <w:numFmt w:val="bullet"/>
      <w:lvlText w:val="o"/>
      <w:lvlJc w:val="left"/>
      <w:pPr>
        <w:ind w:left="5760" w:hanging="360"/>
      </w:pPr>
      <w:rPr>
        <w:rFonts w:ascii="Courier New" w:hAnsi="Courier New" w:cs="Courier New" w:hint="default"/>
      </w:rPr>
    </w:lvl>
    <w:lvl w:ilvl="8" w:tplc="2D98AB12"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EA02FC1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
    <w:nsid w:val="00000004"/>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0000005"/>
    <w:multiLevelType w:val="hybridMultilevel"/>
    <w:tmpl w:val="42FC2B20"/>
    <w:lvl w:ilvl="0" w:tplc="75CA5006">
      <w:start w:val="1"/>
      <w:numFmt w:val="lowerRoman"/>
      <w:pStyle w:val="TextSubtitlenumberingRCItalic"/>
      <w:lvlText w:val="(%1)"/>
      <w:lvlJc w:val="left"/>
      <w:pPr>
        <w:ind w:left="720" w:hanging="360"/>
      </w:pPr>
      <w:rPr>
        <w:rFonts w:hint="default"/>
      </w:rPr>
    </w:lvl>
    <w:lvl w:ilvl="1" w:tplc="4A4EF7F4" w:tentative="1">
      <w:start w:val="1"/>
      <w:numFmt w:val="lowerLetter"/>
      <w:pStyle w:val="Header2Part4"/>
      <w:lvlText w:val="%2."/>
      <w:lvlJc w:val="left"/>
      <w:pPr>
        <w:ind w:left="1440" w:hanging="360"/>
      </w:pPr>
    </w:lvl>
    <w:lvl w:ilvl="2" w:tplc="14F42196" w:tentative="1">
      <w:start w:val="1"/>
      <w:numFmt w:val="lowerRoman"/>
      <w:lvlText w:val="%3."/>
      <w:lvlJc w:val="right"/>
      <w:pPr>
        <w:ind w:left="2160" w:hanging="180"/>
      </w:pPr>
    </w:lvl>
    <w:lvl w:ilvl="3" w:tplc="C428DF26" w:tentative="1">
      <w:start w:val="1"/>
      <w:numFmt w:val="decimal"/>
      <w:lvlText w:val="%4."/>
      <w:lvlJc w:val="left"/>
      <w:pPr>
        <w:ind w:left="2880" w:hanging="360"/>
      </w:pPr>
    </w:lvl>
    <w:lvl w:ilvl="4" w:tplc="42ECA39E" w:tentative="1">
      <w:start w:val="1"/>
      <w:numFmt w:val="lowerLetter"/>
      <w:lvlText w:val="%5."/>
      <w:lvlJc w:val="left"/>
      <w:pPr>
        <w:ind w:left="3600" w:hanging="360"/>
      </w:pPr>
    </w:lvl>
    <w:lvl w:ilvl="5" w:tplc="4F04D770" w:tentative="1">
      <w:start w:val="1"/>
      <w:numFmt w:val="lowerRoman"/>
      <w:lvlText w:val="%6."/>
      <w:lvlJc w:val="right"/>
      <w:pPr>
        <w:ind w:left="4320" w:hanging="180"/>
      </w:pPr>
    </w:lvl>
    <w:lvl w:ilvl="6" w:tplc="61BCC9FE" w:tentative="1">
      <w:start w:val="1"/>
      <w:numFmt w:val="decimal"/>
      <w:lvlText w:val="%7."/>
      <w:lvlJc w:val="left"/>
      <w:pPr>
        <w:ind w:left="5040" w:hanging="360"/>
      </w:pPr>
    </w:lvl>
    <w:lvl w:ilvl="7" w:tplc="9EE65570" w:tentative="1">
      <w:start w:val="1"/>
      <w:numFmt w:val="lowerLetter"/>
      <w:lvlText w:val="%8."/>
      <w:lvlJc w:val="left"/>
      <w:pPr>
        <w:ind w:left="5760" w:hanging="360"/>
      </w:pPr>
    </w:lvl>
    <w:lvl w:ilvl="8" w:tplc="FDDEB4BA" w:tentative="1">
      <w:start w:val="1"/>
      <w:numFmt w:val="lowerRoman"/>
      <w:lvlText w:val="%9."/>
      <w:lvlJc w:val="right"/>
      <w:pPr>
        <w:ind w:left="6480" w:hanging="180"/>
      </w:pPr>
    </w:lvl>
  </w:abstractNum>
  <w:abstractNum w:abstractNumId="5">
    <w:nsid w:val="00000006"/>
    <w:multiLevelType w:val="hybridMultilevel"/>
    <w:tmpl w:val="ACAA79B8"/>
    <w:lvl w:ilvl="0" w:tplc="1854B660">
      <w:numFmt w:val="bullet"/>
      <w:pStyle w:val="Textstand-alonebulletpointJustified"/>
      <w:lvlText w:val="-"/>
      <w:lvlJc w:val="left"/>
      <w:pPr>
        <w:ind w:left="1080" w:hanging="360"/>
      </w:pPr>
      <w:rPr>
        <w:rFonts w:ascii="Times New Roman" w:eastAsia="Times New Roman" w:hAnsi="Times New Roman" w:cs="Times New Roman" w:hint="default"/>
      </w:rPr>
    </w:lvl>
    <w:lvl w:ilvl="1" w:tplc="228A876A" w:tentative="1">
      <w:start w:val="1"/>
      <w:numFmt w:val="bullet"/>
      <w:lvlText w:val="o"/>
      <w:lvlJc w:val="left"/>
      <w:pPr>
        <w:ind w:left="1800" w:hanging="360"/>
      </w:pPr>
      <w:rPr>
        <w:rFonts w:ascii="Courier New" w:hAnsi="Courier New" w:cs="Courier New" w:hint="default"/>
      </w:rPr>
    </w:lvl>
    <w:lvl w:ilvl="2" w:tplc="80AAA2A6" w:tentative="1">
      <w:start w:val="1"/>
      <w:numFmt w:val="bullet"/>
      <w:lvlText w:val=""/>
      <w:lvlJc w:val="left"/>
      <w:pPr>
        <w:ind w:left="2520" w:hanging="360"/>
      </w:pPr>
      <w:rPr>
        <w:rFonts w:ascii="Wingdings" w:hAnsi="Wingdings" w:hint="default"/>
      </w:rPr>
    </w:lvl>
    <w:lvl w:ilvl="3" w:tplc="4C7EE336" w:tentative="1">
      <w:start w:val="1"/>
      <w:numFmt w:val="bullet"/>
      <w:lvlText w:val=""/>
      <w:lvlJc w:val="left"/>
      <w:pPr>
        <w:ind w:left="3240" w:hanging="360"/>
      </w:pPr>
      <w:rPr>
        <w:rFonts w:ascii="Symbol" w:hAnsi="Symbol" w:hint="default"/>
      </w:rPr>
    </w:lvl>
    <w:lvl w:ilvl="4" w:tplc="371CB856" w:tentative="1">
      <w:start w:val="1"/>
      <w:numFmt w:val="bullet"/>
      <w:lvlText w:val="o"/>
      <w:lvlJc w:val="left"/>
      <w:pPr>
        <w:ind w:left="3960" w:hanging="360"/>
      </w:pPr>
      <w:rPr>
        <w:rFonts w:ascii="Courier New" w:hAnsi="Courier New" w:cs="Courier New" w:hint="default"/>
      </w:rPr>
    </w:lvl>
    <w:lvl w:ilvl="5" w:tplc="71EE1A4E" w:tentative="1">
      <w:start w:val="1"/>
      <w:numFmt w:val="bullet"/>
      <w:lvlText w:val=""/>
      <w:lvlJc w:val="left"/>
      <w:pPr>
        <w:ind w:left="4680" w:hanging="360"/>
      </w:pPr>
      <w:rPr>
        <w:rFonts w:ascii="Wingdings" w:hAnsi="Wingdings" w:hint="default"/>
      </w:rPr>
    </w:lvl>
    <w:lvl w:ilvl="6" w:tplc="8480ACB6" w:tentative="1">
      <w:start w:val="1"/>
      <w:numFmt w:val="bullet"/>
      <w:lvlText w:val=""/>
      <w:lvlJc w:val="left"/>
      <w:pPr>
        <w:ind w:left="5400" w:hanging="360"/>
      </w:pPr>
      <w:rPr>
        <w:rFonts w:ascii="Symbol" w:hAnsi="Symbol" w:hint="default"/>
      </w:rPr>
    </w:lvl>
    <w:lvl w:ilvl="7" w:tplc="439062CC" w:tentative="1">
      <w:start w:val="1"/>
      <w:numFmt w:val="bullet"/>
      <w:lvlText w:val="o"/>
      <w:lvlJc w:val="left"/>
      <w:pPr>
        <w:ind w:left="6120" w:hanging="360"/>
      </w:pPr>
      <w:rPr>
        <w:rFonts w:ascii="Courier New" w:hAnsi="Courier New" w:cs="Courier New" w:hint="default"/>
      </w:rPr>
    </w:lvl>
    <w:lvl w:ilvl="8" w:tplc="C37E541C" w:tentative="1">
      <w:start w:val="1"/>
      <w:numFmt w:val="bullet"/>
      <w:lvlText w:val=""/>
      <w:lvlJc w:val="left"/>
      <w:pPr>
        <w:ind w:left="6840" w:hanging="360"/>
      </w:pPr>
      <w:rPr>
        <w:rFonts w:ascii="Wingdings" w:hAnsi="Wingdings" w:hint="default"/>
      </w:rPr>
    </w:lvl>
  </w:abstractNum>
  <w:abstractNum w:abstractNumId="6">
    <w:nsid w:val="00000007"/>
    <w:multiLevelType w:val="hybridMultilevel"/>
    <w:tmpl w:val="125CBDD2"/>
    <w:lvl w:ilvl="0" w:tplc="9EACD10A">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3A2ABD4" w:tentative="1">
      <w:start w:val="1"/>
      <w:numFmt w:val="lowerLetter"/>
      <w:lvlText w:val="%2."/>
      <w:lvlJc w:val="left"/>
      <w:pPr>
        <w:ind w:left="1440" w:hanging="360"/>
      </w:pPr>
    </w:lvl>
    <w:lvl w:ilvl="2" w:tplc="74B487EA" w:tentative="1">
      <w:start w:val="1"/>
      <w:numFmt w:val="lowerRoman"/>
      <w:lvlText w:val="%3."/>
      <w:lvlJc w:val="right"/>
      <w:pPr>
        <w:ind w:left="2160" w:hanging="180"/>
      </w:pPr>
    </w:lvl>
    <w:lvl w:ilvl="3" w:tplc="9D7E9CA6" w:tentative="1">
      <w:start w:val="1"/>
      <w:numFmt w:val="decimal"/>
      <w:lvlText w:val="%4."/>
      <w:lvlJc w:val="left"/>
      <w:pPr>
        <w:ind w:left="2880" w:hanging="360"/>
      </w:pPr>
    </w:lvl>
    <w:lvl w:ilvl="4" w:tplc="0B425E84" w:tentative="1">
      <w:start w:val="1"/>
      <w:numFmt w:val="lowerLetter"/>
      <w:lvlText w:val="%5."/>
      <w:lvlJc w:val="left"/>
      <w:pPr>
        <w:ind w:left="3600" w:hanging="360"/>
      </w:pPr>
    </w:lvl>
    <w:lvl w:ilvl="5" w:tplc="7BDABF94" w:tentative="1">
      <w:start w:val="1"/>
      <w:numFmt w:val="lowerRoman"/>
      <w:lvlText w:val="%6."/>
      <w:lvlJc w:val="right"/>
      <w:pPr>
        <w:ind w:left="4320" w:hanging="180"/>
      </w:pPr>
    </w:lvl>
    <w:lvl w:ilvl="6" w:tplc="3ED6F936" w:tentative="1">
      <w:start w:val="1"/>
      <w:numFmt w:val="decimal"/>
      <w:lvlText w:val="%7."/>
      <w:lvlJc w:val="left"/>
      <w:pPr>
        <w:ind w:left="5040" w:hanging="360"/>
      </w:pPr>
    </w:lvl>
    <w:lvl w:ilvl="7" w:tplc="4936095E" w:tentative="1">
      <w:start w:val="1"/>
      <w:numFmt w:val="lowerLetter"/>
      <w:lvlText w:val="%8."/>
      <w:lvlJc w:val="left"/>
      <w:pPr>
        <w:ind w:left="5760" w:hanging="360"/>
      </w:pPr>
    </w:lvl>
    <w:lvl w:ilvl="8" w:tplc="C1264DA2" w:tentative="1">
      <w:start w:val="1"/>
      <w:numFmt w:val="lowerRoman"/>
      <w:lvlText w:val="%9."/>
      <w:lvlJc w:val="right"/>
      <w:pPr>
        <w:ind w:left="6480" w:hanging="180"/>
      </w:pPr>
    </w:lvl>
  </w:abstractNum>
  <w:abstractNum w:abstractNumId="7">
    <w:nsid w:val="00000008"/>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hybridMultilevel"/>
    <w:tmpl w:val="D062CAA0"/>
    <w:lvl w:ilvl="0" w:tplc="FCE814C4">
      <w:start w:val="1"/>
      <w:numFmt w:val="bullet"/>
      <w:lvlText w:val=""/>
      <w:lvlJc w:val="left"/>
      <w:pPr>
        <w:ind w:left="720" w:hanging="360"/>
      </w:pPr>
      <w:rPr>
        <w:rFonts w:ascii="Symbol" w:hAnsi="Symbol" w:hint="default"/>
      </w:rPr>
    </w:lvl>
    <w:lvl w:ilvl="1" w:tplc="1DEAFAB0" w:tentative="1">
      <w:start w:val="1"/>
      <w:numFmt w:val="bullet"/>
      <w:lvlText w:val="o"/>
      <w:lvlJc w:val="left"/>
      <w:pPr>
        <w:ind w:left="1440" w:hanging="360"/>
      </w:pPr>
      <w:rPr>
        <w:rFonts w:ascii="Courier New" w:hAnsi="Courier New" w:cs="Courier New" w:hint="default"/>
      </w:rPr>
    </w:lvl>
    <w:lvl w:ilvl="2" w:tplc="C52CE2E6" w:tentative="1">
      <w:start w:val="1"/>
      <w:numFmt w:val="bullet"/>
      <w:lvlText w:val=""/>
      <w:lvlJc w:val="left"/>
      <w:pPr>
        <w:ind w:left="2160" w:hanging="360"/>
      </w:pPr>
      <w:rPr>
        <w:rFonts w:ascii="Wingdings" w:hAnsi="Wingdings" w:hint="default"/>
      </w:rPr>
    </w:lvl>
    <w:lvl w:ilvl="3" w:tplc="18CEE384" w:tentative="1">
      <w:start w:val="1"/>
      <w:numFmt w:val="bullet"/>
      <w:lvlText w:val=""/>
      <w:lvlJc w:val="left"/>
      <w:pPr>
        <w:ind w:left="2880" w:hanging="360"/>
      </w:pPr>
      <w:rPr>
        <w:rFonts w:ascii="Symbol" w:hAnsi="Symbol" w:hint="default"/>
      </w:rPr>
    </w:lvl>
    <w:lvl w:ilvl="4" w:tplc="DA0CA4CE" w:tentative="1">
      <w:start w:val="1"/>
      <w:numFmt w:val="bullet"/>
      <w:lvlText w:val="o"/>
      <w:lvlJc w:val="left"/>
      <w:pPr>
        <w:ind w:left="3600" w:hanging="360"/>
      </w:pPr>
      <w:rPr>
        <w:rFonts w:ascii="Courier New" w:hAnsi="Courier New" w:cs="Courier New" w:hint="default"/>
      </w:rPr>
    </w:lvl>
    <w:lvl w:ilvl="5" w:tplc="F71EBFEA" w:tentative="1">
      <w:start w:val="1"/>
      <w:numFmt w:val="bullet"/>
      <w:lvlText w:val=""/>
      <w:lvlJc w:val="left"/>
      <w:pPr>
        <w:ind w:left="4320" w:hanging="360"/>
      </w:pPr>
      <w:rPr>
        <w:rFonts w:ascii="Wingdings" w:hAnsi="Wingdings" w:hint="default"/>
      </w:rPr>
    </w:lvl>
    <w:lvl w:ilvl="6" w:tplc="0C4E5B32" w:tentative="1">
      <w:start w:val="1"/>
      <w:numFmt w:val="bullet"/>
      <w:lvlText w:val=""/>
      <w:lvlJc w:val="left"/>
      <w:pPr>
        <w:ind w:left="5040" w:hanging="360"/>
      </w:pPr>
      <w:rPr>
        <w:rFonts w:ascii="Symbol" w:hAnsi="Symbol" w:hint="default"/>
      </w:rPr>
    </w:lvl>
    <w:lvl w:ilvl="7" w:tplc="24C03F16" w:tentative="1">
      <w:start w:val="1"/>
      <w:numFmt w:val="bullet"/>
      <w:lvlText w:val="o"/>
      <w:lvlJc w:val="left"/>
      <w:pPr>
        <w:ind w:left="5760" w:hanging="360"/>
      </w:pPr>
      <w:rPr>
        <w:rFonts w:ascii="Courier New" w:hAnsi="Courier New" w:cs="Courier New" w:hint="default"/>
      </w:rPr>
    </w:lvl>
    <w:lvl w:ilvl="8" w:tplc="91A4B94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54BC3C94"/>
    <w:lvl w:ilvl="0" w:tplc="8B081E3C">
      <w:numFmt w:val="bullet"/>
      <w:lvlText w:val="-"/>
      <w:lvlJc w:val="left"/>
      <w:pPr>
        <w:ind w:left="720" w:hanging="360"/>
      </w:pPr>
      <w:rPr>
        <w:rFonts w:ascii="Verdana" w:eastAsia="Calibri" w:hAnsi="Verdana" w:cs="Times New Roman" w:hint="default"/>
      </w:rPr>
    </w:lvl>
    <w:lvl w:ilvl="1" w:tplc="640A34D0" w:tentative="1">
      <w:start w:val="1"/>
      <w:numFmt w:val="bullet"/>
      <w:lvlText w:val="o"/>
      <w:lvlJc w:val="left"/>
      <w:pPr>
        <w:ind w:left="1440" w:hanging="360"/>
      </w:pPr>
      <w:rPr>
        <w:rFonts w:ascii="Courier New" w:hAnsi="Courier New" w:cs="Courier New" w:hint="default"/>
      </w:rPr>
    </w:lvl>
    <w:lvl w:ilvl="2" w:tplc="5E762AF2" w:tentative="1">
      <w:start w:val="1"/>
      <w:numFmt w:val="bullet"/>
      <w:lvlText w:val=""/>
      <w:lvlJc w:val="left"/>
      <w:pPr>
        <w:ind w:left="2160" w:hanging="360"/>
      </w:pPr>
      <w:rPr>
        <w:rFonts w:ascii="Wingdings" w:hAnsi="Wingdings" w:hint="default"/>
      </w:rPr>
    </w:lvl>
    <w:lvl w:ilvl="3" w:tplc="F26EF382" w:tentative="1">
      <w:start w:val="1"/>
      <w:numFmt w:val="bullet"/>
      <w:lvlText w:val=""/>
      <w:lvlJc w:val="left"/>
      <w:pPr>
        <w:ind w:left="2880" w:hanging="360"/>
      </w:pPr>
      <w:rPr>
        <w:rFonts w:ascii="Symbol" w:hAnsi="Symbol" w:hint="default"/>
      </w:rPr>
    </w:lvl>
    <w:lvl w:ilvl="4" w:tplc="423A2514" w:tentative="1">
      <w:start w:val="1"/>
      <w:numFmt w:val="bullet"/>
      <w:lvlText w:val="o"/>
      <w:lvlJc w:val="left"/>
      <w:pPr>
        <w:ind w:left="3600" w:hanging="360"/>
      </w:pPr>
      <w:rPr>
        <w:rFonts w:ascii="Courier New" w:hAnsi="Courier New" w:cs="Courier New" w:hint="default"/>
      </w:rPr>
    </w:lvl>
    <w:lvl w:ilvl="5" w:tplc="C4BAC2C4" w:tentative="1">
      <w:start w:val="1"/>
      <w:numFmt w:val="bullet"/>
      <w:lvlText w:val=""/>
      <w:lvlJc w:val="left"/>
      <w:pPr>
        <w:ind w:left="4320" w:hanging="360"/>
      </w:pPr>
      <w:rPr>
        <w:rFonts w:ascii="Wingdings" w:hAnsi="Wingdings" w:hint="default"/>
      </w:rPr>
    </w:lvl>
    <w:lvl w:ilvl="6" w:tplc="72B88EEE" w:tentative="1">
      <w:start w:val="1"/>
      <w:numFmt w:val="bullet"/>
      <w:lvlText w:val=""/>
      <w:lvlJc w:val="left"/>
      <w:pPr>
        <w:ind w:left="5040" w:hanging="360"/>
      </w:pPr>
      <w:rPr>
        <w:rFonts w:ascii="Symbol" w:hAnsi="Symbol" w:hint="default"/>
      </w:rPr>
    </w:lvl>
    <w:lvl w:ilvl="7" w:tplc="A6C0A2D6" w:tentative="1">
      <w:start w:val="1"/>
      <w:numFmt w:val="bullet"/>
      <w:lvlText w:val="o"/>
      <w:lvlJc w:val="left"/>
      <w:pPr>
        <w:ind w:left="5760" w:hanging="360"/>
      </w:pPr>
      <w:rPr>
        <w:rFonts w:ascii="Courier New" w:hAnsi="Courier New" w:cs="Courier New" w:hint="default"/>
      </w:rPr>
    </w:lvl>
    <w:lvl w:ilvl="8" w:tplc="5EFC3E64"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A546EEC4"/>
    <w:lvl w:ilvl="0" w:tplc="B4084BA6">
      <w:start w:val="1"/>
      <w:numFmt w:val="bullet"/>
      <w:lvlText w:val=""/>
      <w:lvlJc w:val="left"/>
      <w:pPr>
        <w:ind w:left="780" w:hanging="360"/>
      </w:pPr>
      <w:rPr>
        <w:rFonts w:ascii="Symbol" w:hAnsi="Symbol" w:hint="default"/>
      </w:rPr>
    </w:lvl>
    <w:lvl w:ilvl="1" w:tplc="911C7F92" w:tentative="1">
      <w:start w:val="1"/>
      <w:numFmt w:val="bullet"/>
      <w:lvlText w:val="o"/>
      <w:lvlJc w:val="left"/>
      <w:pPr>
        <w:ind w:left="1500" w:hanging="360"/>
      </w:pPr>
      <w:rPr>
        <w:rFonts w:ascii="Courier New" w:hAnsi="Courier New" w:cs="Courier New" w:hint="default"/>
      </w:rPr>
    </w:lvl>
    <w:lvl w:ilvl="2" w:tplc="9D229080" w:tentative="1">
      <w:start w:val="1"/>
      <w:numFmt w:val="bullet"/>
      <w:lvlText w:val=""/>
      <w:lvlJc w:val="left"/>
      <w:pPr>
        <w:ind w:left="2220" w:hanging="360"/>
      </w:pPr>
      <w:rPr>
        <w:rFonts w:ascii="Wingdings" w:hAnsi="Wingdings" w:hint="default"/>
      </w:rPr>
    </w:lvl>
    <w:lvl w:ilvl="3" w:tplc="0A5CC542" w:tentative="1">
      <w:start w:val="1"/>
      <w:numFmt w:val="bullet"/>
      <w:lvlText w:val=""/>
      <w:lvlJc w:val="left"/>
      <w:pPr>
        <w:ind w:left="2940" w:hanging="360"/>
      </w:pPr>
      <w:rPr>
        <w:rFonts w:ascii="Symbol" w:hAnsi="Symbol" w:hint="default"/>
      </w:rPr>
    </w:lvl>
    <w:lvl w:ilvl="4" w:tplc="05DC2E70" w:tentative="1">
      <w:start w:val="1"/>
      <w:numFmt w:val="bullet"/>
      <w:lvlText w:val="o"/>
      <w:lvlJc w:val="left"/>
      <w:pPr>
        <w:ind w:left="3660" w:hanging="360"/>
      </w:pPr>
      <w:rPr>
        <w:rFonts w:ascii="Courier New" w:hAnsi="Courier New" w:cs="Courier New" w:hint="default"/>
      </w:rPr>
    </w:lvl>
    <w:lvl w:ilvl="5" w:tplc="F66C3BD6" w:tentative="1">
      <w:start w:val="1"/>
      <w:numFmt w:val="bullet"/>
      <w:lvlText w:val=""/>
      <w:lvlJc w:val="left"/>
      <w:pPr>
        <w:ind w:left="4380" w:hanging="360"/>
      </w:pPr>
      <w:rPr>
        <w:rFonts w:ascii="Wingdings" w:hAnsi="Wingdings" w:hint="default"/>
      </w:rPr>
    </w:lvl>
    <w:lvl w:ilvl="6" w:tplc="05E22EB2" w:tentative="1">
      <w:start w:val="1"/>
      <w:numFmt w:val="bullet"/>
      <w:lvlText w:val=""/>
      <w:lvlJc w:val="left"/>
      <w:pPr>
        <w:ind w:left="5100" w:hanging="360"/>
      </w:pPr>
      <w:rPr>
        <w:rFonts w:ascii="Symbol" w:hAnsi="Symbol" w:hint="default"/>
      </w:rPr>
    </w:lvl>
    <w:lvl w:ilvl="7" w:tplc="EA7630C6" w:tentative="1">
      <w:start w:val="1"/>
      <w:numFmt w:val="bullet"/>
      <w:lvlText w:val="o"/>
      <w:lvlJc w:val="left"/>
      <w:pPr>
        <w:ind w:left="5820" w:hanging="360"/>
      </w:pPr>
      <w:rPr>
        <w:rFonts w:ascii="Courier New" w:hAnsi="Courier New" w:cs="Courier New" w:hint="default"/>
      </w:rPr>
    </w:lvl>
    <w:lvl w:ilvl="8" w:tplc="A34C34FE" w:tentative="1">
      <w:start w:val="1"/>
      <w:numFmt w:val="bullet"/>
      <w:lvlText w:val=""/>
      <w:lvlJc w:val="left"/>
      <w:pPr>
        <w:ind w:left="6540" w:hanging="360"/>
      </w:pPr>
      <w:rPr>
        <w:rFonts w:ascii="Wingdings" w:hAnsi="Wingdings" w:hint="default"/>
      </w:rPr>
    </w:lvl>
  </w:abstractNum>
  <w:abstractNum w:abstractNumId="11">
    <w:nsid w:val="0000000C"/>
    <w:multiLevelType w:val="hybridMultilevel"/>
    <w:tmpl w:val="2FC05FF2"/>
    <w:lvl w:ilvl="0" w:tplc="9552E6B4">
      <w:start w:val="1"/>
      <w:numFmt w:val="bullet"/>
      <w:lvlText w:val=""/>
      <w:lvlJc w:val="left"/>
      <w:pPr>
        <w:ind w:left="720" w:hanging="360"/>
      </w:pPr>
      <w:rPr>
        <w:rFonts w:ascii="Symbol" w:hAnsi="Symbol" w:hint="default"/>
      </w:rPr>
    </w:lvl>
    <w:lvl w:ilvl="1" w:tplc="463A8C7C" w:tentative="1">
      <w:start w:val="1"/>
      <w:numFmt w:val="bullet"/>
      <w:lvlText w:val="o"/>
      <w:lvlJc w:val="left"/>
      <w:pPr>
        <w:ind w:left="1440" w:hanging="360"/>
      </w:pPr>
      <w:rPr>
        <w:rFonts w:ascii="Courier New" w:hAnsi="Courier New" w:cs="Courier New" w:hint="default"/>
      </w:rPr>
    </w:lvl>
    <w:lvl w:ilvl="2" w:tplc="F3C4434A" w:tentative="1">
      <w:start w:val="1"/>
      <w:numFmt w:val="bullet"/>
      <w:lvlText w:val=""/>
      <w:lvlJc w:val="left"/>
      <w:pPr>
        <w:ind w:left="2160" w:hanging="360"/>
      </w:pPr>
      <w:rPr>
        <w:rFonts w:ascii="Wingdings" w:hAnsi="Wingdings" w:hint="default"/>
      </w:rPr>
    </w:lvl>
    <w:lvl w:ilvl="3" w:tplc="D0DC46D4" w:tentative="1">
      <w:start w:val="1"/>
      <w:numFmt w:val="bullet"/>
      <w:lvlText w:val=""/>
      <w:lvlJc w:val="left"/>
      <w:pPr>
        <w:ind w:left="2880" w:hanging="360"/>
      </w:pPr>
      <w:rPr>
        <w:rFonts w:ascii="Symbol" w:hAnsi="Symbol" w:hint="default"/>
      </w:rPr>
    </w:lvl>
    <w:lvl w:ilvl="4" w:tplc="C2BC2E52" w:tentative="1">
      <w:start w:val="1"/>
      <w:numFmt w:val="bullet"/>
      <w:lvlText w:val="o"/>
      <w:lvlJc w:val="left"/>
      <w:pPr>
        <w:ind w:left="3600" w:hanging="360"/>
      </w:pPr>
      <w:rPr>
        <w:rFonts w:ascii="Courier New" w:hAnsi="Courier New" w:cs="Courier New" w:hint="default"/>
      </w:rPr>
    </w:lvl>
    <w:lvl w:ilvl="5" w:tplc="52DC5BB2" w:tentative="1">
      <w:start w:val="1"/>
      <w:numFmt w:val="bullet"/>
      <w:lvlText w:val=""/>
      <w:lvlJc w:val="left"/>
      <w:pPr>
        <w:ind w:left="4320" w:hanging="360"/>
      </w:pPr>
      <w:rPr>
        <w:rFonts w:ascii="Wingdings" w:hAnsi="Wingdings" w:hint="default"/>
      </w:rPr>
    </w:lvl>
    <w:lvl w:ilvl="6" w:tplc="221A813A" w:tentative="1">
      <w:start w:val="1"/>
      <w:numFmt w:val="bullet"/>
      <w:lvlText w:val=""/>
      <w:lvlJc w:val="left"/>
      <w:pPr>
        <w:ind w:left="5040" w:hanging="360"/>
      </w:pPr>
      <w:rPr>
        <w:rFonts w:ascii="Symbol" w:hAnsi="Symbol" w:hint="default"/>
      </w:rPr>
    </w:lvl>
    <w:lvl w:ilvl="7" w:tplc="F3803676" w:tentative="1">
      <w:start w:val="1"/>
      <w:numFmt w:val="bullet"/>
      <w:lvlText w:val="o"/>
      <w:lvlJc w:val="left"/>
      <w:pPr>
        <w:ind w:left="5760" w:hanging="360"/>
      </w:pPr>
      <w:rPr>
        <w:rFonts w:ascii="Courier New" w:hAnsi="Courier New" w:cs="Courier New" w:hint="default"/>
      </w:rPr>
    </w:lvl>
    <w:lvl w:ilvl="8" w:tplc="DBEA2E0A"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81B8D45E"/>
    <w:lvl w:ilvl="0" w:tplc="63A4E604">
      <w:start w:val="1"/>
      <w:numFmt w:val="bullet"/>
      <w:lvlText w:val=""/>
      <w:lvlJc w:val="left"/>
      <w:pPr>
        <w:ind w:left="720" w:hanging="360"/>
      </w:pPr>
      <w:rPr>
        <w:rFonts w:ascii="Symbol" w:hAnsi="Symbol" w:hint="default"/>
      </w:rPr>
    </w:lvl>
    <w:lvl w:ilvl="1" w:tplc="E3945C9C" w:tentative="1">
      <w:start w:val="1"/>
      <w:numFmt w:val="bullet"/>
      <w:lvlText w:val="o"/>
      <w:lvlJc w:val="left"/>
      <w:pPr>
        <w:ind w:left="1440" w:hanging="360"/>
      </w:pPr>
      <w:rPr>
        <w:rFonts w:ascii="Courier New" w:hAnsi="Courier New" w:cs="Courier New" w:hint="default"/>
      </w:rPr>
    </w:lvl>
    <w:lvl w:ilvl="2" w:tplc="4F18AB66" w:tentative="1">
      <w:start w:val="1"/>
      <w:numFmt w:val="bullet"/>
      <w:lvlText w:val=""/>
      <w:lvlJc w:val="left"/>
      <w:pPr>
        <w:ind w:left="2160" w:hanging="360"/>
      </w:pPr>
      <w:rPr>
        <w:rFonts w:ascii="Wingdings" w:hAnsi="Wingdings" w:hint="default"/>
      </w:rPr>
    </w:lvl>
    <w:lvl w:ilvl="3" w:tplc="F89E5800" w:tentative="1">
      <w:start w:val="1"/>
      <w:numFmt w:val="bullet"/>
      <w:lvlText w:val=""/>
      <w:lvlJc w:val="left"/>
      <w:pPr>
        <w:ind w:left="2880" w:hanging="360"/>
      </w:pPr>
      <w:rPr>
        <w:rFonts w:ascii="Symbol" w:hAnsi="Symbol" w:hint="default"/>
      </w:rPr>
    </w:lvl>
    <w:lvl w:ilvl="4" w:tplc="6646F66E" w:tentative="1">
      <w:start w:val="1"/>
      <w:numFmt w:val="bullet"/>
      <w:lvlText w:val="o"/>
      <w:lvlJc w:val="left"/>
      <w:pPr>
        <w:ind w:left="3600" w:hanging="360"/>
      </w:pPr>
      <w:rPr>
        <w:rFonts w:ascii="Courier New" w:hAnsi="Courier New" w:cs="Courier New" w:hint="default"/>
      </w:rPr>
    </w:lvl>
    <w:lvl w:ilvl="5" w:tplc="9794767C" w:tentative="1">
      <w:start w:val="1"/>
      <w:numFmt w:val="bullet"/>
      <w:lvlText w:val=""/>
      <w:lvlJc w:val="left"/>
      <w:pPr>
        <w:ind w:left="4320" w:hanging="360"/>
      </w:pPr>
      <w:rPr>
        <w:rFonts w:ascii="Wingdings" w:hAnsi="Wingdings" w:hint="default"/>
      </w:rPr>
    </w:lvl>
    <w:lvl w:ilvl="6" w:tplc="08D41122" w:tentative="1">
      <w:start w:val="1"/>
      <w:numFmt w:val="bullet"/>
      <w:lvlText w:val=""/>
      <w:lvlJc w:val="left"/>
      <w:pPr>
        <w:ind w:left="5040" w:hanging="360"/>
      </w:pPr>
      <w:rPr>
        <w:rFonts w:ascii="Symbol" w:hAnsi="Symbol" w:hint="default"/>
      </w:rPr>
    </w:lvl>
    <w:lvl w:ilvl="7" w:tplc="9D0EA47A" w:tentative="1">
      <w:start w:val="1"/>
      <w:numFmt w:val="bullet"/>
      <w:lvlText w:val="o"/>
      <w:lvlJc w:val="left"/>
      <w:pPr>
        <w:ind w:left="5760" w:hanging="360"/>
      </w:pPr>
      <w:rPr>
        <w:rFonts w:ascii="Courier New" w:hAnsi="Courier New" w:cs="Courier New" w:hint="default"/>
      </w:rPr>
    </w:lvl>
    <w:lvl w:ilvl="8" w:tplc="738664F4"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077C6BBC"/>
    <w:lvl w:ilvl="0" w:tplc="527E3C3A">
      <w:start w:val="1"/>
      <w:numFmt w:val="decimal"/>
      <w:pStyle w:val="Textstand-alonenumberingJustified"/>
      <w:lvlText w:val="(%1)"/>
      <w:lvlJc w:val="left"/>
      <w:pPr>
        <w:ind w:left="720" w:hanging="360"/>
      </w:pPr>
      <w:rPr>
        <w:rFonts w:ascii="Verdana" w:hAnsi="Verdana" w:hint="default"/>
        <w:b w:val="0"/>
        <w:i w:val="0"/>
        <w:sz w:val="18"/>
      </w:rPr>
    </w:lvl>
    <w:lvl w:ilvl="1" w:tplc="D7509446" w:tentative="1">
      <w:start w:val="1"/>
      <w:numFmt w:val="lowerLetter"/>
      <w:lvlText w:val="%2."/>
      <w:lvlJc w:val="left"/>
      <w:pPr>
        <w:ind w:left="1440" w:hanging="360"/>
      </w:pPr>
    </w:lvl>
    <w:lvl w:ilvl="2" w:tplc="E7400672" w:tentative="1">
      <w:start w:val="1"/>
      <w:numFmt w:val="lowerRoman"/>
      <w:lvlText w:val="%3."/>
      <w:lvlJc w:val="right"/>
      <w:pPr>
        <w:ind w:left="2160" w:hanging="180"/>
      </w:pPr>
    </w:lvl>
    <w:lvl w:ilvl="3" w:tplc="A94EC738" w:tentative="1">
      <w:start w:val="1"/>
      <w:numFmt w:val="decimal"/>
      <w:lvlText w:val="%4."/>
      <w:lvlJc w:val="left"/>
      <w:pPr>
        <w:ind w:left="2880" w:hanging="360"/>
      </w:pPr>
    </w:lvl>
    <w:lvl w:ilvl="4" w:tplc="3ED02C84" w:tentative="1">
      <w:start w:val="1"/>
      <w:numFmt w:val="lowerLetter"/>
      <w:lvlText w:val="%5."/>
      <w:lvlJc w:val="left"/>
      <w:pPr>
        <w:ind w:left="3600" w:hanging="360"/>
      </w:pPr>
    </w:lvl>
    <w:lvl w:ilvl="5" w:tplc="48F65978" w:tentative="1">
      <w:start w:val="1"/>
      <w:numFmt w:val="lowerRoman"/>
      <w:lvlText w:val="%6."/>
      <w:lvlJc w:val="right"/>
      <w:pPr>
        <w:ind w:left="4320" w:hanging="180"/>
      </w:pPr>
    </w:lvl>
    <w:lvl w:ilvl="6" w:tplc="C10437A6" w:tentative="1">
      <w:start w:val="1"/>
      <w:numFmt w:val="decimal"/>
      <w:lvlText w:val="%7."/>
      <w:lvlJc w:val="left"/>
      <w:pPr>
        <w:ind w:left="5040" w:hanging="360"/>
      </w:pPr>
    </w:lvl>
    <w:lvl w:ilvl="7" w:tplc="37449AE4" w:tentative="1">
      <w:start w:val="1"/>
      <w:numFmt w:val="lowerLetter"/>
      <w:lvlText w:val="%8."/>
      <w:lvlJc w:val="left"/>
      <w:pPr>
        <w:ind w:left="5760" w:hanging="360"/>
      </w:pPr>
    </w:lvl>
    <w:lvl w:ilvl="8" w:tplc="A1F828EA" w:tentative="1">
      <w:start w:val="1"/>
      <w:numFmt w:val="lowerRoman"/>
      <w:lvlText w:val="%9."/>
      <w:lvlJc w:val="right"/>
      <w:pPr>
        <w:ind w:left="6480" w:hanging="180"/>
      </w:pPr>
    </w:lvl>
  </w:abstractNum>
  <w:abstractNum w:abstractNumId="14">
    <w:nsid w:val="0000000F"/>
    <w:multiLevelType w:val="hybridMultilevel"/>
    <w:tmpl w:val="DBBEBFFE"/>
    <w:lvl w:ilvl="0" w:tplc="04C65F8C">
      <w:start w:val="1"/>
      <w:numFmt w:val="lowerLetter"/>
      <w:pStyle w:val="Textstand-alonenumberingLetters"/>
      <w:lvlText w:val="%1)"/>
      <w:lvlJc w:val="left"/>
      <w:pPr>
        <w:ind w:left="720" w:hanging="360"/>
      </w:pPr>
      <w:rPr>
        <w:rFonts w:hint="default"/>
      </w:rPr>
    </w:lvl>
    <w:lvl w:ilvl="1" w:tplc="09E885BE" w:tentative="1">
      <w:start w:val="1"/>
      <w:numFmt w:val="lowerLetter"/>
      <w:lvlText w:val="%2."/>
      <w:lvlJc w:val="left"/>
      <w:pPr>
        <w:ind w:left="1440" w:hanging="360"/>
      </w:pPr>
    </w:lvl>
    <w:lvl w:ilvl="2" w:tplc="2BE40E78" w:tentative="1">
      <w:start w:val="1"/>
      <w:numFmt w:val="lowerRoman"/>
      <w:lvlText w:val="%3."/>
      <w:lvlJc w:val="right"/>
      <w:pPr>
        <w:ind w:left="2160" w:hanging="180"/>
      </w:pPr>
    </w:lvl>
    <w:lvl w:ilvl="3" w:tplc="5BA40F4A" w:tentative="1">
      <w:start w:val="1"/>
      <w:numFmt w:val="decimal"/>
      <w:lvlText w:val="%4."/>
      <w:lvlJc w:val="left"/>
      <w:pPr>
        <w:ind w:left="2880" w:hanging="360"/>
      </w:pPr>
    </w:lvl>
    <w:lvl w:ilvl="4" w:tplc="F3406AD4" w:tentative="1">
      <w:start w:val="1"/>
      <w:numFmt w:val="lowerLetter"/>
      <w:lvlText w:val="%5."/>
      <w:lvlJc w:val="left"/>
      <w:pPr>
        <w:ind w:left="3600" w:hanging="360"/>
      </w:pPr>
    </w:lvl>
    <w:lvl w:ilvl="5" w:tplc="D81C5EC0" w:tentative="1">
      <w:start w:val="1"/>
      <w:numFmt w:val="lowerRoman"/>
      <w:lvlText w:val="%6."/>
      <w:lvlJc w:val="right"/>
      <w:pPr>
        <w:ind w:left="4320" w:hanging="180"/>
      </w:pPr>
    </w:lvl>
    <w:lvl w:ilvl="6" w:tplc="896EC546" w:tentative="1">
      <w:start w:val="1"/>
      <w:numFmt w:val="decimal"/>
      <w:lvlText w:val="%7."/>
      <w:lvlJc w:val="left"/>
      <w:pPr>
        <w:ind w:left="5040" w:hanging="360"/>
      </w:pPr>
    </w:lvl>
    <w:lvl w:ilvl="7" w:tplc="BFD86C8A" w:tentative="1">
      <w:start w:val="1"/>
      <w:numFmt w:val="lowerLetter"/>
      <w:lvlText w:val="%8."/>
      <w:lvlJc w:val="left"/>
      <w:pPr>
        <w:ind w:left="5760" w:hanging="360"/>
      </w:pPr>
    </w:lvl>
    <w:lvl w:ilvl="8" w:tplc="4FEA1226" w:tentative="1">
      <w:start w:val="1"/>
      <w:numFmt w:val="lowerRoman"/>
      <w:lvlText w:val="%9."/>
      <w:lvlJc w:val="right"/>
      <w:pPr>
        <w:ind w:left="6480" w:hanging="180"/>
      </w:pPr>
    </w:lvl>
  </w:abstractNum>
  <w:abstractNum w:abstractNumId="15">
    <w:nsid w:val="00000010"/>
    <w:multiLevelType w:val="hybridMultilevel"/>
    <w:tmpl w:val="C652AFAA"/>
    <w:lvl w:ilvl="0" w:tplc="023AA632">
      <w:start w:val="1"/>
      <w:numFmt w:val="bullet"/>
      <w:pStyle w:val="Textstand-aloneBulletpoint"/>
      <w:lvlText w:val=""/>
      <w:lvlJc w:val="left"/>
      <w:pPr>
        <w:ind w:left="786" w:hanging="360"/>
      </w:pPr>
      <w:rPr>
        <w:rFonts w:ascii="Symbol" w:hAnsi="Symbol" w:hint="default"/>
      </w:rPr>
    </w:lvl>
    <w:lvl w:ilvl="1" w:tplc="7CDEB9C0" w:tentative="1">
      <w:start w:val="1"/>
      <w:numFmt w:val="bullet"/>
      <w:lvlText w:val="o"/>
      <w:lvlJc w:val="left"/>
      <w:pPr>
        <w:ind w:left="1800" w:hanging="360"/>
      </w:pPr>
      <w:rPr>
        <w:rFonts w:ascii="Courier New" w:hAnsi="Courier New" w:cs="Courier New" w:hint="default"/>
      </w:rPr>
    </w:lvl>
    <w:lvl w:ilvl="2" w:tplc="8E1EBB90" w:tentative="1">
      <w:start w:val="1"/>
      <w:numFmt w:val="bullet"/>
      <w:lvlText w:val=""/>
      <w:lvlJc w:val="left"/>
      <w:pPr>
        <w:ind w:left="2520" w:hanging="360"/>
      </w:pPr>
      <w:rPr>
        <w:rFonts w:ascii="Wingdings" w:hAnsi="Wingdings" w:hint="default"/>
      </w:rPr>
    </w:lvl>
    <w:lvl w:ilvl="3" w:tplc="07F0EE70" w:tentative="1">
      <w:start w:val="1"/>
      <w:numFmt w:val="bullet"/>
      <w:lvlText w:val=""/>
      <w:lvlJc w:val="left"/>
      <w:pPr>
        <w:ind w:left="3240" w:hanging="360"/>
      </w:pPr>
      <w:rPr>
        <w:rFonts w:ascii="Symbol" w:hAnsi="Symbol" w:hint="default"/>
      </w:rPr>
    </w:lvl>
    <w:lvl w:ilvl="4" w:tplc="C4A0E620" w:tentative="1">
      <w:start w:val="1"/>
      <w:numFmt w:val="bullet"/>
      <w:lvlText w:val="o"/>
      <w:lvlJc w:val="left"/>
      <w:pPr>
        <w:ind w:left="3960" w:hanging="360"/>
      </w:pPr>
      <w:rPr>
        <w:rFonts w:ascii="Courier New" w:hAnsi="Courier New" w:cs="Courier New" w:hint="default"/>
      </w:rPr>
    </w:lvl>
    <w:lvl w:ilvl="5" w:tplc="E59C18D6" w:tentative="1">
      <w:start w:val="1"/>
      <w:numFmt w:val="bullet"/>
      <w:lvlText w:val=""/>
      <w:lvlJc w:val="left"/>
      <w:pPr>
        <w:ind w:left="4680" w:hanging="360"/>
      </w:pPr>
      <w:rPr>
        <w:rFonts w:ascii="Wingdings" w:hAnsi="Wingdings" w:hint="default"/>
      </w:rPr>
    </w:lvl>
    <w:lvl w:ilvl="6" w:tplc="503800F4" w:tentative="1">
      <w:start w:val="1"/>
      <w:numFmt w:val="bullet"/>
      <w:lvlText w:val=""/>
      <w:lvlJc w:val="left"/>
      <w:pPr>
        <w:ind w:left="5400" w:hanging="360"/>
      </w:pPr>
      <w:rPr>
        <w:rFonts w:ascii="Symbol" w:hAnsi="Symbol" w:hint="default"/>
      </w:rPr>
    </w:lvl>
    <w:lvl w:ilvl="7" w:tplc="E3A844DC" w:tentative="1">
      <w:start w:val="1"/>
      <w:numFmt w:val="bullet"/>
      <w:lvlText w:val="o"/>
      <w:lvlJc w:val="left"/>
      <w:pPr>
        <w:ind w:left="6120" w:hanging="360"/>
      </w:pPr>
      <w:rPr>
        <w:rFonts w:ascii="Courier New" w:hAnsi="Courier New" w:cs="Courier New" w:hint="default"/>
      </w:rPr>
    </w:lvl>
    <w:lvl w:ilvl="8" w:tplc="1FA6857C" w:tentative="1">
      <w:start w:val="1"/>
      <w:numFmt w:val="bullet"/>
      <w:lvlText w:val=""/>
      <w:lvlJc w:val="left"/>
      <w:pPr>
        <w:ind w:left="6840" w:hanging="360"/>
      </w:pPr>
      <w:rPr>
        <w:rFonts w:ascii="Wingdings" w:hAnsi="Wingdings" w:hint="default"/>
      </w:rPr>
    </w:lvl>
  </w:abstractNum>
  <w:abstractNum w:abstractNumId="16">
    <w:nsid w:val="00000011"/>
    <w:multiLevelType w:val="hybridMultilevel"/>
    <w:tmpl w:val="12ACCC12"/>
    <w:lvl w:ilvl="0" w:tplc="1C80DA8A">
      <w:start w:val="1"/>
      <w:numFmt w:val="bullet"/>
      <w:lvlText w:val=""/>
      <w:lvlJc w:val="left"/>
      <w:pPr>
        <w:ind w:left="720" w:hanging="360"/>
      </w:pPr>
      <w:rPr>
        <w:rFonts w:ascii="Symbol" w:hAnsi="Symbol" w:hint="default"/>
      </w:rPr>
    </w:lvl>
    <w:lvl w:ilvl="1" w:tplc="745EADAA" w:tentative="1">
      <w:start w:val="1"/>
      <w:numFmt w:val="bullet"/>
      <w:lvlText w:val="o"/>
      <w:lvlJc w:val="left"/>
      <w:pPr>
        <w:ind w:left="1440" w:hanging="360"/>
      </w:pPr>
      <w:rPr>
        <w:rFonts w:ascii="Courier New" w:hAnsi="Courier New" w:cs="Courier New" w:hint="default"/>
      </w:rPr>
    </w:lvl>
    <w:lvl w:ilvl="2" w:tplc="D2CEDD86" w:tentative="1">
      <w:start w:val="1"/>
      <w:numFmt w:val="bullet"/>
      <w:lvlText w:val=""/>
      <w:lvlJc w:val="left"/>
      <w:pPr>
        <w:ind w:left="2160" w:hanging="360"/>
      </w:pPr>
      <w:rPr>
        <w:rFonts w:ascii="Wingdings" w:hAnsi="Wingdings" w:hint="default"/>
      </w:rPr>
    </w:lvl>
    <w:lvl w:ilvl="3" w:tplc="0E1C82CA" w:tentative="1">
      <w:start w:val="1"/>
      <w:numFmt w:val="bullet"/>
      <w:lvlText w:val=""/>
      <w:lvlJc w:val="left"/>
      <w:pPr>
        <w:ind w:left="2880" w:hanging="360"/>
      </w:pPr>
      <w:rPr>
        <w:rFonts w:ascii="Symbol" w:hAnsi="Symbol" w:hint="default"/>
      </w:rPr>
    </w:lvl>
    <w:lvl w:ilvl="4" w:tplc="025260F2" w:tentative="1">
      <w:start w:val="1"/>
      <w:numFmt w:val="bullet"/>
      <w:lvlText w:val="o"/>
      <w:lvlJc w:val="left"/>
      <w:pPr>
        <w:ind w:left="3600" w:hanging="360"/>
      </w:pPr>
      <w:rPr>
        <w:rFonts w:ascii="Courier New" w:hAnsi="Courier New" w:cs="Courier New" w:hint="default"/>
      </w:rPr>
    </w:lvl>
    <w:lvl w:ilvl="5" w:tplc="7C2E545C" w:tentative="1">
      <w:start w:val="1"/>
      <w:numFmt w:val="bullet"/>
      <w:lvlText w:val=""/>
      <w:lvlJc w:val="left"/>
      <w:pPr>
        <w:ind w:left="4320" w:hanging="360"/>
      </w:pPr>
      <w:rPr>
        <w:rFonts w:ascii="Wingdings" w:hAnsi="Wingdings" w:hint="default"/>
      </w:rPr>
    </w:lvl>
    <w:lvl w:ilvl="6" w:tplc="A8649DA6" w:tentative="1">
      <w:start w:val="1"/>
      <w:numFmt w:val="bullet"/>
      <w:lvlText w:val=""/>
      <w:lvlJc w:val="left"/>
      <w:pPr>
        <w:ind w:left="5040" w:hanging="360"/>
      </w:pPr>
      <w:rPr>
        <w:rFonts w:ascii="Symbol" w:hAnsi="Symbol" w:hint="default"/>
      </w:rPr>
    </w:lvl>
    <w:lvl w:ilvl="7" w:tplc="81E6EB0E" w:tentative="1">
      <w:start w:val="1"/>
      <w:numFmt w:val="bullet"/>
      <w:lvlText w:val="o"/>
      <w:lvlJc w:val="left"/>
      <w:pPr>
        <w:ind w:left="5760" w:hanging="360"/>
      </w:pPr>
      <w:rPr>
        <w:rFonts w:ascii="Courier New" w:hAnsi="Courier New" w:cs="Courier New" w:hint="default"/>
      </w:rPr>
    </w:lvl>
    <w:lvl w:ilvl="8" w:tplc="1D24625E"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D062CAA0"/>
    <w:lvl w:ilvl="0" w:tplc="49E68E98">
      <w:start w:val="1"/>
      <w:numFmt w:val="bullet"/>
      <w:lvlText w:val=""/>
      <w:lvlJc w:val="left"/>
      <w:pPr>
        <w:ind w:left="720" w:hanging="360"/>
      </w:pPr>
      <w:rPr>
        <w:rFonts w:ascii="Symbol" w:hAnsi="Symbol" w:hint="default"/>
      </w:rPr>
    </w:lvl>
    <w:lvl w:ilvl="1" w:tplc="FD86B706" w:tentative="1">
      <w:start w:val="1"/>
      <w:numFmt w:val="bullet"/>
      <w:lvlText w:val="o"/>
      <w:lvlJc w:val="left"/>
      <w:pPr>
        <w:ind w:left="1440" w:hanging="360"/>
      </w:pPr>
      <w:rPr>
        <w:rFonts w:ascii="Courier New" w:hAnsi="Courier New" w:cs="Courier New" w:hint="default"/>
      </w:rPr>
    </w:lvl>
    <w:lvl w:ilvl="2" w:tplc="EC0E7B40" w:tentative="1">
      <w:start w:val="1"/>
      <w:numFmt w:val="bullet"/>
      <w:lvlText w:val=""/>
      <w:lvlJc w:val="left"/>
      <w:pPr>
        <w:ind w:left="2160" w:hanging="360"/>
      </w:pPr>
      <w:rPr>
        <w:rFonts w:ascii="Wingdings" w:hAnsi="Wingdings" w:hint="default"/>
      </w:rPr>
    </w:lvl>
    <w:lvl w:ilvl="3" w:tplc="A7D4E604" w:tentative="1">
      <w:start w:val="1"/>
      <w:numFmt w:val="bullet"/>
      <w:lvlText w:val=""/>
      <w:lvlJc w:val="left"/>
      <w:pPr>
        <w:ind w:left="2880" w:hanging="360"/>
      </w:pPr>
      <w:rPr>
        <w:rFonts w:ascii="Symbol" w:hAnsi="Symbol" w:hint="default"/>
      </w:rPr>
    </w:lvl>
    <w:lvl w:ilvl="4" w:tplc="AB243324" w:tentative="1">
      <w:start w:val="1"/>
      <w:numFmt w:val="bullet"/>
      <w:lvlText w:val="o"/>
      <w:lvlJc w:val="left"/>
      <w:pPr>
        <w:ind w:left="3600" w:hanging="360"/>
      </w:pPr>
      <w:rPr>
        <w:rFonts w:ascii="Courier New" w:hAnsi="Courier New" w:cs="Courier New" w:hint="default"/>
      </w:rPr>
    </w:lvl>
    <w:lvl w:ilvl="5" w:tplc="5E36BAD2" w:tentative="1">
      <w:start w:val="1"/>
      <w:numFmt w:val="bullet"/>
      <w:lvlText w:val=""/>
      <w:lvlJc w:val="left"/>
      <w:pPr>
        <w:ind w:left="4320" w:hanging="360"/>
      </w:pPr>
      <w:rPr>
        <w:rFonts w:ascii="Wingdings" w:hAnsi="Wingdings" w:hint="default"/>
      </w:rPr>
    </w:lvl>
    <w:lvl w:ilvl="6" w:tplc="A73646B2" w:tentative="1">
      <w:start w:val="1"/>
      <w:numFmt w:val="bullet"/>
      <w:lvlText w:val=""/>
      <w:lvlJc w:val="left"/>
      <w:pPr>
        <w:ind w:left="5040" w:hanging="360"/>
      </w:pPr>
      <w:rPr>
        <w:rFonts w:ascii="Symbol" w:hAnsi="Symbol" w:hint="default"/>
      </w:rPr>
    </w:lvl>
    <w:lvl w:ilvl="7" w:tplc="83584ED4" w:tentative="1">
      <w:start w:val="1"/>
      <w:numFmt w:val="bullet"/>
      <w:lvlText w:val="o"/>
      <w:lvlJc w:val="left"/>
      <w:pPr>
        <w:ind w:left="5760" w:hanging="360"/>
      </w:pPr>
      <w:rPr>
        <w:rFonts w:ascii="Courier New" w:hAnsi="Courier New" w:cs="Courier New" w:hint="default"/>
      </w:rPr>
    </w:lvl>
    <w:lvl w:ilvl="8" w:tplc="A20C1618"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802A5E22"/>
    <w:lvl w:ilvl="0" w:tplc="A1F47CDE">
      <w:start w:val="1"/>
      <w:numFmt w:val="bullet"/>
      <w:lvlText w:val=""/>
      <w:lvlJc w:val="left"/>
      <w:pPr>
        <w:ind w:left="720" w:hanging="360"/>
      </w:pPr>
      <w:rPr>
        <w:rFonts w:ascii="Symbol" w:hAnsi="Symbol" w:hint="default"/>
      </w:rPr>
    </w:lvl>
    <w:lvl w:ilvl="1" w:tplc="D4B0F0DC" w:tentative="1">
      <w:start w:val="1"/>
      <w:numFmt w:val="bullet"/>
      <w:lvlText w:val="o"/>
      <w:lvlJc w:val="left"/>
      <w:pPr>
        <w:ind w:left="1440" w:hanging="360"/>
      </w:pPr>
      <w:rPr>
        <w:rFonts w:ascii="Courier New" w:hAnsi="Courier New" w:cs="Courier New" w:hint="default"/>
      </w:rPr>
    </w:lvl>
    <w:lvl w:ilvl="2" w:tplc="D18213A0" w:tentative="1">
      <w:start w:val="1"/>
      <w:numFmt w:val="bullet"/>
      <w:lvlText w:val=""/>
      <w:lvlJc w:val="left"/>
      <w:pPr>
        <w:ind w:left="2160" w:hanging="360"/>
      </w:pPr>
      <w:rPr>
        <w:rFonts w:ascii="Wingdings" w:hAnsi="Wingdings" w:hint="default"/>
      </w:rPr>
    </w:lvl>
    <w:lvl w:ilvl="3" w:tplc="38B4D570" w:tentative="1">
      <w:start w:val="1"/>
      <w:numFmt w:val="bullet"/>
      <w:lvlText w:val=""/>
      <w:lvlJc w:val="left"/>
      <w:pPr>
        <w:ind w:left="2880" w:hanging="360"/>
      </w:pPr>
      <w:rPr>
        <w:rFonts w:ascii="Symbol" w:hAnsi="Symbol" w:hint="default"/>
      </w:rPr>
    </w:lvl>
    <w:lvl w:ilvl="4" w:tplc="A0927C34" w:tentative="1">
      <w:start w:val="1"/>
      <w:numFmt w:val="bullet"/>
      <w:lvlText w:val="o"/>
      <w:lvlJc w:val="left"/>
      <w:pPr>
        <w:ind w:left="3600" w:hanging="360"/>
      </w:pPr>
      <w:rPr>
        <w:rFonts w:ascii="Courier New" w:hAnsi="Courier New" w:cs="Courier New" w:hint="default"/>
      </w:rPr>
    </w:lvl>
    <w:lvl w:ilvl="5" w:tplc="45145D94" w:tentative="1">
      <w:start w:val="1"/>
      <w:numFmt w:val="bullet"/>
      <w:lvlText w:val=""/>
      <w:lvlJc w:val="left"/>
      <w:pPr>
        <w:ind w:left="4320" w:hanging="360"/>
      </w:pPr>
      <w:rPr>
        <w:rFonts w:ascii="Wingdings" w:hAnsi="Wingdings" w:hint="default"/>
      </w:rPr>
    </w:lvl>
    <w:lvl w:ilvl="6" w:tplc="56B27FE0" w:tentative="1">
      <w:start w:val="1"/>
      <w:numFmt w:val="bullet"/>
      <w:lvlText w:val=""/>
      <w:lvlJc w:val="left"/>
      <w:pPr>
        <w:ind w:left="5040" w:hanging="360"/>
      </w:pPr>
      <w:rPr>
        <w:rFonts w:ascii="Symbol" w:hAnsi="Symbol" w:hint="default"/>
      </w:rPr>
    </w:lvl>
    <w:lvl w:ilvl="7" w:tplc="19FE83CC" w:tentative="1">
      <w:start w:val="1"/>
      <w:numFmt w:val="bullet"/>
      <w:lvlText w:val="o"/>
      <w:lvlJc w:val="left"/>
      <w:pPr>
        <w:ind w:left="5760" w:hanging="360"/>
      </w:pPr>
      <w:rPr>
        <w:rFonts w:ascii="Courier New" w:hAnsi="Courier New" w:cs="Courier New" w:hint="default"/>
      </w:rPr>
    </w:lvl>
    <w:lvl w:ilvl="8" w:tplc="B1ACB970"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C99CF6C2"/>
    <w:lvl w:ilvl="0" w:tplc="D1BCC784">
      <w:start w:val="1"/>
      <w:numFmt w:val="bullet"/>
      <w:lvlText w:val=""/>
      <w:lvlJc w:val="left"/>
      <w:pPr>
        <w:ind w:left="720" w:hanging="360"/>
      </w:pPr>
      <w:rPr>
        <w:rFonts w:ascii="Symbol" w:hAnsi="Symbol" w:hint="default"/>
      </w:rPr>
    </w:lvl>
    <w:lvl w:ilvl="1" w:tplc="A4B8D96E" w:tentative="1">
      <w:start w:val="1"/>
      <w:numFmt w:val="bullet"/>
      <w:lvlText w:val="o"/>
      <w:lvlJc w:val="left"/>
      <w:pPr>
        <w:ind w:left="1440" w:hanging="360"/>
      </w:pPr>
      <w:rPr>
        <w:rFonts w:ascii="Courier New" w:hAnsi="Courier New" w:cs="Courier New" w:hint="default"/>
      </w:rPr>
    </w:lvl>
    <w:lvl w:ilvl="2" w:tplc="009CD972" w:tentative="1">
      <w:start w:val="1"/>
      <w:numFmt w:val="bullet"/>
      <w:lvlText w:val=""/>
      <w:lvlJc w:val="left"/>
      <w:pPr>
        <w:ind w:left="2160" w:hanging="360"/>
      </w:pPr>
      <w:rPr>
        <w:rFonts w:ascii="Wingdings" w:hAnsi="Wingdings" w:hint="default"/>
      </w:rPr>
    </w:lvl>
    <w:lvl w:ilvl="3" w:tplc="A3265AC0" w:tentative="1">
      <w:start w:val="1"/>
      <w:numFmt w:val="bullet"/>
      <w:lvlText w:val=""/>
      <w:lvlJc w:val="left"/>
      <w:pPr>
        <w:ind w:left="2880" w:hanging="360"/>
      </w:pPr>
      <w:rPr>
        <w:rFonts w:ascii="Symbol" w:hAnsi="Symbol" w:hint="default"/>
      </w:rPr>
    </w:lvl>
    <w:lvl w:ilvl="4" w:tplc="13E47D1C" w:tentative="1">
      <w:start w:val="1"/>
      <w:numFmt w:val="bullet"/>
      <w:lvlText w:val="o"/>
      <w:lvlJc w:val="left"/>
      <w:pPr>
        <w:ind w:left="3600" w:hanging="360"/>
      </w:pPr>
      <w:rPr>
        <w:rFonts w:ascii="Courier New" w:hAnsi="Courier New" w:cs="Courier New" w:hint="default"/>
      </w:rPr>
    </w:lvl>
    <w:lvl w:ilvl="5" w:tplc="3648D70E" w:tentative="1">
      <w:start w:val="1"/>
      <w:numFmt w:val="bullet"/>
      <w:lvlText w:val=""/>
      <w:lvlJc w:val="left"/>
      <w:pPr>
        <w:ind w:left="4320" w:hanging="360"/>
      </w:pPr>
      <w:rPr>
        <w:rFonts w:ascii="Wingdings" w:hAnsi="Wingdings" w:hint="default"/>
      </w:rPr>
    </w:lvl>
    <w:lvl w:ilvl="6" w:tplc="F58CA468" w:tentative="1">
      <w:start w:val="1"/>
      <w:numFmt w:val="bullet"/>
      <w:lvlText w:val=""/>
      <w:lvlJc w:val="left"/>
      <w:pPr>
        <w:ind w:left="5040" w:hanging="360"/>
      </w:pPr>
      <w:rPr>
        <w:rFonts w:ascii="Symbol" w:hAnsi="Symbol" w:hint="default"/>
      </w:rPr>
    </w:lvl>
    <w:lvl w:ilvl="7" w:tplc="C820EFBE" w:tentative="1">
      <w:start w:val="1"/>
      <w:numFmt w:val="bullet"/>
      <w:lvlText w:val="o"/>
      <w:lvlJc w:val="left"/>
      <w:pPr>
        <w:ind w:left="5760" w:hanging="360"/>
      </w:pPr>
      <w:rPr>
        <w:rFonts w:ascii="Courier New" w:hAnsi="Courier New" w:cs="Courier New" w:hint="default"/>
      </w:rPr>
    </w:lvl>
    <w:lvl w:ilvl="8" w:tplc="E852536C" w:tentative="1">
      <w:start w:val="1"/>
      <w:numFmt w:val="bullet"/>
      <w:lvlText w:val=""/>
      <w:lvlJc w:val="left"/>
      <w:pPr>
        <w:ind w:left="6480" w:hanging="360"/>
      </w:pPr>
      <w:rPr>
        <w:rFonts w:ascii="Wingdings" w:hAnsi="Wingdings" w:hint="default"/>
      </w:rPr>
    </w:lvl>
  </w:abstractNum>
  <w:abstractNum w:abstractNumId="20">
    <w:nsid w:val="098A3198"/>
    <w:multiLevelType w:val="hybridMultilevel"/>
    <w:tmpl w:val="A99C3C74"/>
    <w:lvl w:ilvl="0" w:tplc="E37A747C">
      <w:start w:val="1"/>
      <w:numFmt w:val="decimal"/>
      <w:pStyle w:val="HEADER4Part3"/>
      <w:lvlText w:val="%1.1.1.1"/>
      <w:lvlJc w:val="left"/>
      <w:pPr>
        <w:ind w:left="720" w:hanging="360"/>
      </w:pPr>
      <w:rPr>
        <w:rFonts w:ascii="Verdana" w:hAnsi="Verdana" w:hint="default"/>
        <w:sz w:val="18"/>
        <w:szCs w:val="18"/>
      </w:rPr>
    </w:lvl>
    <w:lvl w:ilvl="1" w:tplc="4BEE3790" w:tentative="1">
      <w:start w:val="1"/>
      <w:numFmt w:val="lowerLetter"/>
      <w:lvlText w:val="%2."/>
      <w:lvlJc w:val="left"/>
      <w:pPr>
        <w:ind w:left="1440" w:hanging="360"/>
      </w:pPr>
    </w:lvl>
    <w:lvl w:ilvl="2" w:tplc="F7785494" w:tentative="1">
      <w:start w:val="1"/>
      <w:numFmt w:val="lowerRoman"/>
      <w:lvlText w:val="%3."/>
      <w:lvlJc w:val="right"/>
      <w:pPr>
        <w:ind w:left="2160" w:hanging="180"/>
      </w:pPr>
    </w:lvl>
    <w:lvl w:ilvl="3" w:tplc="3A4031CE">
      <w:start w:val="1"/>
      <w:numFmt w:val="decimal"/>
      <w:lvlText w:val="%4."/>
      <w:lvlJc w:val="left"/>
      <w:pPr>
        <w:ind w:left="2880" w:hanging="360"/>
      </w:pPr>
    </w:lvl>
    <w:lvl w:ilvl="4" w:tplc="39307280" w:tentative="1">
      <w:start w:val="1"/>
      <w:numFmt w:val="lowerLetter"/>
      <w:lvlText w:val="%5."/>
      <w:lvlJc w:val="left"/>
      <w:pPr>
        <w:ind w:left="3600" w:hanging="360"/>
      </w:pPr>
    </w:lvl>
    <w:lvl w:ilvl="5" w:tplc="F5FC457A" w:tentative="1">
      <w:start w:val="1"/>
      <w:numFmt w:val="lowerRoman"/>
      <w:lvlText w:val="%6."/>
      <w:lvlJc w:val="right"/>
      <w:pPr>
        <w:ind w:left="4320" w:hanging="180"/>
      </w:pPr>
    </w:lvl>
    <w:lvl w:ilvl="6" w:tplc="C422CCC8" w:tentative="1">
      <w:start w:val="1"/>
      <w:numFmt w:val="decimal"/>
      <w:lvlText w:val="%7."/>
      <w:lvlJc w:val="left"/>
      <w:pPr>
        <w:ind w:left="5040" w:hanging="360"/>
      </w:pPr>
    </w:lvl>
    <w:lvl w:ilvl="7" w:tplc="8FD42C9C" w:tentative="1">
      <w:start w:val="1"/>
      <w:numFmt w:val="lowerLetter"/>
      <w:lvlText w:val="%8."/>
      <w:lvlJc w:val="left"/>
      <w:pPr>
        <w:ind w:left="5760" w:hanging="360"/>
      </w:pPr>
    </w:lvl>
    <w:lvl w:ilvl="8" w:tplc="C7208BE8" w:tentative="1">
      <w:start w:val="1"/>
      <w:numFmt w:val="lowerRoman"/>
      <w:lvlText w:val="%9."/>
      <w:lvlJc w:val="right"/>
      <w:pPr>
        <w:ind w:left="6480" w:hanging="180"/>
      </w:pPr>
    </w:lvl>
  </w:abstractNum>
  <w:abstractNum w:abstractNumId="21">
    <w:nsid w:val="1FF10573"/>
    <w:multiLevelType w:val="hybridMultilevel"/>
    <w:tmpl w:val="79A06CEA"/>
    <w:lvl w:ilvl="0" w:tplc="8A60F900">
      <w:start w:val="1"/>
      <w:numFmt w:val="decimal"/>
      <w:lvlText w:val="%1."/>
      <w:lvlJc w:val="left"/>
      <w:pPr>
        <w:ind w:left="720" w:hanging="360"/>
      </w:pPr>
    </w:lvl>
    <w:lvl w:ilvl="1" w:tplc="FE92F172" w:tentative="1">
      <w:start w:val="1"/>
      <w:numFmt w:val="lowerLetter"/>
      <w:lvlText w:val="%2."/>
      <w:lvlJc w:val="left"/>
      <w:pPr>
        <w:ind w:left="1440" w:hanging="360"/>
      </w:pPr>
    </w:lvl>
    <w:lvl w:ilvl="2" w:tplc="5E3A364E" w:tentative="1">
      <w:start w:val="1"/>
      <w:numFmt w:val="lowerRoman"/>
      <w:lvlText w:val="%3."/>
      <w:lvlJc w:val="right"/>
      <w:pPr>
        <w:ind w:left="2160" w:hanging="180"/>
      </w:pPr>
    </w:lvl>
    <w:lvl w:ilvl="3" w:tplc="99C23ED8" w:tentative="1">
      <w:start w:val="1"/>
      <w:numFmt w:val="decimal"/>
      <w:lvlText w:val="%4."/>
      <w:lvlJc w:val="left"/>
      <w:pPr>
        <w:ind w:left="2880" w:hanging="360"/>
      </w:pPr>
    </w:lvl>
    <w:lvl w:ilvl="4" w:tplc="323EDF72" w:tentative="1">
      <w:start w:val="1"/>
      <w:numFmt w:val="lowerLetter"/>
      <w:lvlText w:val="%5."/>
      <w:lvlJc w:val="left"/>
      <w:pPr>
        <w:ind w:left="3600" w:hanging="360"/>
      </w:pPr>
    </w:lvl>
    <w:lvl w:ilvl="5" w:tplc="C42C760E" w:tentative="1">
      <w:start w:val="1"/>
      <w:numFmt w:val="lowerRoman"/>
      <w:lvlText w:val="%6."/>
      <w:lvlJc w:val="right"/>
      <w:pPr>
        <w:ind w:left="4320" w:hanging="180"/>
      </w:pPr>
    </w:lvl>
    <w:lvl w:ilvl="6" w:tplc="849CC224" w:tentative="1">
      <w:start w:val="1"/>
      <w:numFmt w:val="decimal"/>
      <w:lvlText w:val="%7."/>
      <w:lvlJc w:val="left"/>
      <w:pPr>
        <w:ind w:left="5040" w:hanging="360"/>
      </w:pPr>
    </w:lvl>
    <w:lvl w:ilvl="7" w:tplc="56C060E6" w:tentative="1">
      <w:start w:val="1"/>
      <w:numFmt w:val="lowerLetter"/>
      <w:lvlText w:val="%8."/>
      <w:lvlJc w:val="left"/>
      <w:pPr>
        <w:ind w:left="5760" w:hanging="360"/>
      </w:pPr>
    </w:lvl>
    <w:lvl w:ilvl="8" w:tplc="BA34F97C" w:tentative="1">
      <w:start w:val="1"/>
      <w:numFmt w:val="lowerRoman"/>
      <w:lvlText w:val="%9."/>
      <w:lvlJc w:val="right"/>
      <w:pPr>
        <w:ind w:left="6480" w:hanging="180"/>
      </w:pPr>
    </w:lvl>
  </w:abstractNum>
  <w:abstractNum w:abstractNumId="22">
    <w:nsid w:val="290C592F"/>
    <w:multiLevelType w:val="hybridMultilevel"/>
    <w:tmpl w:val="70F60BB0"/>
    <w:lvl w:ilvl="0" w:tplc="65DAD904">
      <w:start w:val="1"/>
      <w:numFmt w:val="decimal"/>
      <w:lvlText w:val="1.%1."/>
      <w:lvlJc w:val="left"/>
      <w:pPr>
        <w:ind w:left="720" w:hanging="360"/>
      </w:pPr>
      <w:rPr>
        <w:rFonts w:hint="default"/>
      </w:rPr>
    </w:lvl>
    <w:lvl w:ilvl="1" w:tplc="E74AC9E4" w:tentative="1">
      <w:start w:val="1"/>
      <w:numFmt w:val="lowerLetter"/>
      <w:lvlText w:val="%2."/>
      <w:lvlJc w:val="left"/>
      <w:pPr>
        <w:ind w:left="1440" w:hanging="360"/>
      </w:pPr>
    </w:lvl>
    <w:lvl w:ilvl="2" w:tplc="B2EA5FCA" w:tentative="1">
      <w:start w:val="1"/>
      <w:numFmt w:val="lowerRoman"/>
      <w:lvlText w:val="%3."/>
      <w:lvlJc w:val="right"/>
      <w:pPr>
        <w:ind w:left="2160" w:hanging="180"/>
      </w:pPr>
    </w:lvl>
    <w:lvl w:ilvl="3" w:tplc="44B0A89E" w:tentative="1">
      <w:start w:val="1"/>
      <w:numFmt w:val="decimal"/>
      <w:lvlText w:val="%4."/>
      <w:lvlJc w:val="left"/>
      <w:pPr>
        <w:ind w:left="2880" w:hanging="360"/>
      </w:pPr>
    </w:lvl>
    <w:lvl w:ilvl="4" w:tplc="46E40AF8" w:tentative="1">
      <w:start w:val="1"/>
      <w:numFmt w:val="lowerLetter"/>
      <w:lvlText w:val="%5."/>
      <w:lvlJc w:val="left"/>
      <w:pPr>
        <w:ind w:left="3600" w:hanging="360"/>
      </w:pPr>
    </w:lvl>
    <w:lvl w:ilvl="5" w:tplc="4106F6AE" w:tentative="1">
      <w:start w:val="1"/>
      <w:numFmt w:val="lowerRoman"/>
      <w:lvlText w:val="%6."/>
      <w:lvlJc w:val="right"/>
      <w:pPr>
        <w:ind w:left="4320" w:hanging="180"/>
      </w:pPr>
    </w:lvl>
    <w:lvl w:ilvl="6" w:tplc="2FA8A220" w:tentative="1">
      <w:start w:val="1"/>
      <w:numFmt w:val="decimal"/>
      <w:lvlText w:val="%7."/>
      <w:lvlJc w:val="left"/>
      <w:pPr>
        <w:ind w:left="5040" w:hanging="360"/>
      </w:pPr>
    </w:lvl>
    <w:lvl w:ilvl="7" w:tplc="3FB43B78" w:tentative="1">
      <w:start w:val="1"/>
      <w:numFmt w:val="lowerLetter"/>
      <w:lvlText w:val="%8."/>
      <w:lvlJc w:val="left"/>
      <w:pPr>
        <w:ind w:left="5760" w:hanging="360"/>
      </w:pPr>
    </w:lvl>
    <w:lvl w:ilvl="8" w:tplc="EDB6E49A" w:tentative="1">
      <w:start w:val="1"/>
      <w:numFmt w:val="lowerRoman"/>
      <w:lvlText w:val="%9."/>
      <w:lvlJc w:val="right"/>
      <w:pPr>
        <w:ind w:left="6480" w:hanging="180"/>
      </w:pPr>
    </w:lvl>
  </w:abstractNum>
  <w:abstractNum w:abstractNumId="23">
    <w:nsid w:val="434911C2"/>
    <w:multiLevelType w:val="multilevel"/>
    <w:tmpl w:val="BD5850D4"/>
    <w:lvl w:ilvl="0">
      <w:start w:val="1"/>
      <w:numFmt w:val="decimal"/>
      <w:lvlText w:val="3.%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4">
    <w:nsid w:val="4EAC6A7B"/>
    <w:multiLevelType w:val="multilevel"/>
    <w:tmpl w:val="7E949188"/>
    <w:lvl w:ilvl="0">
      <w:start w:val="1"/>
      <w:numFmt w:val="decimal"/>
      <w:pStyle w:val="HEADER1Part3"/>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EA07653"/>
    <w:multiLevelType w:val="hybridMultilevel"/>
    <w:tmpl w:val="549C48F2"/>
    <w:lvl w:ilvl="0" w:tplc="072C790A">
      <w:start w:val="1"/>
      <w:numFmt w:val="bullet"/>
      <w:lvlText w:val="-"/>
      <w:lvlJc w:val="left"/>
      <w:pPr>
        <w:ind w:left="1080" w:hanging="360"/>
      </w:pPr>
      <w:rPr>
        <w:rFonts w:ascii="Verdana" w:hAnsi="Verdana" w:hint="default"/>
      </w:rPr>
    </w:lvl>
    <w:lvl w:ilvl="1" w:tplc="D646D638" w:tentative="1">
      <w:start w:val="1"/>
      <w:numFmt w:val="bullet"/>
      <w:lvlText w:val="o"/>
      <w:lvlJc w:val="left"/>
      <w:pPr>
        <w:ind w:left="1800" w:hanging="360"/>
      </w:pPr>
      <w:rPr>
        <w:rFonts w:ascii="Courier New" w:hAnsi="Courier New" w:cs="Courier New" w:hint="default"/>
      </w:rPr>
    </w:lvl>
    <w:lvl w:ilvl="2" w:tplc="A53A2584" w:tentative="1">
      <w:start w:val="1"/>
      <w:numFmt w:val="bullet"/>
      <w:lvlText w:val=""/>
      <w:lvlJc w:val="left"/>
      <w:pPr>
        <w:ind w:left="2520" w:hanging="360"/>
      </w:pPr>
      <w:rPr>
        <w:rFonts w:ascii="Wingdings" w:hAnsi="Wingdings" w:hint="default"/>
      </w:rPr>
    </w:lvl>
    <w:lvl w:ilvl="3" w:tplc="BEEE4392" w:tentative="1">
      <w:start w:val="1"/>
      <w:numFmt w:val="bullet"/>
      <w:lvlText w:val=""/>
      <w:lvlJc w:val="left"/>
      <w:pPr>
        <w:ind w:left="3240" w:hanging="360"/>
      </w:pPr>
      <w:rPr>
        <w:rFonts w:ascii="Symbol" w:hAnsi="Symbol" w:hint="default"/>
      </w:rPr>
    </w:lvl>
    <w:lvl w:ilvl="4" w:tplc="86A6F174" w:tentative="1">
      <w:start w:val="1"/>
      <w:numFmt w:val="bullet"/>
      <w:lvlText w:val="o"/>
      <w:lvlJc w:val="left"/>
      <w:pPr>
        <w:ind w:left="3960" w:hanging="360"/>
      </w:pPr>
      <w:rPr>
        <w:rFonts w:ascii="Courier New" w:hAnsi="Courier New" w:cs="Courier New" w:hint="default"/>
      </w:rPr>
    </w:lvl>
    <w:lvl w:ilvl="5" w:tplc="8738D126" w:tentative="1">
      <w:start w:val="1"/>
      <w:numFmt w:val="bullet"/>
      <w:lvlText w:val=""/>
      <w:lvlJc w:val="left"/>
      <w:pPr>
        <w:ind w:left="4680" w:hanging="360"/>
      </w:pPr>
      <w:rPr>
        <w:rFonts w:ascii="Wingdings" w:hAnsi="Wingdings" w:hint="default"/>
      </w:rPr>
    </w:lvl>
    <w:lvl w:ilvl="6" w:tplc="5ECA04B2" w:tentative="1">
      <w:start w:val="1"/>
      <w:numFmt w:val="bullet"/>
      <w:lvlText w:val=""/>
      <w:lvlJc w:val="left"/>
      <w:pPr>
        <w:ind w:left="5400" w:hanging="360"/>
      </w:pPr>
      <w:rPr>
        <w:rFonts w:ascii="Symbol" w:hAnsi="Symbol" w:hint="default"/>
      </w:rPr>
    </w:lvl>
    <w:lvl w:ilvl="7" w:tplc="9CEEF5A6" w:tentative="1">
      <w:start w:val="1"/>
      <w:numFmt w:val="bullet"/>
      <w:lvlText w:val="o"/>
      <w:lvlJc w:val="left"/>
      <w:pPr>
        <w:ind w:left="6120" w:hanging="360"/>
      </w:pPr>
      <w:rPr>
        <w:rFonts w:ascii="Courier New" w:hAnsi="Courier New" w:cs="Courier New" w:hint="default"/>
      </w:rPr>
    </w:lvl>
    <w:lvl w:ilvl="8" w:tplc="8766EF72" w:tentative="1">
      <w:start w:val="1"/>
      <w:numFmt w:val="bullet"/>
      <w:lvlText w:val=""/>
      <w:lvlJc w:val="left"/>
      <w:pPr>
        <w:ind w:left="6840" w:hanging="360"/>
      </w:pPr>
      <w:rPr>
        <w:rFonts w:ascii="Wingdings" w:hAnsi="Wingdings" w:hint="default"/>
      </w:rPr>
    </w:lvl>
  </w:abstractNum>
  <w:abstractNum w:abstractNumId="26">
    <w:nsid w:val="6F351A54"/>
    <w:multiLevelType w:val="hybridMultilevel"/>
    <w:tmpl w:val="1B526418"/>
    <w:lvl w:ilvl="0" w:tplc="BB867DCE">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DEFA9AEE">
      <w:start w:val="1"/>
      <w:numFmt w:val="bullet"/>
      <w:lvlText w:val="o"/>
      <w:lvlJc w:val="left"/>
      <w:pPr>
        <w:ind w:left="1440" w:hanging="360"/>
      </w:pPr>
      <w:rPr>
        <w:rFonts w:ascii="Courier New" w:hAnsi="Courier New" w:cs="Courier New" w:hint="default"/>
      </w:rPr>
    </w:lvl>
    <w:lvl w:ilvl="2" w:tplc="0E6A432A" w:tentative="1">
      <w:start w:val="1"/>
      <w:numFmt w:val="bullet"/>
      <w:lvlText w:val=""/>
      <w:lvlJc w:val="left"/>
      <w:pPr>
        <w:ind w:left="2160" w:hanging="360"/>
      </w:pPr>
      <w:rPr>
        <w:rFonts w:ascii="Wingdings" w:hAnsi="Wingdings" w:hint="default"/>
      </w:rPr>
    </w:lvl>
    <w:lvl w:ilvl="3" w:tplc="EF64822A" w:tentative="1">
      <w:start w:val="1"/>
      <w:numFmt w:val="bullet"/>
      <w:lvlText w:val=""/>
      <w:lvlJc w:val="left"/>
      <w:pPr>
        <w:ind w:left="2880" w:hanging="360"/>
      </w:pPr>
      <w:rPr>
        <w:rFonts w:ascii="Symbol" w:hAnsi="Symbol" w:hint="default"/>
      </w:rPr>
    </w:lvl>
    <w:lvl w:ilvl="4" w:tplc="20D4BEB6" w:tentative="1">
      <w:start w:val="1"/>
      <w:numFmt w:val="bullet"/>
      <w:lvlText w:val="o"/>
      <w:lvlJc w:val="left"/>
      <w:pPr>
        <w:ind w:left="3600" w:hanging="360"/>
      </w:pPr>
      <w:rPr>
        <w:rFonts w:ascii="Courier New" w:hAnsi="Courier New" w:cs="Courier New" w:hint="default"/>
      </w:rPr>
    </w:lvl>
    <w:lvl w:ilvl="5" w:tplc="D5720AF2" w:tentative="1">
      <w:start w:val="1"/>
      <w:numFmt w:val="bullet"/>
      <w:lvlText w:val=""/>
      <w:lvlJc w:val="left"/>
      <w:pPr>
        <w:ind w:left="4320" w:hanging="360"/>
      </w:pPr>
      <w:rPr>
        <w:rFonts w:ascii="Wingdings" w:hAnsi="Wingdings" w:hint="default"/>
      </w:rPr>
    </w:lvl>
    <w:lvl w:ilvl="6" w:tplc="528420C4" w:tentative="1">
      <w:start w:val="1"/>
      <w:numFmt w:val="bullet"/>
      <w:lvlText w:val=""/>
      <w:lvlJc w:val="left"/>
      <w:pPr>
        <w:ind w:left="5040" w:hanging="360"/>
      </w:pPr>
      <w:rPr>
        <w:rFonts w:ascii="Symbol" w:hAnsi="Symbol" w:hint="default"/>
      </w:rPr>
    </w:lvl>
    <w:lvl w:ilvl="7" w:tplc="87B0D754" w:tentative="1">
      <w:start w:val="1"/>
      <w:numFmt w:val="bullet"/>
      <w:lvlText w:val="o"/>
      <w:lvlJc w:val="left"/>
      <w:pPr>
        <w:ind w:left="5760" w:hanging="360"/>
      </w:pPr>
      <w:rPr>
        <w:rFonts w:ascii="Courier New" w:hAnsi="Courier New" w:cs="Courier New" w:hint="default"/>
      </w:rPr>
    </w:lvl>
    <w:lvl w:ilvl="8" w:tplc="5C4C260E" w:tentative="1">
      <w:start w:val="1"/>
      <w:numFmt w:val="bullet"/>
      <w:lvlText w:val=""/>
      <w:lvlJc w:val="left"/>
      <w:pPr>
        <w:ind w:left="6480" w:hanging="360"/>
      </w:pPr>
      <w:rPr>
        <w:rFonts w:ascii="Wingdings" w:hAnsi="Wingdings" w:hint="default"/>
      </w:rPr>
    </w:lvl>
  </w:abstractNum>
  <w:abstractNum w:abstractNumId="27">
    <w:nsid w:val="6F351A55"/>
    <w:multiLevelType w:val="hybridMultilevel"/>
    <w:tmpl w:val="0C4AF42A"/>
    <w:lvl w:ilvl="0" w:tplc="8B6066A8">
      <w:start w:val="1"/>
      <w:numFmt w:val="bullet"/>
      <w:lvlText w:val=""/>
      <w:lvlJc w:val="left"/>
      <w:pPr>
        <w:ind w:left="720" w:hanging="360"/>
      </w:pPr>
      <w:rPr>
        <w:rFonts w:ascii="Symbol" w:hAnsi="Symbol" w:hint="default"/>
      </w:rPr>
    </w:lvl>
    <w:lvl w:ilvl="1" w:tplc="A5F4251E" w:tentative="1">
      <w:start w:val="1"/>
      <w:numFmt w:val="bullet"/>
      <w:lvlText w:val="o"/>
      <w:lvlJc w:val="left"/>
      <w:pPr>
        <w:ind w:left="1440" w:hanging="360"/>
      </w:pPr>
      <w:rPr>
        <w:rFonts w:ascii="Courier New" w:hAnsi="Courier New" w:cs="Courier New" w:hint="default"/>
      </w:rPr>
    </w:lvl>
    <w:lvl w:ilvl="2" w:tplc="65247326" w:tentative="1">
      <w:start w:val="1"/>
      <w:numFmt w:val="bullet"/>
      <w:lvlText w:val=""/>
      <w:lvlJc w:val="left"/>
      <w:pPr>
        <w:ind w:left="2160" w:hanging="360"/>
      </w:pPr>
      <w:rPr>
        <w:rFonts w:ascii="Wingdings" w:hAnsi="Wingdings" w:hint="default"/>
      </w:rPr>
    </w:lvl>
    <w:lvl w:ilvl="3" w:tplc="049ADE4C" w:tentative="1">
      <w:start w:val="1"/>
      <w:numFmt w:val="bullet"/>
      <w:lvlText w:val=""/>
      <w:lvlJc w:val="left"/>
      <w:pPr>
        <w:ind w:left="2880" w:hanging="360"/>
      </w:pPr>
      <w:rPr>
        <w:rFonts w:ascii="Symbol" w:hAnsi="Symbol" w:hint="default"/>
      </w:rPr>
    </w:lvl>
    <w:lvl w:ilvl="4" w:tplc="91C6BDAE" w:tentative="1">
      <w:start w:val="1"/>
      <w:numFmt w:val="bullet"/>
      <w:lvlText w:val="o"/>
      <w:lvlJc w:val="left"/>
      <w:pPr>
        <w:ind w:left="3600" w:hanging="360"/>
      </w:pPr>
      <w:rPr>
        <w:rFonts w:ascii="Courier New" w:hAnsi="Courier New" w:cs="Courier New" w:hint="default"/>
      </w:rPr>
    </w:lvl>
    <w:lvl w:ilvl="5" w:tplc="4C5015C2" w:tentative="1">
      <w:start w:val="1"/>
      <w:numFmt w:val="bullet"/>
      <w:lvlText w:val=""/>
      <w:lvlJc w:val="left"/>
      <w:pPr>
        <w:ind w:left="4320" w:hanging="360"/>
      </w:pPr>
      <w:rPr>
        <w:rFonts w:ascii="Wingdings" w:hAnsi="Wingdings" w:hint="default"/>
      </w:rPr>
    </w:lvl>
    <w:lvl w:ilvl="6" w:tplc="0ADABE6A" w:tentative="1">
      <w:start w:val="1"/>
      <w:numFmt w:val="bullet"/>
      <w:lvlText w:val=""/>
      <w:lvlJc w:val="left"/>
      <w:pPr>
        <w:ind w:left="5040" w:hanging="360"/>
      </w:pPr>
      <w:rPr>
        <w:rFonts w:ascii="Symbol" w:hAnsi="Symbol" w:hint="default"/>
      </w:rPr>
    </w:lvl>
    <w:lvl w:ilvl="7" w:tplc="632E6EEC" w:tentative="1">
      <w:start w:val="1"/>
      <w:numFmt w:val="bullet"/>
      <w:lvlText w:val="o"/>
      <w:lvlJc w:val="left"/>
      <w:pPr>
        <w:ind w:left="5760" w:hanging="360"/>
      </w:pPr>
      <w:rPr>
        <w:rFonts w:ascii="Courier New" w:hAnsi="Courier New" w:cs="Courier New" w:hint="default"/>
      </w:rPr>
    </w:lvl>
    <w:lvl w:ilvl="8" w:tplc="C9B0FC0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4"/>
  </w:num>
  <w:num w:numId="23">
    <w:abstractNumId w:val="22"/>
  </w:num>
  <w:num w:numId="24">
    <w:abstractNumId w:val="23"/>
  </w:num>
  <w:num w:numId="25">
    <w:abstractNumId w:val="25"/>
  </w:num>
  <w:num w:numId="26">
    <w:abstractNumId w:val="20"/>
  </w:num>
  <w:num w:numId="27">
    <w:abstractNumId w:val="26"/>
  </w:num>
  <w:num w:numId="28">
    <w:abstractNumId w:val="2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3/10/2015 1:54:27 PM&lt;/DYNAMIZEDON&gt;&lt;LASTUPDATEDBY&gt;koehlmn&lt;/LASTUPDATEDBY&gt;&lt;LASTUPDATEDON&gt;6/12/2017 7:17:14 AM&lt;/LASTUPDATEDON&gt;&lt;UTC&gt;1&lt;/UTC&gt;&lt;/UPDATE&gt;&lt;QUERIES bbk=&quot;9037&quot; bbkdesc=&quot;2016 Annual Accounts/EU Annual Accounts/DC - Balance Sheet (xlsx)&quot; datapro=&quot;BS&quot; tdatapro=&quot;BS&quot; author=&quot;&quot; modtime=&quot;6/12/2017 7:15:32 AM&quot; moduser=&quot;koehlmn&quot; rolluptime=&quot;&quot; syuser=&quot;koehlmn&quot; syuzeit=&quot;6/12/2017 7:15:32 AM&quot; root=&quot;/BBOOK/DATAPROVIDER[./META/PROPS/ID='BS']/DATA&quot; colcount=&quot;4&quot; rowcount=&quot;37&quot; url=&quot;&quot; dynamizeds=&quot;SAP Disclosure Management - Production&quot; dynamizedstype=&quot;9&quot; refreshds=&quot;&quot; viewtype=&quot;1&quot;&gt;&lt;QUERY reftype=&quot;ABS&quot; elmntsel=&quot;TABLE&quot; bbk=&quot;9037&quot; bbkdesc=&quot;2016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6.35&lt;/DATE&gt;&lt;DYNAMIZEDBY&gt;maclali&lt;/DYNAMIZEDBY&gt;&lt;DYNAMIZEDON&gt;5/3/2017 9:06:42 AM&lt;/DYNAMIZEDON&gt;&lt;LASTUPDATEDBY&gt;koehlmn&lt;/LASTUPDATEDBY&gt;&lt;LASTUPDATEDON&gt;6/10/2017 11:43:37 AM&lt;/LASTUPDATEDON&gt;&lt;UTC&gt;1&lt;/UTC&gt;&lt;/UPDATE&gt;&lt;QUERIES bbk=&quot;9056&quot; bbkdesc=&quot;2016 Annual Accounts/EU Annual Accounts/DC - Statement of Financial Performance (xlsx)&quot; datapro=&quot;FP&quot; tdatapro=&quot;FP&quot; author=&quot;&quot; modtime=&quot;3/24/2017 1:27:07 PM&quot; moduser=&quot;porteca&quot; rolluptime=&quot;&quot; syuser=&quot;porteca&quot; syuzeit=&quot;3/24/2017 1:27:07 PM&quot; root=&quot;/DATA&quot; colcount=&quot;4&quot; rowcount=&quot;35&quot; url=&quot;&quot; dynamizeds=&quot;SAP Disclosure Management - Production&quot; dynamizedstype=&quot;9&quot; refreshds=&quot;&quot; viewtype=&quot;1&quot;&gt;&lt;QUERY reftype=&quot;ABS&quot; elmntsel=&quot;TABLE&quot; bbk=&quot;9056&quot; bbkdesc=&quot;2016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2/03/2017 16:27:20&lt;/DYNAMIZEDON&gt;&lt;LASTUPDATEDBY&gt;koehlmn&lt;/LASTUPDATEDBY&gt;&lt;LASTUPDATEDON&gt;6/10/2017 11:44:32 AM&lt;/LASTUPDATEDON&gt;&lt;UTC&gt;1&lt;/UTC&gt;&lt;/UPDATE&gt;&lt;QUERIES bbk=&quot;9057&quot; bbkdesc=&quot;2016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9057&quot; bbkdesc=&quot;2016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6/12/2017 7:21:09 AM&lt;/LASTUPDATEDON&gt;&lt;UTC&gt;1&lt;/UTC&gt;&lt;/UPDATE&gt;&lt;QUERIES bbk=&quot;9000&quot; bbkdesc=&quot;2016 Annual Accounts/EU Annual Accounts/DC - Statment of changes in net assets EU (xlsx)&quot; datapro=&quot;SOC&quot; tdatapro=&quot;SOC&quot; author=&quot;&quot; modtime=&quot;6/12/2017 7:20:33 AM&quot; moduser=&quot;koehlmn&quot; rolluptime=&quot;&quot; syuser=&quot;koehlmn&quot; syuzeit=&quot;6/12/2017 7:20:33 AM&quot; root=&quot;/BBOOK/DATAPROVIDER[./META/PROPS/ID='SOC']/DATA&quot; colcount=&quot;6&quot; rowcount=&quot;18&quot; url=&quot;&quot; dynamizeds=&quot;SAP Disclosure Management - Production&quot; dynamizedstype=&quot;9&quot; refreshds=&quot;&quot; viewtype=&quot;1&quot;&gt;&lt;QUERY reftype=&quot;ABS&quot; elmntsel=&quot;TABLE&quot; bbk=&quot;9000&quot; bbkdesc=&quot;2016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10:02:58&lt;/DYNAMIZEDON&gt;&lt;LASTUPDATEDBY&gt;preutan&lt;/LASTUPDATEDBY&gt;&lt;LASTUPDATEDON&gt;6/9/2017 12:48:32 PM&lt;/LASTUPDATEDON&gt;&lt;UTC&gt;1&lt;/UTC&gt;&lt;/UPDATE&gt;&lt;QUERIES bbk=&quot;8904&quot; bbkdesc=&quot;2016 Annual Accounts/EU Annual Accounts/DC - Currency table (xlsx)&quot; datapro=&quot;CURRENCY&quot; tdatapro=&quot;CURRENCY&quot; author=&quot;&quot; modtime=&quot;6/9/2017 12:46:07 PM&quot; moduser=&quot;preutan&quot; rolluptime=&quot;&quot; syuser=&quot;preutan&quot; syuzeit=&quot;6/9/2017 12:46:07 P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8904&quot; bbkdesc=&quot;2016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koehlmn&lt;/DYNAMIZEDBY&gt;&lt;DYNAMIZEDON&gt;3/26/2017 1:14:35 PM&lt;/DYNAMIZEDON&gt;&lt;LASTUPDATEDBY&gt;preutan&lt;/LASTUPDATEDBY&gt;&lt;LASTUPDATEDON&gt;6/9/2017 12:48:32 PM&lt;/LASTUPDATEDON&gt;&lt;UTC&gt;1&lt;/UTC&gt;&lt;/UPDATE&gt;&lt;QUERIES bbk=&quot;8943&quot; bbkdesc=&quot;2016 Annual Accounts/EU Annual Accounts/DC - DeprecRates (xlsx)&quot; datapro=&quot;DEPRECRATES&quot; tdatapro=&quot;DEPRECRATES&quot; author=&quot;&quot; modtime=&quot;2/8/2016 12:25:42 PM&quot; moduser=&quot;koehlmn&quot; rolluptime=&quot;&quot; syuser=&quot;koehlmn&quot; syuzeit=&quot;2/8/2016 12:25:42 PM&quot; root=&quot;/DATA&quot; colcount=&quot;2&quot; rowcount=&quot;8&quot; url=&quot;&quot; dynamizeds=&quot;SAP Disclosure Management - Production&quot; dynamizedstype=&quot;9&quot; refreshds=&quot;&quot; viewtype=&quot;1&quot;&gt;&lt;QUERY reftype=&quot;ABS&quot; elmntsel=&quot;TABLE&quot; bbk=&quot;8943&quot; bbkdesc=&quot;2016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8/03/2017 11:49:13&lt;/DYNAMIZEDON&gt;&lt;LASTUPDATEDBY&gt;koehlmn&lt;/LASTUPDATEDBY&gt;&lt;LASTUPDATEDON&gt;6/10/2017 11:49:49 AM&lt;/LASTUPDATEDON&gt;&lt;UTC&gt;1&lt;/UTC&gt;&lt;/UPDATE&gt;&lt;QUERIES bbk=&quot;8999&quot; bbkdesc=&quot;2016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8&quot; url=&quot;&quot; dynamizeds=&quot;SAP Disclosure Management - Production&quot; dynamizedstype=&quot;9&quot; refreshds=&quot;&quot; viewtype=&quot;1&quot;&gt;&lt;QUERY reftype=&quot;ABS&quot; elmntsel=&quot;TABLE&quot; bbk=&quot;8999&quot; bbkdesc=&quot;2016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2:04&lt;/DYNAMIZEDON&gt;&lt;LASTUPDATEDBY&gt;preutan&lt;/LASTUPDATEDBY&gt;&lt;LASTUPDATEDON&gt;15/06/2017 14:52:04&lt;/LASTUPDATEDON&gt;&lt;UTC&gt;1&lt;/UTC&gt;&lt;/UPDATE&gt;&lt;QUERIES bbk=&quot;9001&quot; bbkdesc=&quot;2016 Annual Accounts/EU Annual Accounts/DC - PPE (xlsx)&quot; datapro=&quot;PPE&quot; tdatapro=&quot;PPE&quot; author=&quot;&quot; modtime=&quot;6/9/2017 3:41:25 PM&quot; moduser=&quot;lecleve&quot; rolluptime=&quot;&quot; syuser=&quot;lecleve&quot; syuzeit=&quot;6/9/2017 3:41:25 PM&quot; root=&quot;/BBOOK/DATAPROVIDER[./META/PROPS/ID='PPE']/DATA&quot; colcount=&quot;10&quot; rowcount=&quot;18&quot; url=&quot;&quot; dynamizeds=&quot;SAP Disclosure Management - Production&quot; dynamizedstype=&quot;9&quot; refreshds=&quot;&quot; viewtype=&quot;1&quot;&gt;&lt;QUERY reftype=&quot;ABS&quot; elmntsel=&quot;TABLE&quot; bbk=&quot;9001&quot; bbkdesc=&quot;2016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ignoal&lt;/DYNAMIZEDBY&gt;&lt;DYNAMIZEDON&gt;09/12/2015 14:42:30&lt;/DYNAMIZEDON&gt;&lt;LASTUPDATEDBY&gt;koehlmn&lt;/LASTUPDATEDBY&gt;&lt;LASTUPDATEDON&gt;6/10/2017 11:51:56 AM&lt;/LASTUPDATEDON&gt;&lt;UTC&gt;1&lt;/UTC&gt;&lt;/UPDATE&gt;&lt;QUERIES bbk=&quot;9066&quot; bbkdesc=&quot;2016 Annual Accounts/EU Annual Accounts/DC - Investments accounted for using the equity method (xlsx)&quot; datapro=&quot;EM&quot; tdatapro=&quot;EM&quot; author=&quot;&quot; modtime=&quot;10/30/2015 1:14:48 PM&quot; moduser=&quot;milemar&quot; rolluptime=&quot;&quot; syuser=&quot;milemar&quot; syuzeit=&quot;10/30/2015 1:14:48 PM&quot; root=&quot;/DATA&quot; colcount=&quot;4&quot; rowcount=&quot;5&quot; url=&quot;&quot; dynamizeds=&quot;SAP Disclosure Management - Production&quot; dynamizedstype=&quot;9&quot; refreshds=&quot;&quot; viewtype=&quot;1&quot;&gt;&lt;QUERY reftype=&quot;ABS&quot; elmntsel=&quot;TABLE&quot; bbk=&quot;9066&quot; bbkdesc=&quot;2016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7:14&lt;/DYNAMIZEDON&gt;&lt;LASTUPDATEDBY&gt;preutan&lt;/LASTUPDATEDBY&gt;&lt;LASTUPDATEDON&gt;15/06/2017 14:57:14&lt;/LASTUPDATEDON&gt;&lt;UTC&gt;1&lt;/UTC&gt;&lt;/UPDATE&gt;&lt;QUERIES bbk=&quot;8726&quot; bbkdesc=&quot;2016 Annual Accounts/EC Annual Accounts/DC - Investments accounted for using the equity method new (xlsx)&quot; datapro=&quot;PARTASS1&quot; tdatapro=&quot;PARTASS1&quot; author=&quot;&quot; modtime=&quot;6/2/2017 9:33:00 AM&quot; moduser=&quot;preutan&quot; rolluptime=&quot;&quot; syuser=&quot;preutan&quot; syuzeit=&quot;6/2/2017 9:33:00 AM&quot; root=&quot;/BBOOK/DATAPROVIDER[./META/PROPS/ID='PARTASS1']/DATA&quot; colcount=&quot;2&quot; rowcount=&quot;10&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08:43:52&lt;/DYNAMIZEDON&gt;&lt;LASTUPDATEDBY&gt;koehlmn&lt;/LASTUPDATEDBY&gt;&lt;LASTUPDATEDON&gt;6/10/2017 11:51:41 AM&lt;/LASTUPDATEDON&gt;&lt;UTC&gt;1&lt;/UTC&gt;&lt;/UPDATE&gt;&lt;QUERIES bbk=&quot;8726&quot; bbkdesc=&quot;2016 Annual Accounts/EC Annual Accounts/DC - Investments accounted for using the equity method new (xlsx)&quot; datapro=&quot;PARTASS2&quot; tdatapro=&quot;PARTASS2&quot; author=&quot;&quot; modtime=&quot;6/2/2017 9:33:00 AM&quot; moduser=&quot;preutan&quot; rolluptime=&quot;&quot; syuser=&quot;preutan&quot; syuzeit=&quot;6/2/2017 9:33:00 AM&quot; root=&quot;/BBOOK/DATAPROVIDER[./META/PROPS/ID='PARTASS2']/DATA&quot; colcount=&quot;5&quot; rowcount=&quot;8&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8/03/2016 12:41:08&lt;/DYNAMIZEDON&gt;&lt;LASTUPDATEDBY&gt;koehlmn&lt;/LASTUPDATEDBY&gt;&lt;LASTUPDATEDON&gt;6/10/2017 11:51:46 AM&lt;/LASTUPDATEDON&gt;&lt;UTC&gt;1&lt;/UTC&gt;&lt;/UPDATE&gt;&lt;QUERIES bbk=&quot;8726&quot; bbkdesc=&quot;2016 Annual Accounts/EC Annual Accounts/DC - Investments accounted for using the equity method new (xlsx)&quot; datapro=&quot;EIF&quot; tdatapro=&quot;EIF&quot; author=&quot;&quot; modtime=&quot;6/2/2017 9:33:00 AM&quot; moduser=&quot;preutan&quot; rolluptime=&quot;&quot; syuser=&quot;preutan&quot; syuzeit=&quot;6/2/2017 9:33:00 AM&quot; root=&quot;/BBOOK/DATAPROVIDER[./META/PROPS/ID='EIF']/DATA&quot; colcount=&quot;3&quot; rowcount=&quot;6&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3:57&lt;/DYNAMIZEDON&gt;&lt;LASTUPDATEDBY&gt;preutan&lt;/LASTUPDATEDBY&gt;&lt;LASTUPDATEDON&gt;20/06/2017 09:33:57&lt;/LASTUPDATEDON&gt;&lt;UTC&gt;1&lt;/UTC&gt;&lt;/UPDATE&gt;&lt;QUERIES bbk=&quot;9067&quot; bbkdesc=&quot;2016 Annual Accounts/EU Annual Accounts/DC - Financial assets (xlsx)&quot; datapro=&quot;FINA&quot; tdatapro=&quot;FINA&quot; author=&quot;&quot; modtime=&quot;6/15/2017 2:59:26 PM&quot; moduser=&quot;preutan&quot; rolluptime=&quot;&quot; syuser=&quot;preutan&quot; syuzeit=&quot;6/15/2017 2:59:26 PM&quot; root=&quot;/BBOOK/DATAPROVIDER[./META/PROPS/ID='FINA']/DATA&quot; colcount=&quot;4&quot; rowcount=&quot;13&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5:02:55&lt;/DYNAMIZEDON&gt;&lt;LASTUPDATEDBY&gt;preutan&lt;/LASTUPDATEDBY&gt;&lt;LASTUPDATEDON&gt;15/06/2017 15:02:55&lt;/LASTUPDATEDON&gt;&lt;UTC&gt;1&lt;/UTC&gt;&lt;/UPDATE&gt;&lt;QUERIES bbk=&quot;9067&quot; bbkdesc=&quot;2016 Annual Accounts/EU Annual Accounts/DC - Financial assets (xlsx)&quot; datapro=&quot;AFS&quot; tdatapro=&quot;AFS&quot; author=&quot;&quot; modtime=&quot;6/9/2017 1:22:10 PM&quot; moduser=&quot;preutan&quot; rolluptime=&quot;&quot; syuser=&quot;preutan&quot; syuzeit=&quot;6/9/2017 1:22:10 PM&quot; root=&quot;/BBOOK/DATAPROVIDER[./META/PROPS/ID='AFS']/DATA&quot; colcount=&quot;3&quot; rowcount=&quot;22&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5:04&lt;/DYNAMIZEDON&gt;&lt;LASTUPDATEDBY&gt;preutan&lt;/LASTUPDATEDBY&gt;&lt;LASTUPDATEDON&gt;20/06/2017 09:35:04&lt;/LASTUPDATEDON&gt;&lt;UTC&gt;1&lt;/UTC&gt;&lt;/UPDATE&gt;&lt;QUERIES bbk=&quot;9067&quot; bbkdesc=&quot;2016 Annual Accounts/EU Annual Accounts/DC - Financial assets (xlsx)&quot; datapro=&quot;EIB&quot; tdatapro=&quot;EIB&quot; author=&quot;&quot; modtime=&quot;6/14/2017 4:31:51 PM&quot; moduser=&quot;koehlmn&quot; rolluptime=&quot;&quot; syuser=&quot;koehlmn&quot; syuzeit=&quot;6/14/2017 4:31:51 PM&quot; root=&quot;/BBOOK/DATAPROVIDER[./META/PROPS/ID='EIB']/DATA&quot; colcount=&quot;3&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4/2017 7:42:23 AM&lt;/DYNAMIZEDON&gt;&lt;LASTUPDATEDBY&gt;koehlmn&lt;/LASTUPDATEDBY&gt;&lt;LASTUPDATEDON&gt;6/10/2017 11:56:43 AM&lt;/LASTUPDATEDON&gt;&lt;UTC&gt;1&lt;/UTC&gt;&lt;/UPDATE&gt;&lt;QUERIES bbk=&quot;9067&quot; bbkdesc=&quot;2016 Annual Accounts/EU Annual Accounts/DC - Financial assets (xlsx)&quot; datapro=&quot;FAFVTSD&quot; tdatapro=&quot;FAFVTSD&quot; author=&quot;&quot; modtime=&quot;6/9/2017 1:22:10 PM&quot; moduser=&quot;preutan&quot; rolluptime=&quot;&quot; syuser=&quot;preutan&quot; syuzeit=&quot;6/9/2017 1:22:10 PM&quot; root=&quot;/BBOOK/DATAPROVIDER[./META/PROPS/ID='FAFVTSD']/DATA&quot; colcount=&quot;7&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AFVTSD&quot; infos=&quot;&quot; iscomment=&quot;0&quot;&gt;&lt;SELECT&gt;/BBOOK/DATAPROVIDER[./META/PROPS/ID='FAFVTSD']/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6:06&lt;/DYNAMIZEDON&gt;&lt;LASTUPDATEDBY&gt;preutan&lt;/LASTUPDATEDBY&gt;&lt;LASTUPDATEDON&gt;20/06/2017 09:36:06&lt;/LASTUPDATEDON&gt;&lt;UTC&gt;1&lt;/UTC&gt;&lt;/UPDATE&gt;&lt;QUERIES bbk=&quot;9041&quot; bbkdesc=&quot;2016 Annual Accounts/EU Annual Accounts/DC - Fair value hierarchy of available for sale financial assets (xlsx)&quot; datapro=&quot;FVH&quot; tdatapro=&quot;FVH&quot; author=&quot;&quot; modtime=&quot;6/9/2017 1:22:08 PM&quot; moduser=&quot;preutan&quot; rolluptime=&quot;&quot; syuser=&quot;preutan&quot; syuzeit=&quot;6/9/2017 1:22:08 PM&quot; root=&quot;/DATA&quot; colcount=&quot;3&quot; rowcount=&quot;6&quot; url=&quot;&quot; dynamizeds=&quot;SAP Disclosure Management - Production&quot; dynamizedstype=&quot;9&quot; refreshds=&quot;&quot; viewtype=&quot;1&quot;&gt;&lt;QUERY reftype=&quot;ABS&quot; elmntsel=&quot;TABLE&quot; bbk=&quot;9041&quot; bbkdesc=&quot;2016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7:08&lt;/DYNAMIZEDON&gt;&lt;LASTUPDATEDBY&gt;preutan&lt;/LASTUPDATEDBY&gt;&lt;LASTUPDATEDON&gt;20/06/2017 09:37:08&lt;/LASTUPDATEDON&gt;&lt;UTC&gt;1&lt;/UTC&gt;&lt;/UPDATE&gt;&lt;QUERIES bbk=&quot;8699&quot; bbkdesc=&quot;2016 Annual Accounts/EC Annual Accounts/DC - Financial assets (xlsx)&quot; datapro=&quot;RECOFINA&quot; tdatapro=&quot;RECOFINA&quot; author=&quot;&quot; modtime=&quot;6/6/2017 4:26:21 PM&quot; moduser=&quot;zogalmn&quot; rolluptime=&quot;&quot; syuser=&quot;zogalmn&quot; syuzeit=&quot;6/6/2017 4:26:21 PM&quot; root=&quot;/DATA&quot; colcount=&quot;2&quot; rowcount=&quot;10&quot; url=&quot;&quot; dynamizeds=&quot;SAP Disclosure Management - Production&quot; dynamizedstype=&quot;9&quot; refreshds=&quot;&quot; viewtype=&quot;1&quot;&gt;&lt;QUERY reftype=&quot;ABS&quot; elmntsel=&quot;TABLE&quot; bbk=&quot;8699&quot; bbkdesc=&quot;2016 Annual Accounts/EC Annual Accounts 2015/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49:08&lt;/DYNAMIZEDON&gt;&lt;LASTUPDATEDBY&gt;preutan&lt;/LASTUPDATEDBY&gt;&lt;LASTUPDATEDON&gt;16/06/2017 07:49:08&lt;/LASTUPDATEDON&gt;&lt;UTC&gt;1&lt;/UTC&gt;&lt;/UPDATE&gt;&lt;QUERIES bbk=&quot;9067&quot; bbkdesc=&quot;2016 Annual Accounts/EU Annual Accounts/DC - Financial assets (xlsx)&quot; datapro=&quot;LO&quot; tdatapro=&quot;LO&quot; author=&quot;&quot; modtime=&quot;6/9/2017 1:22:10 PM&quot; moduser=&quot;preutan&quot; rolluptime=&quot;&quot; syuser=&quot;preutan&quot; syuzeit=&quot;6/9/2017 1:22:10 PM&quot; root=&quot;/BBOOK/DATAPROVIDER[./META/PROPS/ID='LO']/DATA&quot; colcount=&quot;4&quot; rowcount=&quot;7&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2:45:57&lt;/DYNAMIZEDON&gt;&lt;LASTUPDATEDBY&gt;koehlmn&lt;/LASTUPDATEDBY&gt;&lt;LASTUPDATEDON&gt;6/10/2017 11:57:31 AM&lt;/LASTUPDATEDON&gt;&lt;UTC&gt;1&lt;/UTC&gt;&lt;/UPDATE&gt;&lt;QUERIES bbk=&quot;8957&quot; bbkdesc=&quot;2016 Annual Accounts/EU Annual Accounts/DC - Loans granted from borrowed funds LINKED TO EC (xlsx)&quot; datapro=&quot;LGFBF&quot; tdatapro=&quot;LGFBF&quot; author=&quot;&quot; modtime=&quot;3/16/2016 9:04:47 PM&quot; moduser=&quot;koehlmn&quot; rolluptime=&quot;&quot; syuser=&quot;koehlmn&quot; syuzeit=&quot;3/16/2016 9:04:47 PM&quot; root=&quot;/DATA&quot; colcount=&quot;7&quot; rowcount=&quot;11&quot; url=&quot;&quot; dynamizeds=&quot;SAP Disclosure Management - Production&quot; dynamizedstype=&quot;9&quot; refreshds=&quot;&quot; viewtype=&quot;1&quot;&gt;&lt;QUERY reftype=&quot;ABS&quot; elmntsel=&quot;TABLE&quot; bbk=&quot;8957&quot; bbkdesc=&quot;2016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3/03/2016 10:35:26&lt;/DYNAMIZEDON&gt;&lt;LASTUPDATEDBY&gt;koehlmn&lt;/LASTUPDATEDBY&gt;&lt;LASTUPDATEDON&gt;6/12/2017 7:37:05 AM&lt;/LASTUPDATEDON&gt;&lt;UTC&gt;1&lt;/UTC&gt;&lt;/UPDATE&gt;&lt;QUERIES bbk=&quot;9010&quot; bbkdesc=&quot;2016 Annual Accounts/EU Annual Accounts/DC - Financial Support Mechanisms (xlsx)&quot; datapro=&quot;BORR2&quot; tdatapro=&quot;BORR2&quot; author=&quot;&quot; modtime=&quot;3/21/2016 1:14:42 PM&quot; moduser=&quot;koehlmn&quot; rolluptime=&quot;&quot; syuser=&quot;koehlmn&quot; syuzeit=&quot;3/21/2016 1:14:42 PM&quot; root=&quot;/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55:55&lt;/DYNAMIZEDON&gt;&lt;LASTUPDATEDBY&gt;preutan&lt;/LASTUPDATEDBY&gt;&lt;LASTUPDATEDON&gt;16/06/2017 07:55:55&lt;/LASTUPDATEDON&gt;&lt;UTC&gt;1&lt;/UTC&gt;&lt;/UPDATE&gt;&lt;QUERIES bbk=&quot;9067&quot; bbkdesc=&quot;2016 Annual Accounts/EU Annual Accounts/DC - Financial assets (xlsx)&quot; datapro=&quot;LOBUDG&quot; tdatapro=&quot;LOBUDG&quot; author=&quot;&quot; modtime=&quot;6/12/2017 7:37:57 AM&quot; moduser=&quot;koehlmn&quot; rolluptime=&quot;&quot; syuser=&quot;koehlmn&quot; syuzeit=&quot;6/12/2017 7:37:57 AM&quot; root=&quot;/BBOOK/DATAPROVIDER[./META/PROPS/ID='LOBUDG']/DATA&quot; colcount=&quot;3&quot; rowcount=&quot;9&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LOBUDG&quot; infos=&quot;&quot; iscomment=&quot;0&quot;&gt;&lt;SELECT&gt;/BBOOK/DATAPROVIDER[./META/PROPS/ID='LOBUDG']/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24:16&lt;/DYNAMIZEDON&gt;&lt;LASTUPDATEDBY&gt;preutan&lt;/LASTUPDATEDBY&gt;&lt;LASTUPDATEDON&gt;16/06/2017 08:24:16&lt;/LASTUPDATEDON&gt;&lt;UTC&gt;1&lt;/UTC&gt;&lt;/UPDATE&gt;&lt;QUERIES bbk=&quot;9067&quot; bbkdesc=&quot;2016 Annual Accounts/EU Annual Accounts/DC - Financial assets (xlsx)&quot; datapro=&quot;IMP&quot; tdatapro=&quot;IMP&quot; author=&quot;&quot; modtime=&quot;6/15/2017 2:59:26 PM&quot; moduser=&quot;preutan&quot; rolluptime=&quot;&quot; syuser=&quot;preutan&quot; syuzeit=&quot;6/15/2017 2:59:26 PM&quot; root=&quot;/BBOOK/DATAPROVIDER[./META/PROPS/ID='IMP']/DATA&quot; colcount=&quot;7&quot; rowcount=&quot;6&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IMP&quot; infos=&quot;&quot; iscomment=&quot;0&quot;&gt;&lt;SELECT&gt;/BBOOK/DATAPROVIDER[./META/PROPS/ID='IMP']/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48:22&lt;/DYNAMIZEDON&gt;&lt;LASTUPDATEDBY&gt;preutan&lt;/LASTUPDATEDBY&gt;&lt;LASTUPDATEDON&gt;16/06/2017 08:48:22&lt;/LASTUPDATEDON&gt;&lt;UTC&gt;1&lt;/UTC&gt;&lt;/UPDATE&gt;&lt;QUERIES bbk=&quot;9068&quot; bbkdesc=&quot;2016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2&quot; url=&quot;&quot; dynamizeds=&quot;SAP Disclosure Management - Production&quot; dynamizedstype=&quot;9&quot; refreshds=&quot;&quot; viewtype=&quot;1&quot;&gt;&lt;QUERY reftype=&quot;ABS&quot; elmntsel=&quot;TABLE&quot; bbk=&quot;9068&quot; bbkdesc=&quot;2016 Annual Accounts/EU Annual Accounts/DC - Pre-financing (xlsx)&quot; datapro=&quot;PF&quot; infos=&quot;&quot; iscomment=&quot;0&quot;&gt;&lt;SELECT&gt;/BBOOK/DATAPROVIDER[./META/PROPS/ID='PF']/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05/02/2016 11:29:15&lt;/DYNAMIZEDON&gt;&lt;LASTUPDATEDBY&gt;preutan&lt;/LASTUPDATEDBY&gt;&lt;LASTUPDATEDON&gt;6/20/2017 9:42:08 AM&lt;/LASTUPDATEDON&gt;&lt;UTC&gt;1&lt;/UTC&gt;&lt;/UPDATE&gt;&lt;QUERIES bbk=&quot;9042&quot; bbkdesc=&quot;2016 Annual Accounts/EU Annual Accounts/DC - Pre-financing detailed (xlsx)&quot; datapro=&quot;PFD&quot; tdatapro=&quot;PFD&quot; author=&quot;&quot; modtime=&quot;6/20/2017 9:41:10 AM&quot; moduser=&quot;preutan&quot; rolluptime=&quot;&quot; syuser=&quot;preutan&quot; syuzeit=&quot;6/20/2017 9:41:10 AM&quot; root=&quot;/BBOOK/DATAPROVIDER[./META/PROPS/ID='PFD']/DATA&quot; colcount=&quot;7&quot; rowcount=&quot;24&quot; url=&quot;&quot; dynamizeds=&quot;SAP Disclosure Management - Production&quot; dynamizedstype=&quot;9&quot; refreshds=&quot;&quot; viewtype=&quot;1&quot;&gt;&lt;QUERY reftype=&quot;ABS&quot; elmntsel=&quot;TABLE&quot; bbk=&quot;9042&quot; bbkdesc=&quot;2016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59:48&lt;/DYNAMIZEDON&gt;&lt;LASTUPDATEDBY&gt;preutan&lt;/LASTUPDATEDBY&gt;&lt;LASTUPDATEDON&gt;16/06/2017 08:59:48&lt;/LASTUPDATEDON&gt;&lt;UTC&gt;1&lt;/UTC&gt;&lt;/UPDATE&gt;&lt;QUERIES bbk=&quot;8701&quot; bbkdesc=&quot;2016 Annual Accounts/EC Annual Accounts/DC - Pre-financing (xlsx)&quot; datapro=&quot;FEIAS&quot; tdatapro=&quot;FEIAS&quot; author=&quot;&quot; modtime=&quot;3/16/2016 5:02:21 PM&quot; moduser=&quot;koehlmn&quot; rolluptime=&quot;&quot; syuser=&quot;koehlmn&quot; syuzeit=&quot;3/16/2016 5:02:21 PM&quot; root=&quot;/DATA&quot; colcount=&quot;3&quot; rowcount=&quot;7&quot; url=&quot;&quot; dynamizeds=&quot;SAP Disclosure Management - Production&quot; dynamizedstype=&quot;9&quot; refreshds=&quot;&quot; viewtype=&quot;1&quot;&gt;&lt;QUERY reftype=&quot;ABS&quot; elmntsel=&quot;TABLE&quot; bbk=&quot;8701&quot; bbkdesc=&quot;2016 Annual Accounts/EC Annual Accounts 2015/DC - Pre-financing (xlsx)&quot; datapro=&quot;FEIAS&quot; infos=&quot;&quot; iscomment=&quot;0&quot;&gt;&lt;SELECT&gt;/BBOOK/DATAPROVIDER[./META/PROPS/ID='FEIA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17:49&lt;/DYNAMIZEDON&gt;&lt;LASTUPDATEDBY&gt;preutan&lt;/LASTUPDATEDBY&gt;&lt;LASTUPDATEDON&gt;16/06/2017 09:17:49&lt;/LASTUPDATEDON&gt;&lt;UTC&gt;1&lt;/UTC&gt;&lt;/UPDATE&gt;&lt;QUERIES bbk=&quot;9043&quot; bbkdesc=&quot;2016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DATA&quot; colcount=&quot;4&quot; rowcount=&quot;11&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21:55&lt;/DYNAMIZEDON&gt;&lt;LASTUPDATEDBY&gt;preutan&lt;/LASTUPDATEDBY&gt;&lt;LASTUPDATEDON&gt;16/06/2017 09:21:55&lt;/LASTUPDATEDON&gt;&lt;UTC&gt;1&lt;/UTC&gt;&lt;/UPDATE&gt;&lt;QUERIES bbk=&quot;9043&quot; bbkdesc=&quot;2016 Annual Accounts/EU Annual Accounts/DC - Exchange receivables and Non-exchange recoverables (xlsx)&quot; datapro=&quot;RNET&quot; tdatapro=&quot;RNET&quot; author=&quot;&quot; modtime=&quot;6/16/2017 9:01:38 AM&quot; moduser=&quot;preutan&quot; rolluptime=&quot;&quot; syuser=&quot;preutan&quot; syuzeit=&quot;6/16/2017 9:01:38 AM&quot; root=&quot;/BBOOK/DATAPROVIDER[./META/PROPS/ID='RNET']/DATA&quot; colcount=&quot;4&quot; rowcount=&quot;14&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46:18&lt;/DYNAMIZEDON&gt;&lt;LASTUPDATEDBY&gt;preutan&lt;/LASTUPDATEDBY&gt;&lt;LASTUPDATEDON&gt;20/06/2017 09:46:18&lt;/LASTUPDATEDON&gt;&lt;UTC&gt;1&lt;/UTC&gt;&lt;/UPDATE&gt;&lt;QUERIES bbk=&quot;9044&quot; bbkdesc=&quot;2016 Annual Accounts/EU Annual Accounts/DC - Recoverables from Member States (xlsx)&quot; datapro=&quot;RMS&quot; tdatapro=&quot;RMS&quot; author=&quot;&quot; modtime=&quot;10/30/2015 1:35:11 PM&quot; moduser=&quot;milemar&quot; rolluptime=&quot;&quot; syuser=&quot;milemar&quot; syuzeit=&quot;10/30/2015 1:35:11 PM&quot; root=&quot;/BBOOK/DATAPROVIDER[./META/PROPS/ID='RECOFINA']/DATA&quot; colcount=&quot;3&quot; rowcount=&quot;20&quot; url=&quot;&quot; dynamizeds=&quot;SAP Disclosure Management - Production&quot; dynamizedstype=&quot;9&quot; refreshds=&quot;&quot; viewtype=&quot;1&quot;&gt;&lt;QUERY reftype=&quot;ABS&quot; elmntsel=&quot;TABLE&quot; bbk=&quot;9044&quot; bbkdesc=&quot;2016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3/24/2016 3:12:46 PM&lt;/DYNAMIZEDON&gt;&lt;LASTUPDATEDBY&gt;preutan&lt;/LASTUPDATEDBY&gt;&lt;LASTUPDATEDON&gt;6/16/2017 9:02:55 AM&lt;/LASTUPDATEDON&gt;&lt;UTC&gt;1&lt;/UTC&gt;&lt;/UPDATE&gt;&lt;QUERIES bbk=&quot;9045&quot; bbkdesc=&quot;2016 Annual Accounts/EU Annual Accounts/DC - Accrued income and Deferred charges (xlsx)&quot; datapro=&quot;AIDC&quot; tdatapro=&quot;AIDC&quot; author=&quot;&quot; modtime=&quot;3/21/2016 4:04:45 PM&quot; moduser=&quot;koehlmn&quot; rolluptime=&quot;&quot; syuser=&quot;koehlmn&quot; syuzeit=&quot;3/21/2016 4:04:45 PM&quot; root=&quot;/DATA&quot; colcount=&quot;3&quot; rowcount=&quot;10&quot; url=&quot;&quot; dynamizeds=&quot;SAP Disclosure Management - Production&quot; dynamizedstype=&quot;9&quot; refreshds=&quot;&quot; viewtype=&quot;1&quot;&gt;&lt;QUERY reftype=&quot;ABS&quot; elmntsel=&quot;TABLE&quot; bbk=&quot;9045&quot; bbkdesc=&quot;2016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46:37&lt;/DYNAMIZEDON&gt;&lt;LASTUPDATEDBY&gt;preutan&lt;/LASTUPDATEDBY&gt;&lt;LASTUPDATEDON&gt;16/06/2017 09:46:37&lt;/LASTUPDATEDON&gt;&lt;UTC&gt;1&lt;/UTC&gt;&lt;/UPDATE&gt;&lt;QUERIES bbk=&quot;9043&quot; bbkdesc=&quot;2016 Annual Accounts/EU Annual Accounts/DC - Exchange receivables and Non-exchange recoverables (xlsx)&quot; datapro=&quot;RET&quot; tdatapro=&quot;RET&quot; author=&quot;&quot; modtime=&quot;6/16/2017 9:01:38 AM&quot; moduser=&quot;preutan&quot; rolluptime=&quot;&quot; syuser=&quot;preutan&quot; syuzeit=&quot;6/16/2017 9:01:38 AM&quot; root=&quot;/BBOOK/DATAPROVIDER[./META/PROPS/ID='RET']/DATA&quot; colcount=&quot;3&quot; rowcount=&quot;12&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4:33:11&lt;/DYNAMIZEDON&gt;&lt;LASTUPDATEDBY&gt;koehlmn&lt;/LASTUPDATEDBY&gt;&lt;LASTUPDATEDON&gt;6/10/2017 12:07:14 PM&lt;/LASTUPDATEDON&gt;&lt;UTC&gt;1&lt;/UTC&gt;&lt;/UPDATE&gt;&lt;QUERIES bbk=&quot;9069&quot; bbkdesc=&quot;2016 Annual Accounts/EU Annual Accounts/DC - Inventories (xlsx)&quot; datapro=&quot;INV&quot; tdatapro=&quot;INV&quot; author=&quot;&quot; modtime=&quot;6/9/2017 1:30:22 PM&quot; moduser=&quot;oerboan&quot; rolluptime=&quot;&quot; syuser=&quot;oerboan&quot; syuzeit=&quot;6/9/2017 1:30:22 PM&quot; root=&quot;/BBOOK/DATAPROVIDER[./META/PROPS/ID='INV']/DATA&quot; colcount=&quot;3&quot; rowcount=&quot;5&quot; url=&quot;&quot; dynamizeds=&quot;SAP Disclosure Management - Production&quot; dynamizedstype=&quot;9&quot; refreshds=&quot;&quot; viewtype=&quot;1&quot;&gt;&lt;QUERY reftype=&quot;ABS&quot; elmntsel=&quot;TABLE&quot; bbk=&quot;9069&quot; bbkdesc=&quot;2016 Annual Accounts/EU Annual Accounts/DC - Inventories (xlsx)&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3:17&lt;/DYNAMIZEDON&gt;&lt;LASTUPDATEDBY&gt;preutan&lt;/LASTUPDATEDBY&gt;&lt;LASTUPDATEDON&gt;20/06/2017 09:53:17&lt;/LASTUPDATEDON&gt;&lt;UTC&gt;1&lt;/UTC&gt;&lt;/UPDATE&gt;&lt;QUERIES bbk=&quot;9070&quot; bbkdesc=&quot;2016 Annual Accounts/EU Annual Accounts/DC - Cash and cash equivalents (xlsx)&quot; datapro=&quot;CCE&quot; tdatapro=&quot;CCE&quot; author=&quot;&quot; modtime=&quot;3/18/2016 12:51:08 PM&quot; moduser=&quot;koehlmn&quot; rolluptime=&quot;&quot; syuser=&quot;koehlmn&quot; syuzeit=&quot;3/18/2016 12:51:08 PM&quot; root=&quot;/DATA&quot; colcount=&quot;4&quot; rowcount=&quot;13&quot; url=&quot;&quot; dynamizeds=&quot;SAP Disclosure Management - Production&quot; dynamizedstype=&quot;9&quot; refreshds=&quot;&quot; viewtype=&quot;1&quot;&gt;&lt;QUERY reftype=&quot;ABS&quot; elmntsel=&quot;TABLE&quot; bbk=&quot;9070&quot; bbkdesc=&quot;2016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2/06/2017 11:36:28&lt;/DYNAMIZEDON&gt;&lt;LASTUPDATEDBY&gt;preutan&lt;/LASTUPDATEDBY&gt;&lt;LASTUPDATEDON&gt;6/16/2017 2:58:35 PM&lt;/LASTUPDATEDON&gt;&lt;UTC&gt;1&lt;/UTC&gt;&lt;/UPDATE&gt;&lt;QUERIES bbk=&quot;9071&quot; bbkdesc=&quot;2016 Annual Accounts/EU Annual Accounts/DC - Pension and other employee benefits (xlsx)&quot; datapro=&quot;PENS1&quot; tdatapro=&quot;PENS1&quot; author=&quot;&quot; modtime=&quot;6/9/2017 1:31:08 PM&quot; moduser=&quot;oerboan&quot; rolluptime=&quot;&quot; syuser=&quot;oerboan&quot; syuzeit=&quot;6/9/2017 1:31:08 PM&quot; root=&quot;/DATA&quot; colcount=&quot;6&quot; rowcount=&quot;7&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1&quot; infos=&quot;&quot; iscomment=&quot;0&quot;&gt;&lt;SELECT&gt;/BBOOK/DATAPROVIDER[./META/PROPS/ID='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13:45&lt;/DYNAMIZEDON&gt;&lt;LASTUPDATEDBY&gt;preutan&lt;/LASTUPDATEDBY&gt;&lt;LASTUPDATEDON&gt;16/06/2017 10:13:45&lt;/LASTUPDATEDON&gt;&lt;UTC&gt;1&lt;/UTC&gt;&lt;/UPDATE&gt;&lt;QUERIES bbk=&quot;9071&quot; bbkdesc=&quot;2016 Annual Accounts/EU Annual Accounts/DC - Pension and other employee benefits (xlsx)&quot; datapro=&quot;PENS2&quot; tdatapro=&quot;PENS2&quot; author=&quot;&quot; modtime=&quot;6/12/2017 9:33:58 AM&quot; moduser=&quot;maclali&quot; rolluptime=&quot;&quot; syuser=&quot;maclali&quot; syuzeit=&quot;6/12/2017 9:33:58 AM&quot; root=&quot;/BBOOK/DATAPROVIDER[./META/PROPS/ID='PENS1']/DATA&quot; colcount=&quot;5&quot; rowcount=&quot;11&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2&quot; infos=&quot;&quot; iscomment=&quot;0&quot;&gt;&lt;SELECT&gt;/BBOOK/DATAPROVIDER[./META/PROPS/ID='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1/03/2016 14:14:34&lt;/DYNAMIZEDON&gt;&lt;LASTUPDATEDBY&gt;maclali&lt;/LASTUPDATEDBY&gt;&lt;LASTUPDATEDON&gt;6/12/2017 2:56:31 PM&lt;/LASTUPDATEDON&gt;&lt;UTC&gt;1&lt;/UTC&gt;&lt;/UPDATE&gt;&lt;QUERIES bbk=&quot;9071&quot; bbkdesc=&quot;2016 Annual Accounts/EU Annual Accounts/DC - Pension and other employee benefits (xlsx)&quot; datapro=&quot;SPL&quot; tdatapro=&quot;SPL&quot; author=&quot;&quot; modtime=&quot;6/12/2017 9:33:58 AM&quot; moduser=&quot;maclali&quot; rolluptime=&quot;&quot; syuser=&quot;maclali&quot; syuzeit=&quot;6/12/2017 9:33:58 AM&quot; root=&quot;/BBOOK/DATAPROVIDER[./META/PROPS/ID='SPL']/DATA&quot; colcount=&quot;3&quot; rowcount=&quot;1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SPL&quot; infos=&quot;&quot; iscomment=&quot;0&quot;&gt;&lt;SELECT&gt;/BBOOK/DATAPROVIDER[./META/PROPS/ID='SPL']/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20:44&lt;/DYNAMIZEDON&gt;&lt;LASTUPDATEDBY&gt;preutan&lt;/LASTUPDATEDBY&gt;&lt;LASTUPDATEDON&gt;16/06/2017 10:20:44&lt;/LASTUPDATEDON&gt;&lt;UTC&gt;1&lt;/UTC&gt;&lt;/UPDATE&gt;&lt;QUERIES bbk=&quot;9071&quot; bbkdesc=&quot;2016 Annual Accounts/EU Annual Accounts/DC - Pension and other employee benefits (xlsx)&quot; datapro=&quot;PENS3&quot; tdatapro=&quot;PENS3&quot; author=&quot;&quot; modtime=&quot;6/12/2017 9:33:58 AM&quot; moduser=&quot;maclali&quot; rolluptime=&quot;&quot; syuser=&quot;maclali&quot; syuzeit=&quot;6/12/2017 9:33:58 AM&quot; root=&quot;/BBOOK/DATAPROVIDER[./META/PROPS/ID='PENS3']/DATA&quot; colcount=&quot;4&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3&quot; infos=&quot;&quot; iscomment=&quot;0&quot;&gt;&lt;SELECT&gt;/BBOOK/DATAPROVIDER[./META/PROPS/ID='PENS3']/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8:28&lt;/DYNAMIZEDON&gt;&lt;LASTUPDATEDBY&gt;maclali&lt;/LASTUPDATEDBY&gt;&lt;LASTUPDATEDON&gt;6/12/2017 2:56:26 PM&lt;/LASTUPDATEDON&gt;&lt;UTC&gt;1&lt;/UTC&gt;&lt;/UPDATE&gt;&lt;QUERIES bbk=&quot;9071&quot; bbkdesc=&quot;2016 Annual Accounts/EU Annual Accounts/DC - Pension and other employee benefits (xlsx)&quot; datapro=&quot;PENS4&quot; tdatapro=&quot;PENS4&quot; author=&quot;&quot; modtime=&quot;6/12/2017 9:33:58 AM&quot; moduser=&quot;maclali&quot; rolluptime=&quot;&quot; syuser=&quot;maclali&quot; syuzeit=&quot;6/12/2017 9:33:58 AM&quot; root=&quot;/BBOOK/DATAPROVIDER[./META/PROPS/ID='PENS3']/DATA&quot; colcount=&quot;6&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4&quot; infos=&quot;&quot; iscomment=&quot;0&quot;&gt;&lt;SELECT&gt;/BBOOK/DATAPROVIDER[./META/PROPS/ID='PENS4']/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54:47&lt;/DYNAMIZEDON&gt;&lt;LASTUPDATEDBY&gt;preutan&lt;/LASTUPDATEDBY&gt;&lt;LASTUPDATEDON&gt;16/06/2017 10:54:47&lt;/LASTUPDATEDON&gt;&lt;UTC&gt;1&lt;/UTC&gt;&lt;/UPDATE&gt;&lt;QUERIES bbk=&quot;9071&quot; bbkdesc=&quot;2016 Annual Accounts/EU Annual Accounts/DC - Pension and other employee benefits (xlsx)&quot; datapro=&quot;PENS5&quot; tdatapro=&quot;PENS5&quot; author=&quot;&quot; modtime=&quot;6/12/2017 9:33:58 AM&quot; moduser=&quot;maclali&quot; rolluptime=&quot;&quot; syuser=&quot;maclali&quot; syuzeit=&quot;6/12/2017 9:33:58 AM&quot; root=&quot;/BBOOK/DATAPROVIDER[./META/PROPS/ID='PENS3']/DATA&quot; colcount=&quot;5&quot; rowcount=&quot;12&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5&quot; infos=&quot;&quot; iscomment=&quot;0&quot;&gt;&lt;SELECT&gt;/BBOOK/DATAPROVIDER[./META/PROPS/ID='PENS5']/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9:27&lt;/DYNAMIZEDON&gt;&lt;LASTUPDATEDBY&gt;maclali&lt;/LASTUPDATEDBY&gt;&lt;LASTUPDATEDON&gt;6/12/2017 2:56:37 PM&lt;/LASTUPDATEDON&gt;&lt;UTC&gt;1&lt;/UTC&gt;&lt;/UPDATE&gt;&lt;QUERIES bbk=&quot;9071&quot; bbkdesc=&quot;2016 Annual Accounts/EU Annual Accounts/DC - Pension and other employee benefits (xlsx)&quot; datapro=&quot;PENS6&quot; tdatapro=&quot;PENS6&quot; author=&quot;&quot; modtime=&quot;6/12/2017 9:33:58 AM&quot; moduser=&quot;maclali&quot; rolluptime=&quot;&quot; syuser=&quot;maclali&quot; syuzeit=&quot;6/12/2017 9:33:58 AM&quot; root=&quot;/BBOOK/DATAPROVIDER[./META/PROPS/ID='PENS6']/DATA&quot; colcount=&quot;3&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6&quot; infos=&quot;&quot; iscomment=&quot;0&quot;&gt;&lt;SELECT&gt;/BBOOK/DATAPROVIDER[./META/PROPS/ID='PENS6']/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0:02&lt;/DYNAMIZEDON&gt;&lt;LASTUPDATEDBY&gt;preutan&lt;/LASTUPDATEDBY&gt;&lt;LASTUPDATEDON&gt;6/16/2017 11:02:29 AM&lt;/LASTUPDATEDON&gt;&lt;UTC&gt;1&lt;/UTC&gt;&lt;/UPDATE&gt;&lt;QUERIES bbk=&quot;9072&quot; bbkdesc=&quot;2016 Annual Accounts/EU Annual Accounts/DC - Provisions (xlsx)&quot; datapro=&quot;PROV&quot; tdatapro=&quot;PROV&quot; author=&quot;&quot; modtime=&quot;10/30/2015 1:50:11 PM&quot; moduser=&quot;milemar&quot; rolluptime=&quot;&quot; syuser=&quot;milemar&quot; syuzeit=&quot;10/30/2015 1:50:11 PM&quot; root=&quot;/DATA&quot; colcount=&quot;8&quot; rowcount=&quot;14&quot; url=&quot;&quot; dynamizeds=&quot;SAP Disclosure Management - Production&quot; dynamizedstype=&quot;9&quot; refreshds=&quot;&quot; viewtype=&quot;1&quot;&gt;&lt;QUERY reftype=&quot;ABS&quot; elmntsel=&quot;TABLE&quot; bbk=&quot;9072&quot; bbkdesc=&quot;2016 Annual Accounts/EU Annual Accounts/DC - Provisions (xlsx)&quot; datapro=&quot;PROV&quot; infos=&quot;&quot; iscomment=&quot;0&quot;&gt;&lt;SELECT&gt;/BBOOK/DATAPROVIDER[./META/PROPS/ID='PROV']/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4:54&lt;/DYNAMIZEDON&gt;&lt;LASTUPDATEDBY&gt;preutan&lt;/LASTUPDATEDBY&gt;&lt;LASTUPDATEDON&gt;16/06/2017 11:04:54&lt;/LASTUPDATEDON&gt;&lt;UTC&gt;1&lt;/UTC&gt;&lt;/UPDATE&gt;&lt;QUERIES bbk=&quot;9073&quot; bbkdesc=&quot;2016 Annual Accounts/EU Annual Accounts/DC - Financial liabilities (xlsx)&quot; datapro=&quot;FinL&quot; tdatapro=&quot;FinL&quot; author=&quot;&quot; modtime=&quot;6/15/2017 4:37:27 PM&quot; moduser=&quot;koehlmn&quot; rolluptime=&quot;&quot; syuser=&quot;koehlmn&quot; syuzeit=&quot;6/15/2017 4:37:27 PM&quot; root=&quot;/DATA&quot; colcount=&quot;4&quot; rowcount=&quot;13&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4:44&lt;/DYNAMIZEDON&gt;&lt;LASTUPDATEDBY&gt;preutan&lt;/LASTUPDATEDBY&gt;&lt;LASTUPDATEDON&gt;16/06/2017 11:44:44&lt;/LASTUPDATEDON&gt;&lt;UTC&gt;1&lt;/UTC&gt;&lt;/UPDATE&gt;&lt;QUERIES bbk=&quot;9073&quot; bbkdesc=&quot;2016 Annual Accounts/EU Annual Accounts/DC - Financial liabilities (xlsx)&quot; datapro=&quot;FinLiabBorrowings&quot; tdatapro=&quot;FinLiabBorrowings&quot; author=&quot;&quot; modtime=&quot;6/9/2017 1:22:11 PM&quot; moduser=&quot;preutan&quot; rolluptime=&quot;&quot; syuser=&quot;preutan&quot; syuzeit=&quot;6/9/2017 1:22:11 PM&quot; root=&quot;/BBOOK/DATAPROVIDER[./META/PROPS/ID='FinLiabBorrowings']/DATA&quot; colcount=&quot;4&quot; rowcount=&quot;7&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23/2017 9:57:57 AM&lt;/DYNAMIZEDON&gt;&lt;LASTUPDATEDBY&gt;koehlmn&lt;/LASTUPDATEDBY&gt;&lt;LASTUPDATEDON&gt;6/10/2017 12:12:07 PM&lt;/LASTUPDATEDON&gt;&lt;UTC&gt;1&lt;/UTC&gt;&lt;/UPDATE&gt;&lt;QUERIES bbk=&quot;8936&quot; bbkdesc=&quot;2016 Annual Accounts/EU Annual Accounts/DC - Borrowings by Financial instruments (xlsx)&quot; datapro=&quot;BFI&quot; tdatapro=&quot;BFI&quot; author=&quot;&quot; modtime=&quot;11/21/2014 8:16:57 AM&quot; moduser=&quot;vignale&quot; rolluptime=&quot;&quot; syuser=&quot;vignale&quot; syuzeit=&quot;11/21/2014 8:16:57 AM&quot; root=&quot;/BBOOK/DATAPROVIDER[./META/PROPS/ID='FinLiabBorrowings']/DATA&quot; colcount=&quot;7&quot; rowcount=&quot;10&quot; url=&quot;&quot; dynamizeds=&quot;SAP Disclosure Management - Production&quot; dynamizedstype=&quot;9&quot; refreshds=&quot;&quot; viewtype=&quot;1&quot;&gt;&lt;QUERY reftype=&quot;ABS&quot; elmntsel=&quot;TABLE&quot; bbk=&quot;8936&quot; bbkdesc=&quot;2016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3/03/2016 10:37:02&lt;/DYNAMIZEDON&gt;&lt;LASTUPDATEDBY&gt;koehlmn&lt;/LASTUPDATEDBY&gt;&lt;LASTUPDATEDON&gt;6/10/2017 12:12:11 PM&lt;/LASTUPDATEDON&gt;&lt;UTC&gt;1&lt;/UTC&gt;&lt;/UPDATE&gt;&lt;QUERIES bbk=&quot;9010&quot; bbkdesc=&quot;2016 Annual Accounts/EU Annual Accounts/DC - Financial Support Mechanisms (xlsx)&quot; datapro=&quot;BORR3&quot; tdatapro=&quot;BORR3&quot; author=&quot;&quot; modtime=&quot;6/9/2017 1:22:06 PM&quot; moduser=&quot;preutan&quot; rolluptime=&quot;&quot; syuser=&quot;preutan&quot; syuzeit=&quot;6/9/2017 1:22:06 PM&quot; root=&quot;/BBOOK/DATAPROVIDER[./META/PROPS/ID='BORR3']/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8:29&lt;/DYNAMIZEDON&gt;&lt;LASTUPDATEDBY&gt;preutan&lt;/LASTUPDATEDBY&gt;&lt;LASTUPDATEDON&gt;16/06/2017 11:48:29&lt;/LASTUPDATEDON&gt;&lt;UTC&gt;1&lt;/UTC&gt;&lt;/UPDATE&gt;&lt;QUERIES bbk=&quot;9074&quot; bbkdesc=&quot;2016 Annual Accounts/EU Annual Accounts/DC - Other financial liabilities (xlsx)&quot; datapro=&quot;OthFinanL&quot; tdatapro=&quot;OthFinanL&quot; author=&quot;&quot; modtime=&quot;11/18/2014 8:39:48 AM&quot; moduser=&quot;vignale&quot; rolluptime=&quot;&quot; syuser=&quot;vignale&quot; syuzeit=&quot;11/18/2014 8:39:48 AM&quot; root=&quot;/DATA&quot; colcount=&quot;3&quot; rowcount=&quot;14&quot; url=&quot;&quot; dynamizeds=&quot;SAP Disclosure Management - Production&quot; dynamizedstype=&quot;9&quot; refreshds=&quot;&quot; viewtype=&quot;1&quot;&gt;&lt;QUERY reftype=&quot;ABS&quot; elmntsel=&quot;TABLE&quot; bbk=&quot;9074&quot; bbkdesc=&quot;2016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3:24&lt;/DYNAMIZEDON&gt;&lt;LASTUPDATEDBY&gt;preutan&lt;/LASTUPDATEDBY&gt;&lt;LASTUPDATEDON&gt;16/06/2017 11:53:24&lt;/LASTUPDATEDON&gt;&lt;UTC&gt;1&lt;/UTC&gt;&lt;/UPDATE&gt;&lt;QUERIES bbk=&quot;9075&quot; bbkdesc=&quot;2016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9075&quot; bbkdesc=&quot;2016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5:00&lt;/DYNAMIZEDON&gt;&lt;LASTUPDATEDBY&gt;preutan&lt;/LASTUPDATEDBY&gt;&lt;LASTUPDATEDON&gt;16/06/2017 11:55:00&lt;/LASTUPDATEDON&gt;&lt;UTC&gt;1&lt;/UTC&gt;&lt;/UPDATE&gt;&lt;QUERIES bbk=&quot;9073&quot; bbkdesc=&quot;2016 Annual Accounts/EU Annual Accounts/DC - Financial liabilities (xlsx)&quot; datapro=&quot;FinLiabFVTPL&quot; tdatapro=&quot;FinLiabFVTPL&quot; author=&quot;&quot; modtime=&quot;6/9/2017 1:22:11 PM&quot; moduser=&quot;preutan&quot; rolluptime=&quot;&quot; syuser=&quot;preutan&quot; syuzeit=&quot;6/9/2017 1:22:11 PM&quot; root=&quot;/BBOOK/DATAPROVIDER[./META/PROPS/ID='FinLiabFVTPL']/DATA&quot; colcount=&quot;7&quot; rowcount=&quot;5&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FVTPL&quot; infos=&quot;&quot; iscomment=&quot;0&quot;&gt;&lt;SELECT&gt;/BBOOK/DATAPROVIDER[./META/PROPS/ID='FinLiabFVTPL']/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4:19&lt;/DYNAMIZEDON&gt;&lt;LASTUPDATEDBY&gt;preutan&lt;/LASTUPDATEDBY&gt;&lt;LASTUPDATEDON&gt;16/06/2017 12:04:19&lt;/LASTUPDATEDON&gt;&lt;UTC&gt;1&lt;/UTC&gt;&lt;/UPDATE&gt;&lt;QUERIES bbk=&quot;9047&quot; bbkdesc=&quot;2016 Annual Accounts/EU Annual Accounts/DC - Payables (xlsx)&quot; datapro=&quot;PAYAB&quot; tdatapro=&quot;PAYAB&quot; author=&quot;&quot; modtime=&quot;3/21/2016 3:08:48 PM&quot; moduser=&quot;koehlmn&quot; rolluptime=&quot;&quot; syuser=&quot;koehlmn&quot; syuzeit=&quot;3/21/2016 3:08:48 PM&quot; root=&quot;/DATA&quot; colcount=&quot;7&quot; rowcount=&quot;15&quot; url=&quot;&quot; dynamizeds=&quot;SAP Disclosure Management - Production&quot; dynamizedstype=&quot;9&quot; refreshds=&quot;&quot; viewtype=&quot;1&quot;&gt;&lt;QUERY reftype=&quot;ABS&quot; elmntsel=&quot;TABLE&quot; bbk=&quot;9047&quot; bbkdesc=&quot;2016 Annual Accounts/EU Annual Accounts/DC - Payables (xlsx)&quot; datapro=&quot;PAYAB&quot; infos=&quot;&quot; iscomment=&quot;0&quot;&gt;&lt;SELECT&gt;/BBOOK/DATAPROVIDER[./META/PROPS/ID='PAYAB']/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9/03/2015 08:32:07&lt;/DYNAMIZEDON&gt;&lt;LASTUPDATEDBY&gt;koehlmn&lt;/LASTUPDATEDBY&gt;&lt;LASTUPDATEDON&gt;6/10/2017 12:16:20 PM&lt;/LASTUPDATEDON&gt;&lt;UTC&gt;1&lt;/UTC&gt;&lt;/UPDATE&gt;&lt;QUERIES bbk=&quot;9076&quot; bbkdesc=&quot;2016 Annual Accounts/EU Annual Accounts/DC - Accrued charges and Deferred income (xlsx)&quot; datapro=&quot;ACCDEF&quot; tdatapro=&quot;ACCDEF&quot; author=&quot;&quot; modtime=&quot;6/9/2017 1:22:11 PM&quot; moduser=&quot;preutan&quot; rolluptime=&quot;&quot; syuser=&quot;preutan&quot; syuzeit=&quot;6/9/2017 1:22:11 PM&quot; root=&quot;/BBOOK/DATAPROVIDER[./META/PROPS/ID='ACCDEF']/DATA&quot; colcount=&quot;3&quot; rowcount=&quot;6&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7:42&lt;/DYNAMIZEDON&gt;&lt;LASTUPDATEDBY&gt;preutan&lt;/LASTUPDATEDBY&gt;&lt;LASTUPDATEDON&gt;16/06/2017 12:07:42&lt;/LASTUPDATEDON&gt;&lt;UTC&gt;1&lt;/UTC&gt;&lt;/UPDATE&gt;&lt;QUERIES bbk=&quot;9076&quot; bbkdesc=&quot;2016 Annual Accounts/EU Annual Accounts/DC - Accrued charges and Deferred income (xlsx)&quot; datapro=&quot;SPLITACC&quot; tdatapro=&quot;SPLITACC&quot; author=&quot;&quot; modtime=&quot;6/14/2017 3:55:27 PM&quot; moduser=&quot;koehlmn&quot; rolluptime=&quot;&quot; syuser=&quot;koehlmn&quot; syuzeit=&quot;6/14/2017 3:55:27 PM&quot; root=&quot;/DATA&quot; colcount=&quot;3&quot; rowcount=&quot;8&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koehlmn&lt;/LASTUPDATEDBY&gt;&lt;LASTUPDATEDON&gt;6/10/2017 12:17:17 PM&lt;/LASTUPDATEDON&gt;&lt;UTC&gt;1&lt;/UTC&gt;&lt;/UPDATE&gt;&lt;QUERIES bbk=&quot;9077&quot; bbkdesc=&quot;2016 Annual Accounts/EU Annual Accounts/DC - Reserves (xlsx)&quot; datapro=&quot;RES&quot; tdatapro=&quot;RES&quot; author=&quot;&quot; modtime=&quot;6/9/2017 12:33:08 PM&quot; moduser=&quot;porteca&quot; rolluptime=&quot;&quot; syuser=&quot;porteca&quot; syuzeit=&quot;6/9/2017 12:33:08 PM&quot; root=&quot;/BBOOK/DATAPROVIDER[./META/PROPS/ID='RES']/DATA&quot; colcount=&quot;4&quot; rowcount=&quot;6&quot; url=&quot;&quot; dynamizeds=&quot;SAP Disclosure Management - Production&quot; dynamizedstype=&quot;9&quot; refreshds=&quot;&quot; viewtype=&quot;1&quot;&gt;&lt;QUERY reftype=&quot;ABS&quot; elmntsel=&quot;TABLE&quot; bbk=&quot;9077&quot; bbkdesc=&quot;2016 Annual Accounts/EU Annual Accounts/DC - Reserves (xlsx)&quot; datapro=&quot;RES&quot; infos=&quot;&quot; iscomment=&quot;0&quot;&gt;&lt;SELECT&gt;/BBOOK/DATAPROVIDER[./META/PROPS/ID='RES']/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18:42&lt;/DYNAMIZEDON&gt;&lt;LASTUPDATEDBY&gt;preutan&lt;/LASTUPDATEDBY&gt;&lt;LASTUPDATEDON&gt;16/06/2017 12:18:42&lt;/LASTUPDATEDON&gt;&lt;UTC&gt;1&lt;/UTC&gt;&lt;/UPDATE&gt;&lt;QUERIES bbk=&quot;9082&quot; bbkdesc=&quot;2016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DATA&quot; colcount=&quot;3&quot; rowcount=&quot;8&quot; url=&quot;&quot; dynamizeds=&quot;SAP Disclosure Management - Production&quot; dynamizedstype=&quot;9&quot; refreshds=&quot;&quot; viewtype=&quot;1&quot;&gt;&lt;QUERY reftype=&quot;ABS&quot; elmntsel=&quot;TABLE&quot; bbk=&quot;9082&quot; bbkdesc=&quot;2016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6:12&lt;/DYNAMIZEDON&gt;&lt;LASTUPDATEDBY&gt;preutan&lt;/LASTUPDATEDBY&gt;&lt;LASTUPDATEDON&gt;20/06/2017 09:56:12&lt;/LASTUPDATEDON&gt;&lt;UTC&gt;1&lt;/UTC&gt;&lt;/UPDATE&gt;&lt;QUERIES bbk=&quot;9078&quot; bbkdesc=&quot;2016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9078&quot; bbkdesc=&quot;2016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18:46:59&lt;/DYNAMIZEDON&gt;&lt;LASTUPDATEDBY&gt;koehlmn&lt;/LASTUPDATEDBY&gt;&lt;LASTUPDATEDON&gt;6/10/2017 12:21:14 PM&lt;/LASTUPDATEDON&gt;&lt;UTC&gt;1&lt;/UTC&gt;&lt;/UPDATE&gt;&lt;QUERIES bbk=&quot;8716&quot; bbkdesc=&quot;2016 Annual Accounts/EC Annual Accounts/DC - Traditional own resources (xlsx)&quot; datapro=&quot;TOR&quot; tdatapro=&quot;TOR&quot; author=&quot;&quot; modtime=&quot;6/6/2017 12:56:17 PM&quot; moduser=&quot;bularmi&quot; rolluptime=&quot;&quot; syuser=&quot;bularmi&quot; syuzeit=&quot;6/6/2017 12:56:17 PM&quot; root=&quot;/BBOOK/DATAPROVIDER[./META/PROPS/ID='TOR']/DATA&quot; colcount=&quot;3&quot; rowcount=&quot;5&quot; url=&quot;&quot; dynamizeds=&quot;SAP Disclosure Management - Production&quot; dynamizedstype=&quot;9&quot; refreshds=&quot;&quot; viewtype=&quot;1&quot;&gt;&lt;QUERY reftype=&quot;ABS&quot; elmntsel=&quot;TABLE&quot; bbk=&quot;8716&quot; bbkdesc=&quot;2016 Annual Accounts/EC Annual Accounts 2015/DC - Traditional own resources (xlsx)&quot; datapro=&quot;TOR&quot; infos=&quot;&quot; iscomment=&quot;0&quot;&gt;&lt;SELECT&gt;/BBOOK/DATAPROVIDER[./META/PROPS/ID='TO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23/02/2016 17:23:14&lt;/DYNAMIZEDON&gt;&lt;LASTUPDATEDBY&gt;koehlmn&lt;/LASTUPDATEDBY&gt;&lt;LASTUPDATEDON&gt;6/10/2017 12:23:22 PM&lt;/LASTUPDATEDON&gt;&lt;UTC&gt;1&lt;/UTC&gt;&lt;/UPDATE&gt;&lt;QUERIES bbk=&quot;9079&quot; bbkdesc=&quot;2016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6&quot; url=&quot;&quot; dynamizeds=&quot;SAP Disclosure Management - Production&quot; dynamizedstype=&quot;9&quot; refreshds=&quot;&quot; viewtype=&quot;1&quot;&gt;&lt;QUERY reftype=&quot;ABS&quot; elmntsel=&quot;TABLE&quot; bbk=&quot;9079&quot; bbkdesc=&quot;2016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3/2015 17:01:20&lt;/DYNAMIZEDON&gt;&lt;LASTUPDATEDBY&gt;koehlmn&lt;/LASTUPDATEDBY&gt;&lt;LASTUPDATEDON&gt;6/10/2017 12:23:59 PM&lt;/LASTUPDATEDON&gt;&lt;UTC&gt;1&lt;/UTC&gt;&lt;/UPDATE&gt;&lt;QUERIES bbk=&quot;9048&quot; bbkdesc=&quot;2016 Annual Accounts/EU Annual Accounts/DC - Other non-exchange revenue (xlsx)&quot; datapro=&quot;ONER&quot; tdatapro=&quot;ONER&quot; author=&quot;&quot; modtime=&quot;6/9/2017 1:22:08 PM&quot; moduser=&quot;preutan&quot; rolluptime=&quot;&quot; syuser=&quot;preutan&quot; syuzeit=&quot;6/9/2017 1:22:08 PM&quot; root=&quot;/BBOOK/DATAPROVIDER[./META/PROPS/ID='ONER']/DATA&quot; colcount=&quot;4&quot; rowcount=&quot;11&quot; url=&quot;&quot; dynamizeds=&quot;SAP Disclosure Management - Production&quot; dynamizedstype=&quot;9&quot; refreshds=&quot;&quot; viewtype=&quot;1&quot;&gt;&lt;QUERY reftype=&quot;ABS&quot; elmntsel=&quot;TABLE&quot; bbk=&quot;9048&quot; bbkdesc=&quot;2016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4:48:44&lt;/DYNAMIZEDON&gt;&lt;LASTUPDATEDBY&gt;preutan&lt;/LASTUPDATEDBY&gt;&lt;LASTUPDATEDON&gt;16/06/2017 14:48:44&lt;/LASTUPDATEDON&gt;&lt;UTC&gt;1&lt;/UTC&gt;&lt;/UPDATE&gt;&lt;QUERIES bbk=&quot;9058&quot; bbkdesc=&quot;2016 Annual Accounts/EU Annual Accounts/DC - Financial income (xlsx)&quot; datapro=&quot;FINREV&quot; tdatapro=&quot;FINREV&quot; author=&quot;&quot; modtime=&quot;6/9/2017 1:22:09 PM&quot; moduser=&quot;preutan&quot; rolluptime=&quot;&quot; syuser=&quot;preutan&quot; syuzeit=&quot;6/9/2017 1:22:09 PM&quot; root=&quot;/BBOOK/DATAPROVIDER[./META/PROPS/ID='FINREV']/DATA&quot; colcount=&quot;3&quot; rowcount=&quot;16&quot; url=&quot;&quot; dynamizeds=&quot;SAP Disclosure Management - Production&quot; dynamizedstype=&quot;9&quot; refreshds=&quot;&quot; viewtype=&quot;1&quot;&gt;&lt;QUERY reftype=&quot;ABS&quot; elmntsel=&quot;TABLE&quot; bbk=&quot;9058&quot; bbkdesc=&quot;2016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6/10/2017 12:25:22 PM&lt;/LASTUPDATEDON&gt;&lt;UTC&gt;1&lt;/UTC&gt;&lt;/UPDATE&gt;&lt;QUERIES bbk=&quot;9080&quot; bbkdesc=&quot;2016 Annual Accounts/EU Annual Accounts/DC - Other exchange revenue (xlsx)&quot; datapro=&quot;OER&quot; tdatapro=&quot;OER&quot; author=&quot;&quot; modtime=&quot;6/9/2017 1:21:42 PM&quot; moduser=&quot;preutan&quot; rolluptime=&quot;&quot; syuser=&quot;preutan&quot; syuzeit=&quot;6/9/2017 1:21:42 PM&quot; root=&quot;/BBOOK/DATAPROVIDER[./META/PROPS/ID='OER']/DATA&quot; colcount=&quot;3&quot; rowcount=&quot;9&quot; url=&quot;&quot; dynamizeds=&quot;SAP Disclosure Management - Production&quot; dynamizedstype=&quot;9&quot; refreshds=&quot;&quot; viewtype=&quot;1&quot;&gt;&lt;QUERY reftype=&quot;ABS&quot; elmntsel=&quot;TABLE&quot; bbk=&quot;9080&quot; bbkdesc=&quot;2016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0:33&lt;/DYNAMIZEDON&gt;&lt;LASTUPDATEDBY&gt;koehlmn&lt;/LASTUPDATEDBY&gt;&lt;LASTUPDATEDON&gt;6/10/2017 12:26:04 PM&lt;/LASTUPDATEDON&gt;&lt;UTC&gt;1&lt;/UTC&gt;&lt;/UPDATE&gt;&lt;QUERIES bbk=&quot;8678&quot; bbkdesc=&quot;2016 Annual Accounts/EC Annual Accounts/DC - Shared Direct and Indirect Management (xlsx)&quot; datapro=&quot;SM&quot; tdatapro=&quot;SM&quot; author=&quot;&quot; modtime=&quot;6/6/2017 1:19:34 PM&quot; moduser=&quot;bularmi&quot; rolluptime=&quot;&quot; syuser=&quot;bularmi&quot; syuzeit=&quot;6/6/2017 1:19:34 PM&quot; root=&quot;/BBOOK/DATAPROVIDER[./META/PROPS/ID='SM']/DATA&quot; colcount=&quot;3&quot; rowcount=&quot;8&quot; url=&quot;&quot; dynamizeds=&quot;Disclosure Management - Production&quot; dynamizedstype=&quot;9&quot; refreshds=&quot;&quot; viewtype=&quot;1&quot;&gt;&lt;QUERY reftype=&quot;ABS&quot; elmntsel=&quot;TABLE&quot; bbk=&quot;8678&quot; bbkdesc=&quot;2016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6:05&lt;/DYNAMIZEDON&gt;&lt;LASTUPDATEDBY&gt;koehlmn&lt;/LASTUPDATEDBY&gt;&lt;LASTUPDATEDON&gt;6/10/2017 12:26:39 PM&lt;/LASTUPDATEDON&gt;&lt;UTC&gt;1&lt;/UTC&gt;&lt;/UPDATE&gt;&lt;QUERIES bbk=&quot;9049&quot; bbkdesc=&quot;2016 Annual Accounts/EU Annual Accounts/DC - Direct and Indirect Management (xlsx)&quot; datapro=&quot;DM&quot; tdatapro=&quot;DM&quot; author=&quot;&quot; modtime=&quot;6/9/2017 1:22:08 PM&quot; moduser=&quot;preutan&quot; rolluptime=&quot;&quot; syuser=&quot;preutan&quot; syuzeit=&quot;6/9/2017 1:22:08 PM&quot; root=&quot;/BBOOK/DATAPROVIDER[./META/PROPS/ID='DM']/DATA&quot; colcount=&quot;3&quot; rowcount=&quot;6&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DM&quot; infos=&quot;&quot; iscomment=&quot;0&quot;&gt;&lt;SELECT&gt;/BBOOK/DATAPROVIDER[./META/PROPS/ID='DM']/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7:42&lt;/DYNAMIZEDON&gt;&lt;LASTUPDATEDBY&gt;koehlmn&lt;/LASTUPDATEDBY&gt;&lt;LASTUPDATEDON&gt;6/10/2017 12:27:13 PM&lt;/LASTUPDATEDON&gt;&lt;UTC&gt;1&lt;/UTC&gt;&lt;/UPDATE&gt;&lt;QUERIES bbk=&quot;9049&quot; bbkdesc=&quot;2016 Annual Accounts/EU Annual Accounts/DC - Direct and Indirect Management (xlsx)&quot; datapro=&quot;IM&quot; tdatapro=&quot;IM&quot; author=&quot;&quot; modtime=&quot;6/9/2017 1:22:08 PM&quot; moduser=&quot;preutan&quot; rolluptime=&quot;&quot; syuser=&quot;preutan&quot; syuzeit=&quot;6/9/2017 1:22:08 PM&quot; root=&quot;/BBOOK/DATAPROVIDER[./META/PROPS/ID='IM']/DATA&quot; colcount=&quot;4&quot; rowcount=&quot;7&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IM&quot; infos=&quot;&quot; iscomment=&quot;0&quot;&gt;&lt;SELECT&gt;/BBOOK/DATAPROVIDER[./META/PROPS/ID='IM']/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19/2015 2:06:49 PM&lt;/DYNAMIZEDON&gt;&lt;LASTUPDATEDBY&gt;koehlmn&lt;/LASTUPDATEDBY&gt;&lt;LASTUPDATEDON&gt;6/10/2017 12:27:53 PM&lt;/LASTUPDATEDON&gt;&lt;UTC&gt;1&lt;/UTC&gt;&lt;/UPDATE&gt;&lt;QUERIES bbk=&quot;9081&quot; bbkdesc=&quot;2016 Annual Accounts/EU Annual Accounts/DC - Staff and Pension costs (xlsx)&quot; datapro=&quot;SPC&quot; tdatapro=&quot;SPC&quot; author=&quot;&quot; modtime=&quot;6/9/2017 1:36:58 PM&quot; moduser=&quot;oerboan&quot; rolluptime=&quot;&quot; syuser=&quot;oerboan&quot; syuzeit=&quot;6/9/2017 1:36:58 PM&quot; root=&quot;/BBOOK/DATAPROVIDER[./META/PROPS/ID='SPC']/DATA&quot; colcount=&quot;3&quot; rowcount=&quot;5&quot; url=&quot;&quot; dynamizeds=&quot;SAP Disclosure Management - Production&quot; dynamizedstype=&quot;9&quot; refreshds=&quot;&quot; viewtype=&quot;1&quot;&gt;&lt;QUERY reftype=&quot;ABS&quot; elmntsel=&quot;TABLE&quot; bbk=&quot;9081&quot; bbkdesc=&quot;2016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2/2017 10:07:22 AM&lt;/DYNAMIZEDON&gt;&lt;LASTUPDATEDBY&gt;koehlmn&lt;/LASTUPDATEDBY&gt;&lt;LASTUPDATEDON&gt;6/10/2017 12:30:10 PM&lt;/LASTUPDATEDON&gt;&lt;UTC&gt;1&lt;/UTC&gt;&lt;/UPDATE&gt;&lt;QUERIES bbk=&quot;9059&quot; bbkdesc=&quot;2016 Annual Accounts/EU Annual Accounts/DC - Finance costs (xlsx)&quot; datapro=&quot;FINEXP&quot; tdatapro=&quot;FINEXP&quot; author=&quot;&quot; modtime=&quot;6/9/2017 1:22:09 PM&quot; moduser=&quot;preutan&quot; rolluptime=&quot;&quot; syuser=&quot;preutan&quot; syuzeit=&quot;6/9/2017 1:22:09 PM&quot; root=&quot;/BBOOK/DATAPROVIDER[./META/PROPS/ID='FINEXP']/DATA&quot; colcount=&quot;3&quot; rowcount=&quot;12&quot; url=&quot;&quot; dynamizeds=&quot;SAP Disclosure Management - Production&quot; dynamizedstype=&quot;9&quot; refreshds=&quot;&quot; viewtype=&quot;1&quot;&gt;&lt;QUERY reftype=&quot;ABS&quot; elmntsel=&quot;TABLE&quot; bbk=&quot;9059&quot; bbkdesc=&quot;2016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5/03/2015 12:36:52&lt;/DYNAMIZEDON&gt;&lt;LASTUPDATEDBY&gt;koehlmn&lt;/LASTUPDATEDBY&gt;&lt;LASTUPDATEDON&gt;6/12/2017 12:07:42 PM&lt;/LASTUPDATEDON&gt;&lt;UTC&gt;1&lt;/UTC&gt;&lt;/UPDATE&gt;&lt;QUERIES bbk=&quot;9050&quot; bbkdesc=&quot;2016 Annual Accounts/EU Annual Accounts/DC - Other expenses (xlsx)&quot; datapro=&quot;OE&quot; tdatapro=&quot;OE&quot; author=&quot;&quot; modtime=&quot;6/12/2017 12:06:07 PM&quot; moduser=&quot;koehlmn&quot; rolluptime=&quot;&quot; syuser=&quot;koehlmn&quot; syuzeit=&quot;6/12/2017 12:06:07 PM&quot; root=&quot;/BBOOK/DATAPROVIDER[./META/PROPS/ID='OE']/DATA&quot; colcount=&quot;4&quot; rowcount=&quot;9&quot; url=&quot;&quot; dynamizeds=&quot;SAP Disclosure Management - Production&quot; dynamizedstype=&quot;9&quot; refreshds=&quot;&quot; viewtype=&quot;1&quot;&gt;&lt;QUERY reftype=&quot;ABS&quot; elmntsel=&quot;TABLE&quot; bbk=&quot;9050&quot; bbkdesc=&quot;2016 Annual Accounts/EU Annual Accounts/DC - Other expenses (xlsx)&quot; datapro=&quot;OE&quot; infos=&quot;&quot; iscomment=&quot;0&quot;&gt;&lt;SELECT&gt;/BBOOK/DATAPROVIDER[./META/PROPS/ID='OE']/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4:36&lt;/DYNAMIZEDON&gt;&lt;LASTUPDATEDBY&gt;preutan&lt;/LASTUPDATEDBY&gt;&lt;LASTUPDATEDON&gt;19/06/2017 10:04:36&lt;/LASTUPDATEDON&gt;&lt;UTC&gt;1&lt;/UTC&gt;&lt;/UPDATE&gt;&lt;QUERIES bbk=&quot;9061&quot; bbkdesc=&quot;2016 Annual Accounts/EU Annual Accounts/DC - Research and Development costs (xlsx)&quot; datapro=&quot;RESCHDEV&quot; tdatapro=&quot;RESCHDEV&quot; author=&quot;&quot; modtime=&quot;6/9/2017 1:40:07 PM&quot; moduser=&quot;oerboan&quot; rolluptime=&quot;&quot; syuser=&quot;oerboan&quot; syuzeit=&quot;6/9/2017 1:40:07 P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9061&quot; bbkdesc=&quot;2016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koehlmn&lt;/DYNAMIZEDBY&gt;&lt;DYNAMIZEDON&gt;08/03/2016 17:15:24&lt;/DYNAMIZEDON&gt;&lt;LASTUPDATEDBY&gt;koehlmn&lt;/LASTUPDATEDBY&gt;&lt;LASTUPDATEDON&gt;6/10/2017 12:33:43 PM&lt;/LASTUPDATEDON&gt;&lt;UTC&gt;1&lt;/UTC&gt;&lt;/UPDATE&gt;&lt;QUERIES bbk=&quot;9051&quot; bbkdesc=&quot;2016 Annual Accounts/EU Annual Accounts/DC - Segment report (xlsx)&quot; datapro=&quot;SRMFH&quot; tdatapro=&quot;SRMFH&quot; author=&quot;&quot; modtime=&quot;3/4/2016 4:50:24 PM&quot; moduser=&quot;koehlmn&quot; rolluptime=&quot;&quot; syuser=&quot;koehlmn&quot; syuzeit=&quot;3/4/2016 4:50:24 PM&quot; root=&quot;/DATA&quot; colcount=&quot;8&quot; rowcount=&quot;30&quot; url=&quot;&quot; dynamizeds=&quot;SAP Disclosure Management - Production&quot; dynamizedstype=&quot;9&quot; refreshds=&quot;&quot; viewtype=&quot;1&quot;&gt;&lt;QUERY reftype=&quot;ABS&quot; elmntsel=&quot;TABLE&quot; bbk=&quot;9051&quot; bbkdesc=&quot;2016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29:50&lt;/DYNAMIZEDON&gt;&lt;LASTUPDATEDBY&gt;koehlmn&lt;/LASTUPDATEDBY&gt;&lt;LASTUPDATEDON&gt;6/10/2017 12:39:33 PM&lt;/LASTUPDATEDON&gt;&lt;UTC&gt;1&lt;/UTC&gt;&lt;/UPDATE&gt;&lt;QUERIES bbk=&quot;9063&quot; bbkdesc=&quot;2016 Annual Accounts/EU Annual Accounts/DC - Contingent liabilities (xlsx)&quot; datapro=&quot;GUAR&quot; tdatapro=&quot;GUAR&quot; author=&quot;&quot; modtime=&quot;6/9/2017 1:35:33 PM&quot; moduser=&quot;oerboan&quot; rolluptime=&quot;&quot; syuser=&quot;oerboan&quot; syuzeit=&quot;6/9/2017 1:35:33 PM&quot; root=&quot;/BBOOK/DATAPROVIDER[./META/PROPS/ID='GUAR']/DATA&quot; colcount=&quot;7&quot; rowcount=&quot;6&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2/03/2017 17:04:07&lt;/DYNAMIZEDON&gt;&lt;LASTUPDATEDBY&gt;koehlmn&lt;/LASTUPDATEDBY&gt;&lt;LASTUPDATEDON&gt;6/10/2017 12:39:28 PM&lt;/LASTUPDATEDON&gt;&lt;UTC&gt;1&lt;/UTC&gt;&lt;/UPDATE&gt;&lt;QUERIES bbk=&quot;9063&quot; bbkdesc=&quot;2016 Annual Accounts/EU Annual Accounts/DC - Contingent liabilities (xlsx)&quot; datapro=&quot;GUARFA&quot; tdatapro=&quot;GUARFA&quot; author=&quot;&quot; modtime=&quot;6/9/2017 1:35:33 PM&quot; moduser=&quot;oerboan&quot; rolluptime=&quot;&quot; syuser=&quot;oerboan&quot; syuzeit=&quot;6/9/2017 1:35:33 PM&quot; root=&quot;/BBOOK/DATAPROVIDER[./META/PROPS/ID='GUAR']/DATA&quot; colcount=&quot;7&quot; rowcount=&quot;9&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A&quot; infos=&quot;&quot; iscomment=&quot;0&quot;&gt;&lt;SELECT&gt;/BBOOK/DATAPROVIDER[./META/PROPS/ID='GUARFA']/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34:00&lt;/DYNAMIZEDON&gt;&lt;LASTUPDATEDBY&gt;koehlmn&lt;/LASTUPDATEDBY&gt;&lt;LASTUPDATEDON&gt;6/10/2017 12:39:23 PM&lt;/LASTUPDATEDON&gt;&lt;UTC&gt;1&lt;/UTC&gt;&lt;/UPDATE&gt;&lt;QUERIES bbk=&quot;9063&quot; bbkdesc=&quot;2016 Annual Accounts/EU Annual Accounts/DC - Contingent liabilities (xlsx)&quot; datapro=&quot;GUARFI&quot; tdatapro=&quot;GUARFI&quot; author=&quot;&quot; modtime=&quot;6/9/2017 1:35:33 PM&quot; moduser=&quot;oerboan&quot; rolluptime=&quot;&quot; syuser=&quot;oerboan&quot; syuzeit=&quot;6/9/2017 1:35:33 PM&quot; root=&quot;/BBOOK/DATAPROVIDER[./META/PROPS/ID='GUARFI']/DATA&quot; colcount=&quot;3&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I&quot; infos=&quot;&quot; iscomment=&quot;0&quot;&gt;&lt;SELECT&gt;/BBOOK/DATAPROVIDER[./META/PROPS/ID='GUARFI']/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37:41&lt;/DYNAMIZEDON&gt;&lt;LASTUPDATEDBY&gt;preutan&lt;/LASTUPDATEDBY&gt;&lt;LASTUPDATEDON&gt;19/06/2017 12:37:41&lt;/LASTUPDATEDON&gt;&lt;UTC&gt;1&lt;/UTC&gt;&lt;/UPDATE&gt;&lt;QUERIES bbk=&quot;9063&quot; bbkdesc=&quot;2016 Annual Accounts/EU Annual Accounts/DC - Contingent liabilities (xlsx)&quot; datapro=&quot;CL&quot; tdatapro=&quot;CL&quot; author=&quot;&quot; modtime=&quot;3/22/2017 9:47:16 AM&quot; moduser=&quot;zogalmn&quot; rolluptime=&quot;&quot; syuser=&quot;zogalmn&quot; syuzeit=&quot;3/22/2017 9:47:16 AM&quot; root=&quot;/DATA&quot; colcount=&quot;4&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06:41&lt;/DYNAMIZEDON&gt;&lt;LASTUPDATEDBY&gt;koehlmn&lt;/LASTUPDATEDBY&gt;&lt;LASTUPDATEDON&gt;6/10/2017 12:40:27 PM&lt;/LASTUPDATEDON&gt;&lt;UTC&gt;1&lt;/UTC&gt;&lt;/UPDATE&gt;&lt;QUERIES bbk=&quot;9062&quot; bbkdesc=&quot;2016 Annual Accounts/EU Annual Accounts/DC - Contingent assets (xlsx)&quot; datapro=&quot;CA&quot; tdatapro=&quot;CA&quot; author=&quot;&quot; modtime=&quot;6/9/2017 1:22:10 PM&quot; moduser=&quot;preutan&quot; rolluptime=&quot;&quot; syuser=&quot;preutan&quot; syuzeit=&quot;6/9/2017 1:22:10 PM&quot; root=&quot;/BBOOK/DATAPROVIDER[./META/PROPS/ID='CA']/DATA&quot; colcount=&quot;3&quot; rowcount=&quot;7&quot; url=&quot;&quot; dynamizeds=&quot;SAP Disclosure Management - Production&quot; dynamizedstype=&quot;9&quot; refreshds=&quot;&quot; viewtype=&quot;1&quot;&gt;&lt;QUERY reftype=&quot;ABS&quot; elmntsel=&quot;TABLE&quot; bbk=&quot;9062&quot; bbkdesc=&quot;2016 Annual Accounts/EU Annual Accounts/DC - Contingent assets (xlsx)&quot; datapro=&quot;CA&quot; infos=&quot;&quot; iscomment=&quot;0&quot;&gt;&lt;SELECT&gt;/BBOOK/DATAPROVIDER[./META/PROPS/ID='CA']/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8:10&lt;/DYNAMIZEDON&gt;&lt;LASTUPDATEDBY&gt;preutan&lt;/LASTUPDATEDBY&gt;&lt;LASTUPDATEDON&gt;19/06/2017 10:08:10&lt;/LASTUPDATEDON&gt;&lt;UTC&gt;1&lt;/UTC&gt;&lt;/UPDATE&gt;&lt;QUERIES bbk=&quot;9064&quot; bbkdesc=&quot;2016 Annual Accounts/EU Annual Accounts/DC - Outstanding commitments not yet expensed (xlsx)&quot; datapro=&quot;OBULEG&quot; tdatapro=&quot;OBULEG&quot; author=&quot;&quot; modtime=&quot;6/15/2017 8:48:40 AM&quot; moduser=&quot;preutan&quot; rolluptime=&quot;&quot; syuser=&quot;preutan&quot; syuzeit=&quot;6/15/2017 8:48:40 AM&quot; root=&quot;/DATA&quot; colcount=&quot;4&quot; rowcount=&quot;6&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BULEG&quot; infos=&quot;&quot; iscomment=&quot;0&quot;&gt;&lt;SELECT&gt;/BBOOK/DATAPROVIDER[./META/PROPS/ID='OBULEG']/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preutan&lt;/LASTUPDATEDBY&gt;&lt;LASTUPDATEDON&gt;6/15/2017 8:53:09 AM&lt;/LASTUPDATEDON&gt;&lt;UTC&gt;1&lt;/UTC&gt;&lt;/UPDATE&gt;&lt;QUERIES bbk=&quot;9064&quot; bbkdesc=&quot;2016 Annual Accounts/EU Annual Accounts/DC - Outstanding commitments not yet expensed (xlsx)&quot; datapro=&quot;OCNYE&quot; tdatapro=&quot;OCNYE&quot; author=&quot;&quot; modtime=&quot;6/15/2017 8:48:40 AM&quot; moduser=&quot;preutan&quot; rolluptime=&quot;&quot; syuser=&quot;preutan&quot; syuzeit=&quot;6/15/2017 8:48:40 AM&quot; root=&quot;/BBOOK/DATAPROVIDER[./META/PROPS/ID='OCNYE']/DATA&quot; colcount=&quot;3&quot; rowcount=&quot;3&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6/19/2017 2:04:49 PM&lt;/DYNAMIZEDON&gt;&lt;LASTUPDATEDBY&gt;preutan&lt;/LASTUPDATEDBY&gt;&lt;LASTUPDATEDON&gt;6/19/2017 2:04:49 PM&lt;/LASTUPDATEDON&gt;&lt;UTC&gt;1&lt;/UTC&gt;&lt;/UPDATE&gt;&lt;QUERIES bbk=&quot;8715&quot; bbkdesc=&quot;2016 Annual Accounts/EC Annual Accounts/DC - Significant legal commitments (xlsx)&quot; datapro=&quot;STRUCAC&quot; tdatapro=&quot;STRUCAC&quot; author=&quot;&quot; modtime=&quot;6/12/2017 2:51:18 PM&quot; moduser=&quot;preutan&quot; rolluptime=&quot;&quot; syuser=&quot;preutan&quot; syuzeit=&quot;6/12/2017 2:51:18 PM&quot; root=&quot;/DATA&quot; colcount=&quot;7&quot; rowcount=&quot;15&quot; url=&quot;&quot; dynamizeds=&quot;Disclosure Management - Production&quot; dynamizedstype=&quot;9&quot; refreshds=&quot;&quot; viewtype=&quot;1&quot;&gt;&lt;QUERY reftype=&quot;ABS&quot; elmntsel=&quot;TABLE&quot; bbk=&quot;8715&quot; bbkdesc=&quot;2016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4:31:29&lt;/DYNAMIZEDON&gt;&lt;LASTUPDATEDBY&gt;preutan&lt;/LASTUPDATEDBY&gt;&lt;LASTUPDATEDON&gt;6/15/2017 8:52:59 AM&lt;/LASTUPDATEDON&gt;&lt;UTC&gt;1&lt;/UTC&gt;&lt;/UPDATE&gt;&lt;QUERIES bbk=&quot;9065&quot; bbkdesc=&quot;2016 Annual Accounts/EU Annual Accounts/DC - Significant legal commitments (xlsx)&quot; datapro=&quot;LEGCOM&quot; tdatapro=&quot;LEGCOM&quot; author=&quot;&quot; modtime=&quot;6/15/2017 8:50:27 AM&quot; moduser=&quot;preutan&quot; rolluptime=&quot;&quot; syuser=&quot;preutan&quot; syuzeit=&quot;6/15/2017 8:50:27 AM&quot; root=&quot;/BBOOK/DATAPROVIDER[./META/PROPS/ID='LEGCOM']/DATA&quot; colcount=&quot;3&quot; rowcount=&quot;10&quot; url=&quot;&quot; dynamizeds=&quot;SAP Disclosure Management - Production&quot; dynamizedstype=&quot;9&quot; refreshds=&quot;&quot; viewtype=&quot;1&quot;&gt;&lt;QUERY reftype=&quot;ABS&quot; elmntsel=&quot;TABLE&quot; bbk=&quot;9065&quot; bbkdesc=&quot;2016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14:20&lt;/DYNAMIZEDON&gt;&lt;LASTUPDATEDBY&gt;preutan&lt;/LASTUPDATEDBY&gt;&lt;LASTUPDATEDON&gt;19/06/2017 13:14:20&lt;/LASTUPDATEDON&gt;&lt;UTC&gt;1&lt;/UTC&gt;&lt;/UPDATE&gt;&lt;QUERIES bbk=&quot;9060&quot; bbkdesc=&quot;2016 Annual Accounts/EU Annual Accounts/DC - Property plant and equipment related expenses (xlsx)&quot; datapro=&quot;PPERE&quot; tdatapro=&quot;PPERE&quot; author=&quot;&quot; modtime=&quot;6/12/2017 12:08:51 PM&quot; moduser=&quot;koehlmn&quot; rolluptime=&quot;&quot; syuser=&quot;koehlmn&quot; syuzeit=&quot;6/12/2017 12:08:51 PM&quot; root=&quot;/BBOOK/DATAPROVIDER[./META/PROPS/ID='PPERE']/DATA&quot; colcount=&quot;5&quot; rowcount=&quot;6&quot; url=&quot;&quot; dynamizeds=&quot;SAP Disclosure Management - Production&quot; dynamizedstype=&quot;9&quot; refreshds=&quot;&quot; viewtype=&quot;1&quot;&gt;&lt;QUERY reftype=&quot;ABS&quot; elmntsel=&quot;TABLE&quot; bbk=&quot;9060&quot; bbkdesc=&quot;2016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46:54&lt;/DYNAMIZEDON&gt;&lt;LASTUPDATEDBY&gt;preutan&lt;/LASTUPDATEDBY&gt;&lt;LASTUPDATEDON&gt;19/06/2017 12:46:54&lt;/LASTUPDATEDON&gt;&lt;UTC&gt;1&lt;/UTC&gt;&lt;/UPDATE&gt;&lt;QUERIES bbk=&quot;9052&quot; bbkdesc=&quot;2016 Annual Accounts/EU Annual Accounts/DC - Exposure of the EC to currency risk at year end (xlsx)&quot; datapro=&quot;CRCY&quot; tdatapro=&quot;CRCY&quot; author=&quot;&quot; modtime=&quot;6/14/2017 8:15:43 AM&quot; moduser=&quot;deckesy&quot; rolluptime=&quot;&quot; syuser=&quot;deckesy&quot; syuzeit=&quot;6/14/2017 8:15:43 AM&quot; root=&quot;/BBOOK/DATAPROVIDER[./META/PROPS/ID='CRC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CY&quot; infos=&quot;&quot; iscomment=&quot;0&quot;&gt;&lt;SELECT&gt;/BBOOK/DATAPROVIDER[./META/PROPS/ID='CRCY']/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1:27&lt;/DYNAMIZEDON&gt;&lt;LASTUPDATEDBY&gt;preutan&lt;/LASTUPDATEDBY&gt;&lt;LASTUPDATEDON&gt;19/06/2017 12:51:27&lt;/LASTUPDATEDON&gt;&lt;UTC&gt;1&lt;/UTC&gt;&lt;/UPDATE&gt;&lt;QUERIES bbk=&quot;9052&quot; bbkdesc=&quot;2016 Annual Accounts/EU Annual Accounts/DC - Exposure of the EC to currency risk at year end (xlsx)&quot; datapro=&quot;CRPY&quot; tdatapro=&quot;CRPY&quot; author=&quot;&quot; modtime=&quot;6/19/2017 12:48:41 PM&quot; moduser=&quot;preutan&quot; rolluptime=&quot;&quot; syuser=&quot;preutan&quot; syuzeit=&quot;6/19/2017 12:48:41 PM&quot; root=&quot;/BBOOK/DATAPROVIDER[./META/PROPS/ID='CRP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PY&quot; infos=&quot;&quot; iscomment=&quot;0&quot;&gt;&lt;SELECT&gt;/BBOOK/DATAPROVIDER[./META/PROPS/ID='CRPY']/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5:14:13&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S&quot; tdatapro=&quot;SDS&quot; author=&quot;&quot; modtime=&quot;3/11/2016 6:36:15 PM&quot; moduser=&quot;koehlmn&quot; rolluptime=&quot;&quot; syuser=&quot;koehlmn&quot; syuzeit=&quot;3/11/2016 6:36:15 PM&quot; root=&quot;/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4:20&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S&quot; tdatapro=&quot;NAS&quot; author=&quot;&quot; modtime=&quot;6/14/2017 8:15:43 AM&quot; moduser=&quot;deckesy&quot; rolluptime=&quot;&quot; syuser=&quot;deckesy&quot; syuzeit=&quot;6/14/2017 8:15:43 AM&quot; root=&quot;/BBOOK/DATAPROVIDER[./META/PROPS/ID='NAS']/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5:16&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W&quot; tdatapro=&quot;SDW&quot; author=&quot;&quot; modtime=&quot;6/14/2017 8:15:43 AM&quot; moduser=&quot;deckesy&quot; rolluptime=&quot;&quot; syuser=&quot;deckesy&quot; syuzeit=&quot;6/14/2017 8:15:43 AM&quot; root=&quot;/BBOOK/DATAPROVIDER[./META/PROPS/ID='SD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8:35&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W&quot; tdatapro=&quot;NAW&quot; author=&quot;&quot; modtime=&quot;6/14/2017 8:15:43 AM&quot; moduser=&quot;deckesy&quot; rolluptime=&quot;&quot; syuser=&quot;deckesy&quot; syuzeit=&quot;6/14/2017 8:15:43 AM&quot; root=&quot;/BBOOK/DATAPROVIDER[./META/PROPS/ID='NA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koehlmn&lt;/LASTUPDATEDBY&gt;&lt;LASTUPDATEDON&gt;6/10/2017 12:43:15 PM&lt;/LASTUPDATEDON&gt;&lt;UTC&gt;1&lt;/UTC&gt;&lt;/UPDATE&gt;&lt;QUERIES bbk=&quot;9053&quot; bbkdesc=&quot;2016 Annual Accounts/EU Annual Accounts/DC - Interest rate risk (xlsx)&quot; datapro=&quot;IRR&quot; tdatapro=&quot;IRR&quot; author=&quot;&quot; modtime=&quot;6/9/2017 1:22:08 PM&quot; moduser=&quot;preutan&quot; rolluptime=&quot;&quot; syuser=&quot;preutan&quot; syuzeit=&quot;6/9/2017 1:22:08 PM&quot; root=&quot;/BBOOK/DATAPROVIDER[./META/PROPS/ID='IRR']/DATA&quot; colcount=&quot;3&quot; rowcount=&quot;6&quot; url=&quot;&quot; dynamizeds=&quot;SAP Disclosure Management - Production&quot; dynamizedstype=&quot;9&quot; refreshds=&quot;&quot; viewtype=&quot;1&quot;&gt;&lt;QUERY reftype=&quot;ABS&quot; elmntsel=&quot;TABLE&quot; bbk=&quot;9053&quot; bbkdesc=&quot;2016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6:57&lt;/DYNAMIZEDON&gt;&lt;LASTUPDATEDBY&gt;preutan&lt;/LASTUPDATEDBY&gt;&lt;LASTUPDATEDON&gt;19/06/2017 12:56:57&lt;/LASTUPDATEDON&gt;&lt;UTC&gt;1&lt;/UTC&gt;&lt;/UPDATE&gt;&lt;QUERIES bbk=&quot;9054&quot; bbkdesc=&quot;2016 Annual Accounts/EU Annual Accounts/DC - Credit risk (xlsx)&quot; datapro=&quot;CDTR&quot; tdatapro=&quot;CDTR&quot; author=&quot;&quot; modtime=&quot;3/17/2017 8:49:27 AM&quot; moduser=&quot;servela&quot; rolluptime=&quot;&quot; syuser=&quot;servela&quot; syuzeit=&quot;3/17/2017 8:49:27 AM&quot; root=&quot;/DATA&quot; colcount=&quot;6&quot; rowcount=&quot;10&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CDTR&quot; infos=&quot;&quot; iscomment=&quot;0&quot;&gt;&lt;SELECT&gt;/BBOOK/DATAPROVIDER[./META/PROPS/ID='CDT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3:59&lt;/DYNAMIZEDON&gt;&lt;LASTUPDATEDBY&gt;preutan&lt;/LASTUPDATEDBY&gt;&lt;LASTUPDATEDON&gt;19/06/2017 13:03:59&lt;/LASTUPDATEDON&gt;&lt;UTC&gt;1&lt;/UTC&gt;&lt;/UPDATE&gt;&lt;QUERIES bbk=&quot;9054&quot; bbkdesc=&quot;2016 Annual Accounts/EU Annual Accounts/DC - Credit risk (xlsx)&quot; datapro=&quot;FARCCY&quot; tdatapro=&quot;FARCCY&quot; author=&quot;&quot; modtime=&quot;6/19/2017 12:58:52 PM&quot; moduser=&quot;preutan&quot; rolluptime=&quot;&quot; syuser=&quot;preutan&quot; syuzeit=&quot;6/19/2017 12:58:52 PM&quot; root=&quot;/BBOOK/DATAPROVIDER[./META/PROPS/ID='FARCCY']/DATA&quot; colcount=&quot;6&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CY&quot; infos=&quot;&quot; iscomment=&quot;0&quot;&gt;&lt;SELECT&gt;/BBOOK/DATAPROVIDER[./META/PROPS/ID='FARCCY']/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6:28&lt;/DYNAMIZEDON&gt;&lt;LASTUPDATEDBY&gt;preutan&lt;/LASTUPDATEDBY&gt;&lt;LASTUPDATEDON&gt;19/06/2017 13:06:28&lt;/LASTUPDATEDON&gt;&lt;UTC&gt;1&lt;/UTC&gt;&lt;/UPDATE&gt;&lt;QUERIES bbk=&quot;9054&quot; bbkdesc=&quot;2016 Annual Accounts/EU Annual Accounts/DC - Credit risk (xlsx)&quot; datapro=&quot;FARCPY&quot; tdatapro=&quot;FARCPY&quot; author=&quot;&quot; modtime=&quot;6/19/2017 1:05:02 PM&quot; moduser=&quot;preutan&quot; rolluptime=&quot;&quot; syuser=&quot;preutan&quot; syuzeit=&quot;6/19/2017 1:05:02 PM&quot; root=&quot;/BBOOK/DATAPROVIDER[./META/PROPS/ID='FARCPY']/DATA&quot; colcount=&quot;5&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PY&quot; infos=&quot;&quot; iscomment=&quot;0&quot;&gt;&lt;SELECT&gt;/BBOOK/DATAPROVIDER[./META/PROPS/ID='FARCPY']/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8:23&lt;/DYNAMIZEDON&gt;&lt;LASTUPDATEDBY&gt;preutan&lt;/LASTUPDATEDBY&gt;&lt;LASTUPDATEDON&gt;19/06/2017 13:08:23&lt;/LASTUPDATEDON&gt;&lt;UTC&gt;1&lt;/UTC&gt;&lt;/UPDATE&gt;&lt;QUERIES bbk=&quot;9055&quot; bbkdesc=&quot;2016 Annual Accounts/EU Annual Accounts/DC - Maturity analysis of financial liabilities (xlsx)&quot; datapro=&quot;LR&quot; tdatapro=&quot;LR&quot; author=&quot;&quot; modtime=&quot;6/28/2016 12:39:01 PM&quot; moduser=&quot;koehlmn&quot; rolluptime=&quot;&quot; syuser=&quot;koehlmn&quot; syuzeit=&quot;6/28/2016 12:39:01 PM&quot; root=&quot;/BBOOK/DATAPROVIDER[./META/PROPS/ID='FARCPY']/DATA&quot; colcount=&quot;5&quot; rowcount=&quot;10&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9:06&lt;/DYNAMIZEDON&gt;&lt;LASTUPDATEDBY&gt;preutan&lt;/LASTUPDATEDBY&gt;&lt;LASTUPDATEDON&gt;19/06/2017 13:09:06&lt;/LASTUPDATEDON&gt;&lt;UTC&gt;1&lt;/UTC&gt;&lt;/UPDATE&gt;&lt;QUERIES bbk=&quot;9055&quot; bbkdesc=&quot;2016 Annual Accounts/EU Annual Accounts/DC - Maturity analysis of financial liabilities (xlsx)&quot; datapro=&quot;LRFL&quot; tdatapro=&quot;LRFL&quot; author=&quot;&quot; modtime=&quot;6/12/2017 9:05:22 AM&quot; moduser=&quot;preutan&quot; rolluptime=&quot;&quot; syuser=&quot;preutan&quot; syuzeit=&quot;6/12/2017 9:05:22 AM&quot; root=&quot;/BBOOK/DATAPROVIDER[./META/PROPS/ID='LRFL']/DATA&quot; colcount=&quot;5&quot; rowcount=&quot;5&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FL&quot; infos=&quot;&quot; iscomment=&quot;0&quot;&gt;&lt;SELECT&gt;/BBOOK/DATAPROVIDER[./META/PROPS/ID='LRFL']/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1/02/2016 09:39:45&lt;/DYNAMIZEDON&gt;&lt;LASTUPDATEDBY&gt;preutan&lt;/LASTUPDATEDBY&gt;&lt;LASTUPDATEDON&gt;6/12/2017 2:31:58 PM&lt;/LASTUPDATEDON&gt;&lt;UTC&gt;1&lt;/UTC&gt;&lt;/UPDATE&gt;&lt;QUERIES bbk=&quot;9011&quot; bbkdesc=&quot;2016 Annual Accounts/EU Annual Accounts/DC - Related party disclosures (xlsx)&quot; datapro=&quot;KM&quot; tdatapro=&quot;KM&quot; author=&quot;&quot; modtime=&quot;10/30/2015 2:58:00 PM&quot; moduser=&quot;milemar&quot; rolluptime=&quot;&quot; syuser=&quot;milemar&quot; syuzeit=&quot;10/30/2015 2:58:00 PM&quot; root=&quot;/DATA&quot; colcount=&quot;6&quot; rowcount=&quot;45&quot; url=&quot;&quot; dynamizeds=&quot;SAP Disclosure Management - Production&quot; dynamizedstype=&quot;9&quot; refreshds=&quot;&quot; viewtype=&quot;1&quot;&gt;&lt;QUERY reftype=&quot;ABS&quot; elmntsel=&quot;TABLE&quot; bbk=&quot;9011&quot; bbkdesc=&quot;2016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7/06/2017 09:03:12&lt;/DYNAMIZEDON&gt;&lt;LASTUPDATEDBY&gt;preutan&lt;/LASTUPDATEDBY&gt;&lt;LASTUPDATEDON&gt;6/9/2017 12:45:29 PM&lt;/LASTUPDATEDON&gt;&lt;UTC&gt;1&lt;/UTC&gt;&lt;/UPDATE&gt;&lt;QUERIES bbk=&quot;9012&quot; bbkdesc=&quot;2016 Annual Accounts/EU Annual Accounts/DC - Scope of consolidation EU (xlsx)&quot; datapro=&quot;CONSO&quot; tdatapro=&quot;CONSO&quot; author=&quot;&quot; modtime=&quot;3/16/2016 9:18:06 PM&quot; moduser=&quot;koehlmn&quot; rolluptime=&quot;&quot; syuser=&quot;koehlmn&quot; syuzeit=&quot;3/16/2016 9:18:06 PM&quot; root=&quot;/DATA&quot; colcount=&quot;2&quot; rowcount=&quot;46&quot; url=&quot;&quot; dynamizeds=&quot;SAP Disclosure Management - Production&quot; dynamizedstype=&quot;9&quot; refreshds=&quot;&quot; viewtype=&quot;1&quot;&gt;&lt;QUERY reftype=&quot;ABS&quot; elmntsel=&quot;TABLE&quot; bbk=&quot;9012&quot; bbkdesc=&quot;2016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2:23&lt;/DYNAMIZEDON&gt;&lt;LASTUPDATEDBY&gt;preutan&lt;/LASTUPDATEDBY&gt;&lt;LASTUPDATEDON&gt;6/15/2017 8:42:58 AM&lt;/LASTUPDATEDON&gt;&lt;UTC&gt;1&lt;/UTC&gt;&lt;/UPDATE&gt;&lt;QUERIES bbk=&quot;9032&quot; bbkdesc=&quot;2016 Annual Accounts/EU Annual Accounts/DC - Result of implementation of the EU budget (xlsx)&quot; datapro=&quot;EuBudgRes&quot; tdatapro=&quot;EuBudgRes&quot; author=&quot;&quot; modtime=&quot;4/24/2017 10:02:54 AM&quot; moduser=&quot;preutan&quot; rolluptime=&quot;&quot; syuser=&quot;preutan&quot; syuzeit=&quot;4/24/2017 10:02:54 AM&quot; root=&quot;/DATA&quot; colcount=&quot;3&quot; rowcount=&quot;9&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EuBudgRes&quot; infos=&quot;&quot; iscomment=&quot;0&quot;&gt;&lt;SELECT&gt;/BBOOK/DATAPROVIDER[./META/PROPS/ID='EuBudgRes']/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5:20&lt;/DYNAMIZEDON&gt;&lt;LASTUPDATEDBY&gt;preutan&lt;/LASTUPDATEDBY&gt;&lt;LASTUPDATEDON&gt;6/15/2017 8:43:08 AM&lt;/LASTUPDATEDON&gt;&lt;UTC&gt;1&lt;/UTC&gt;&lt;/UPDATE&gt;&lt;QUERIES bbk=&quot;9032&quot; bbkdesc=&quot;2016 Annual Accounts/EU Annual Accounts/DC - Result of implementation of the EU budget (xlsx)&quot; datapro=&quot;BudgRevAct&quot; tdatapro=&quot;BudgRevAct&quot; author=&quot;&quot; modtime=&quot;4/25/2017 8:05:59 AM&quot; moduser=&quot;porteca&quot; rolluptime=&quot;&quot; syuser=&quot;porteca&quot; syuzeit=&quot;4/25/2017 8:05:59 AM&quot; root=&quot;/DATA&quot; colcount=&quot;6&quot; rowcount=&quot;17&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RevAct&quot; infos=&quot;&quot; iscomment=&quot;0&quot;&gt;&lt;SELECT&gt;/BBOOK/DATAPROVIDER[./META/PROPS/ID='BudgRevAct']/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7:27&lt;/DYNAMIZEDON&gt;&lt;LASTUPDATEDBY&gt;preutan&lt;/LASTUPDATEDBY&gt;&lt;LASTUPDATEDON&gt;6/15/2017 8:42:59 AM&lt;/LASTUPDATEDON&gt;&lt;UTC&gt;1&lt;/UTC&gt;&lt;/UPDATE&gt;&lt;QUERIES bbk=&quot;9032&quot; bbkdesc=&quot;2016 Annual Accounts/EU Annual Accounts/DC - Result of implementation of the EU budget (xlsx)&quot; datapro=&quot;BudgCommMFF&quot; tdatapro=&quot;BudgCommMFF&quot; author=&quot;&quot; modtime=&quot;5/23/2017 12:46:02 PM&quot; moduser=&quot;preutan&quot; rolluptime=&quot;&quot; syuser=&quot;preutan&quot; syuzeit=&quot;5/23/2017 12:46:02 PM&quot; root=&quot;/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CommMFF&quot; infos=&quot;&quot; iscomment=&quot;0&quot;&gt;&lt;SELECT&gt;/BBOOK/DATAPROVIDER[./META/PROPS/ID='BudgCommMFF']/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8:20&lt;/DYNAMIZEDON&gt;&lt;LASTUPDATEDBY&gt;preutan&lt;/LASTUPDATEDBY&gt;&lt;LASTUPDATEDON&gt;6/15/2017 8:42:59 AM&lt;/LASTUPDATEDON&gt;&lt;UTC&gt;1&lt;/UTC&gt;&lt;/UPDATE&gt;&lt;QUERIES bbk=&quot;9032&quot; bbkdesc=&quot;2016 Annual Accounts/EU Annual Accounts/DC - Result of implementation of the EU budget (xlsx)&quot; datapro=&quot;BudgPayMFF&quot; tdatapro=&quot;BudgPayMFF&quot; author=&quot;&quot; modtime=&quot;6/9/2017 1:22:07 PM&quot; moduser=&quot;preutan&quot; rolluptime=&quot;&quot; syuser=&quot;preutan&quot; syuzeit=&quot;6/9/2017 1:22:07 PM&quot; root=&quot;/BBOOK/DATAPROVIDER[./META/PROPS/ID='BudgPayMFF']/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PayMFF&quot; infos=&quot;&quot; iscomment=&quot;0&quot;&gt;&lt;SELECT&gt;/BBOOK/DATAPROVIDER[./META/PROPS/ID='BudgPayMFF']/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3:35:42&lt;/DYNAMIZEDON&gt;&lt;LASTUPDATEDBY&gt;preutan&lt;/LASTUPDATEDBY&gt;&lt;LASTUPDATEDON&gt;6/9/2017 1:11:00 PM&lt;/LASTUPDATEDON&gt;&lt;UTC&gt;1&lt;/UTC&gt;&lt;/UPDATE&gt;&lt;QUERIES bbk=&quot;8985&quot; bbkdesc=&quot;2016 Annual Accounts/EU Annual Accounts/DC - Financial framework 2014 - 2020 (xlsx)&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8985&quot; bbkdesc=&quot;2016 Annual Accounts/EU Annual Accounts 2015/DC - Financial framework 2014 - 2020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7/03/2017 09:01:08&lt;/DYNAMIZEDON&gt;&lt;LASTUPDATEDBY&gt;preutan&lt;/LASTUPDATEDBY&gt;&lt;LASTUPDATEDON&gt;6/15/2017 8:42:57 AM&lt;/LASTUPDATEDON&gt;&lt;UTC&gt;1&lt;/UTC&gt;&lt;/UPDATE&gt;&lt;QUERIES bbk=&quot;8973&quot; bbkdesc=&quot;2016 Annual Accounts/EU Annual Accounts/DC - EU Reconciliation of economic result (xlsx)&quot; datapro=&quot;BIP_Reconciliation&quot; tdatapro=&quot;BIP_Reconciliation&quot; author=&quot;&quot; modtime=&quot;6/13/2017 3:06:04 PM&quot; moduser=&quot;koehlmn&quot; rolluptime=&quot;&quot; syuser=&quot;koehlmn&quot; syuzeit=&quot;6/13/2017 3:06:04 PM&quot; root=&quot;/BBOOK/DATAPROVIDER[./META/PROPS/ID='BIP_Reconciliation']/DATA&quot; colcount=&quot;3&quot; rowcount=&quot;20&quot; url=&quot;&quot; dynamizeds=&quot;Disclosure Management - Production&quot; dynamizedstype=&quot;9&quot; refreshds=&quot;&quot; viewtype=&quot;1&quot;&gt;&lt;QUERY reftype=&quot;ABS&quot; elmntsel=&quot;TABLE&quot; bbk=&quot;8973&quot; bbkdesc=&quot;2016 Annual Accounts/EU Annual Accounts/DC - EU Reconciliation of economic result (xlsx)&quot; datapro=&quot;BIP_Reconciliation&quot; infos=&quot;&quot; iscomment=&quot;0&quot;&gt;&lt;SELECT&gt;/BBOOK/DATAPROVIDER[./META/PROPS/ID='BIP_Reconciliation']/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4/2017 16:13:57&lt;/DYNAMIZEDON&gt;&lt;LASTUPDATEDBY&gt;preutan&lt;/LASTUPDATEDBY&gt;&lt;LASTUPDATEDON&gt;6/15/2017 8:43:09 AM&lt;/LASTUPDATEDON&gt;&lt;UTC&gt;1&lt;/UTC&gt;&lt;/UPDATE&gt;&lt;QUERIES bbk=&quot;9035&quot; bbkdesc=&quot;2016 Annual Accounts/EU Annual Accounts/DC - EU revenues (xlsx)&quot; datapro=&quot;ImplRevenue1&quot; tdatapro=&quot;ImplRevenue1&quot; author=&quot;&quot; modtime=&quot;6/9/2017 1:22:08 PM&quot; moduser=&quot;preutan&quot; rolluptime=&quot;&quot; syuser=&quot;preutan&quot; syuzeit=&quot;6/9/2017 1:22:08 PM&quot; root=&quot;/BBOOK/DATAPROVIDER[./META/PROPS/ID='ImplRevenue1']/DATA&quot; colcount=&quot;12&quot; rowcount=&quot;12&quot; url=&quot;&quot; dynamizeds=&quot;SAP Disclosure Management - Production&quot; dynamizedstype=&quot;9&quot; refreshds=&quot;&quot; viewtype=&quot;1&quot;&gt;&lt;QUERY reftype=&quot;ABS&quot; elmntsel=&quot;TABLE&quot; bbk=&quot;9035&quot; bbkdesc=&quot;2016 Annual Accounts/EU Annual Accounts/DC - EU revenues (xlsx)&quot; datapro=&quot;ImplRevenue1&quot; infos=&quot;&quot; iscomment=&quot;0&quot;&gt;&lt;SELECT&gt;/BBOOK/DATAPROVIDER[./META/PROPS/ID='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2:36 PM&lt;/DYNAMIZEDON&gt;&lt;LASTUPDATEDBY&gt;preutan&lt;/LASTUPDATEDBY&gt;&lt;LASTUPDATEDON&gt;6/15/2017 8:43:04 AM&lt;/LASTUPDATEDON&gt;&lt;UTC&gt;1&lt;/UTC&gt;&lt;/UPDATE&gt;&lt;QUERIES bbk=&quot;9036&quot; bbkdesc=&quot;2016 Annual Accounts/EU Annual Accounts/DC - EU Expenditures (xlsx)&quot; datapro=&quot;MFFChangeCommPay&quot; tdatapro=&quot;MFFChangeCommPay&quot; author=&quot;&quot; modtime=&quot;6/9/2017 1:22:08 PM&quot; moduser=&quot;preutan&quot; rolluptime=&quot;&quot; syuser=&quot;preutan&quot; syuzeit=&quot;6/9/2017 1:22:08 PM&quot; root=&quot;/BBOOK/DATAPROVIDER[./META/PROPS/ID='MFFmovcomoutral']/DATA&quot; colcount=&quot;14&quot; rowcount=&quot;1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hangeCommPay&quot; infos=&quot;&quot; iscomment=&quot;0&quot;&gt;&lt;SELECT&gt;/BBOOK/DATAPROVIDER[./META/PROPS/ID='MFFChangeCommPay']/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4:43 PM&lt;/DYNAMIZEDON&gt;&lt;LASTUPDATEDBY&gt;preutan&lt;/LASTUPDATEDBY&gt;&lt;LASTUPDATEDON&gt;6/15/2017 8:43:04 AM&lt;/LASTUPDATEDON&gt;&lt;UTC&gt;1&lt;/UTC&gt;&lt;/UPDATE&gt;&lt;QUERIES bbk=&quot;9036&quot; bbkdesc=&quot;2016 Annual Accounts/EU Annual Accounts/DC - EU Expenditures (xlsx)&quot; datapro=&quot;ImplCommAppr&quot; tdatapro=&quot;ImplCommAppr&quot; author=&quot;&quot; modtime=&quot;6/9/2017 1:22:08 PM&quot; moduser=&quot;preutan&quot; rolluptime=&quot;&quot; syuser=&quot;preutan&quot; syuzeit=&quot;6/9/2017 1:22:08 PM&quot; root=&quot;/BBOOK/DATAPROVIDER[./META/PROPS/ID='ImplCommAppr']/DATA&quot; colcount=&quot;15&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lCommAppr&quot; infos=&quot;&quot; iscomment=&quot;0&quot;&gt;&lt;SELECT&gt;/BBOOK/DATAPROVIDER[./META/PROPS/ID='ImplCommAppr']/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3:34&lt;/DYNAMIZEDON&gt;&lt;LASTUPDATEDBY&gt;preutan&lt;/LASTUPDATEDBY&gt;&lt;LASTUPDATEDON&gt;6/15/2017 8:43:04 AM&lt;/LASTUPDATEDON&gt;&lt;UTC&gt;1&lt;/UTC&gt;&lt;/UPDATE&gt;&lt;QUERIES bbk=&quot;9036&quot; bbkdesc=&quot;2016 Annual Accounts/EU Annual Accounts/DC - EU Expenditures (xlsx)&quot; datapro=&quot;MFFImplPayAppro&quot; tdatapro=&quot;MFFImplPayAppro&quot; author=&quot;&quot; modtime=&quot;6/9/2017 1:22:08 PM&quot; moduser=&quot;preutan&quot; rolluptime=&quot;&quot; syuser=&quot;preutan&quot; syuzeit=&quot;6/9/2017 1:22:08 PM&quot; root=&quot;/DATA&quot; colcount=&quot;16&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ImplPayAppro&quot; infos=&quot;&quot; iscomment=&quot;0&quot;&gt;&lt;SELECT&gt;/BBOOK/DATAPROVIDER[./META/PROPS/ID='MFFImplPayAppro']/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4:53&lt;/DYNAMIZEDON&gt;&lt;LASTUPDATEDBY&gt;preutan&lt;/LASTUPDATEDBY&gt;&lt;LASTUPDATEDON&gt;6/15/2017 8:43:04 AM&lt;/LASTUPDATEDON&gt;&lt;UTC&gt;1&lt;/UTC&gt;&lt;/UPDATE&gt;&lt;QUERIES bbk=&quot;9036&quot; bbkdesc=&quot;2016 Annual Accounts/EU Annual Accounts/DC - EU Expenditures (xlsx)&quot; datapro=&quot;MFFmovcomoutral&quot; tdatapro=&quot;MFFmovcomoutral&quot; author=&quot;&quot; modtime=&quot;6/9/2017 1:22:08 PM&quot; moduser=&quot;preutan&quot; rolluptime=&quot;&quot; syuser=&quot;preutan&quot; syuzeit=&quot;6/9/2017 1:22:08 PM&quot; root=&quot;/BBOOK/DATAPROVIDER[./META/PROPS/ID='MFFmovcomoutral']/DATA&quot; colcount=&quot;11&quot; rowcount=&quot;16&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movcomoutral&quot; infos=&quot;&quot; iscomment=&quot;0&quot;&gt;&lt;SELECT&gt;/BBOOK/DATAPROVIDER[./META/PROPS/ID='MFFmovcomoutral']/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0:11:35&lt;/DYNAMIZEDON&gt;&lt;LASTUPDATEDBY&gt;preutan&lt;/LASTUPDATEDBY&gt;&lt;LASTUPDATEDON&gt;6/15/2017 8:43:03 AM&lt;/LASTUPDATEDON&gt;&lt;UTC&gt;1&lt;/UTC&gt;&lt;/UPDATE&gt;&lt;QUERIES bbk=&quot;9036&quot; bbkdesc=&quot;2016 Annual Accounts/EU Annual Accounts/DC - EU Expenditures (xlsx)&quot; datapro=&quot;MFFComoutyear&quot; tdatapro=&quot;MFFComoutyear&quot; author=&quot;&quot; modtime=&quot;5/23/2017 3:24:16 PM&quot; moduser=&quot;preutan&quot; rolluptime=&quot;&quot; syuser=&quot;preutan&quot; syuzeit=&quot;5/23/2017 3:24:16 PM&quot; root=&quot;/DATA&quot; colcount=&quot;11&quot; rowcount=&quot;13&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omoutyear&quot; infos=&quot;&quot; iscomment=&quot;0&quot;&gt;&lt;SELECT&gt;/BBOOK/DATAPROVIDER[./META/PROPS/ID='MFFComoutyear']/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0:34 PM&lt;/DYNAMIZEDON&gt;&lt;LASTUPDATEDBY&gt;preutan&lt;/LASTUPDATEDBY&gt;&lt;LASTUPDATEDON&gt;6/15/2017 8:43:04 AM&lt;/LASTUPDATEDON&gt;&lt;UTC&gt;1&lt;/UTC&gt;&lt;/UPDATE&gt;&lt;QUERIES bbk=&quot;9036&quot; bbkdesc=&quot;2016 Annual Accounts/EU Annual Accounts/DC - EU Expenditures (xlsx)&quot; datapro=&quot;Breachancompay&quot; tdatapro=&quot;Breachancompay&quot; author=&quot;&quot; modtime=&quot;6/9/2017 1:22:08 PM&quot; moduser=&quot;preutan&quot; rolluptime=&quot;&quot; syuser=&quot;preutan&quot; syuzeit=&quot;6/9/2017 1:22:08 PM&quot; root=&quot;/BBOOK/DATAPROVIDER[./META/PROPS/ID='Breachancompay']/DATA&quot; colcount=&quot;14&quot; rowcount=&quot;42&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Breachancompay&quot; infos=&quot;&quot; iscomment=&quot;0&quot;&gt;&lt;SELECT&gt;/BBOOK/DATAPROVIDER[./META/PROPS/ID='Breachancompay']/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25:22&lt;/DYNAMIZEDON&gt;&lt;LASTUPDATEDBY&gt;preutan&lt;/LASTUPDATEDBY&gt;&lt;LASTUPDATEDON&gt;6/15/2017 8:43:04 AM&lt;/LASTUPDATEDON&gt;&lt;UTC&gt;1&lt;/UTC&gt;&lt;/UPDATE&gt;&lt;QUERIES bbk=&quot;9036&quot; bbkdesc=&quot;2016 Annual Accounts/EU Annual Accounts/DC - EU Expenditures (xlsx)&quot; datapro=&quot;PAImplCommAppr&quot; tdatapro=&quot;PAImplCommAppr&quot; author=&quot;&quot; modtime=&quot;6/9/2017 1:22:08 PM&quot; moduser=&quot;preutan&quot; rolluptime=&quot;&quot; syuser=&quot;preutan&quot; syuzeit=&quot;6/9/2017 1:22:08 PM&quot; root=&quot;/BBOOK/DATAPROVIDER[./META/PROPS/ID='PAImplCommAppr']/DATA&quot; colcount=&quot;15&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PAImplCommAppr&quot; infos=&quot;&quot; iscomment=&quot;0&quot;&gt;&lt;SELECT&gt;/BBOOK/DATAPROVIDER[./META/PROPS/ID='PAImplCommAppr']/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5:01:08 PM&lt;/DYNAMIZEDON&gt;&lt;LASTUPDATEDBY&gt;preutan&lt;/LASTUPDATEDBY&gt;&lt;LASTUPDATEDON&gt;6/15/2017 8:43:04 AM&lt;/LASTUPDATEDON&gt;&lt;UTC&gt;1&lt;/UTC&gt;&lt;/UPDATE&gt;&lt;QUERIES bbk=&quot;9036&quot; bbkdesc=&quot;2016 Annual Accounts/EU Annual Accounts/DC - EU Expenditures (xlsx)&quot; datapro=&quot;Impofpayappro&quot; tdatapro=&quot;Impofpayappro&quot; author=&quot;&quot; modtime=&quot;6/9/2017 1:22:08 PM&quot; moduser=&quot;preutan&quot; rolluptime=&quot;&quot; syuser=&quot;preutan&quot; syuzeit=&quot;6/9/2017 1:22:08 PM&quot; root=&quot;/BBOOK/DATAPROVIDER[./META/PROPS/ID='Impofpayappro']/DATA&quot; colcount=&quot;16&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ofpayappro&quot; infos=&quot;&quot; iscomment=&quot;0&quot;&gt;&lt;SELECT&gt;/BBOOK/DATAPROVIDER[./META/PROPS/ID='Impofpayappro']/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6:59 PM&lt;/DYNAMIZEDON&gt;&lt;LASTUPDATEDBY&gt;preutan&lt;/LASTUPDATEDBY&gt;&lt;LASTUPDATEDON&gt;6/15/2017 8:43:03 AM&lt;/LASTUPDATEDON&gt;&lt;UTC&gt;1&lt;/UTC&gt;&lt;/UPDATE&gt;&lt;QUERIES bbk=&quot;9036&quot; bbkdesc=&quot;2016 Annual Accounts/EU Annual Accounts/DC - EU Expenditures (xlsx)&quot; datapro=&quot;MovComoutral&quot; tdatapro=&quot;MovComoutral&quot; author=&quot;&quot; modtime=&quot;6/9/2017 1:22:08 PM&quot; moduser=&quot;preutan&quot; rolluptime=&quot;&quot; syuser=&quot;preutan&quot; syuzeit=&quot;6/9/2017 1:22:08 PM&quot; root=&quot;/BBOOK/DATAPROVIDER[./META/PROPS/ID='MovComoutral']/DATA&quot; colcount=&quot;11&quot; rowcount=&quot;39&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ovComoutral&quot; infos=&quot;&quot; iscomment=&quot;0&quot;&gt;&lt;SELECT&gt;/BBOOK/DATAPROVIDER[./META/PROPS/ID='MovComoutral']/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6/06/2017 13:16:16&lt;/DYNAMIZEDON&gt;&lt;LASTUPDATEDBY&gt;preutan&lt;/LASTUPDATEDBY&gt;&lt;LASTUPDATEDON&gt;6/15/2017 8:43:04 AM&lt;/LASTUPDATEDON&gt;&lt;UTC&gt;1&lt;/UTC&gt;&lt;/UPDATE&gt;&lt;QUERIES bbk=&quot;9036&quot; bbkdesc=&quot;2016 Annual Accounts/EU Annual Accounts/DC - EU Expenditures (xlsx)&quot; datapro=&quot;Comoutyearorigi&quot; tdatapro=&quot;Comoutyearorigi&quot; author=&quot;&quot; modtime=&quot;6/9/2017 1:22:08 PM&quot; moduser=&quot;preutan&quot; rolluptime=&quot;&quot; syuser=&quot;preutan&quot; syuzeit=&quot;6/9/2017 1:22:08 PM&quot; root=&quot;/BBOOK/DATAPROVIDER[./META/PROPS/ID='Comoutyearorigi']/DATA&quot; colcount=&quot;11&quot; rowcount=&quot;3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Comoutyearorigi&quot; infos=&quot;&quot; iscomment=&quot;0&quot;&gt;&lt;SELECT&gt;/BBOOK/DATAPROVIDER[./META/PROPS/ID='Comoutyearorigi']/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4/20/2017 4:23:38 PM&lt;/DYNAMIZEDON&gt;&lt;LASTUPDATEDBY&gt;preutan&lt;/LASTUPDATEDBY&gt;&lt;LASTUPDATEDON&gt;6/15/2017 8:43:30 AM&lt;/LASTUPDATEDON&gt;&lt;UTC&gt;1&lt;/UTC&gt;&lt;/UPDATE&gt;&lt;QUERIES bbk=&quot;10651&quot; bbkdesc=&quot;2016 Annual Accounts/EU Annual Accounts/DC - Institutions and agencies (xlsx)&quot; datapro=&quot;ImplBudgetRevInstitution&quot; tdatapro=&quot;ImplBudgetRevInstitution&quot; author=&quot;&quot; modtime=&quot;6/15/2017 8:43:23 AM&quot; moduser=&quot;preutan&quot; rolluptime=&quot;&quot; syuser=&quot;preutan&quot; syuzeit=&quot;6/15/2017 8:43:23 AM&quot; root=&quot;/BBOOK/DATAPROVIDER[./META/PROPS/ID='ImplBudgetRevInstitution']/DATA&quot; colcount=&quot;11&quot; rowcount=&quot;1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mplBudgetRevInstitution&quot; infos=&quot;&quot; iscomment=&quot;0&quot;&gt;&lt;SELECT&gt;/BBOOK/DATAPROVIDER[./META/PROPS/ID='ImplBudgetRevInstitutio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4/04/2017 18:16:16&lt;/DYNAMIZEDON&gt;&lt;LASTUPDATEDBY&gt;preutan&lt;/LASTUPDATEDBY&gt;&lt;LASTUPDATEDON&gt;6/15/2017 8:43:30 AM&lt;/LASTUPDATEDON&gt;&lt;UTC&gt;1&lt;/UTC&gt;&lt;/UPDATE&gt;&lt;QUERIES bbk=&quot;10651&quot; bbkdesc=&quot;2016 Annual Accounts/EU Annual Accounts/DC - Institutions and agencies (xlsx)&quot; datapro=&quot;InstCommAppr&quot; tdatapro=&quot;InstCommAppr&quot; author=&quot;&quot; modtime=&quot;6/15/2017 8:43:23 AM&quot; moduser=&quot;preutan&quot; rolluptime=&quot;&quot; syuser=&quot;preutan&quot; syuzeit=&quot;6/15/2017 8:43:23 AM&quot; root=&quot;/BBOOK/DATAPROVIDER[./META/PROPS/ID='InstCommAppr']/DATA&quot; colcount=&quot;14&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CommAppr&quot; infos=&quot;&quot; iscomment=&quot;0&quot;&gt;&lt;SELECT&gt;/BBOOK/DATAPROVIDER[./META/PROPS/ID='InstCommAppr']/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44:32&lt;/DYNAMIZEDON&gt;&lt;LASTUPDATEDBY&gt;preutan&lt;/LASTUPDATEDBY&gt;&lt;LASTUPDATEDON&gt;6/15/2017 8:43:30 AM&lt;/LASTUPDATEDON&gt;&lt;UTC&gt;1&lt;/UTC&gt;&lt;/UPDATE&gt;&lt;QUERIES bbk=&quot;10651&quot; bbkdesc=&quot;2016 Annual Accounts/EU Annual Accounts/DC - Institutions and agencies (xlsx)&quot; datapro=&quot;InstPayAppr&quot; tdatapro=&quot;InstPayAppr&quot; author=&quot;&quot; modtime=&quot;6/15/2017 8:43:23 AM&quot; moduser=&quot;preutan&quot; rolluptime=&quot;&quot; syuser=&quot;preutan&quot; syuzeit=&quot;6/15/2017 8:43:23 AM&quot; root=&quot;/BBOOK/DATAPROVIDER[./META/PROPS/ID='InstPayAppr']/DATA&quot; colcount=&quot;15&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PayAppr&quot; infos=&quot;&quot; iscomment=&quot;0&quot;&gt;&lt;SELECT&gt;/BBOOK/DATAPROVIDER[./META/PROPS/ID='InstPayAppr']/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3:44:18&lt;/DYNAMIZEDON&gt;&lt;LASTUPDATEDBY&gt;preutan&lt;/LASTUPDATEDBY&gt;&lt;LASTUPDATEDON&gt;16/06/2017 13:44:18&lt;/LASTUPDATEDON&gt;&lt;UTC&gt;1&lt;/UTC&gt;&lt;/UPDATE&gt;&lt;QUERIES bbk=&quot;10651&quot; bbkdesc=&quot;2016 Annual Accounts/EU Annual Accounts/DC - Institutions and agencies (xlsx)&quot; datapro=&quot;AgBudgRev&quot; tdatapro=&quot;AgBudgRev&quot; author=&quot;&quot; modtime=&quot;6/15/2017 8:37:31 AM&quot; moduser=&quot;preutan&quot; rolluptime=&quot;&quot; syuser=&quot;preutan&quot; syuzeit=&quot;6/15/2017 8:37:31 AM&quot; root=&quot;/DATA&quot; colcount=&quot;4&quot; rowcount=&quot;43&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quot; infos=&quot;&quot; iscomment=&quot;0&quot;&gt;&lt;SELECT&gt;/BBOOK/DATAPROVIDER[./META/PROPS/ID='AgBudgRev']/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09:47:13&lt;/DYNAMIZEDON&gt;&lt;LASTUPDATEDBY&gt;preutan&lt;/LASTUPDATEDBY&gt;&lt;LASTUPDATEDON&gt;6/15/2017 8:43:01 AM&lt;/LASTUPDATEDON&gt;&lt;UTC&gt;1&lt;/UTC&gt;&lt;/UPDATE&gt;&lt;QUERIES bbk=&quot;10651&quot; bbkdesc=&quot;2016 Annual Accounts/EU Annual Accounts/DC - Institutions and agencies (xlsx)&quot; datapro=&quot;AgBudgRevType&quot; tdatapro=&quot;AgBudgRevType&quot; author=&quot;&quot; modtime=&quot;5/23/2017 2:03:43 PM&quot; moduser=&quot;preutan&quot; rolluptime=&quot;&quot; syuser=&quot;preutan&quot; syuzeit=&quot;5/23/2017 2:03:43 PM&quot; root=&quot;/DATA&quot; colcount=&quot;3&quot; rowcount=&quot;6&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Type&quot; infos=&quot;&quot; iscomment=&quot;0&quot;&gt;&lt;SELECT&gt;/BBOOK/DATAPROVIDER[./META/PROPS/ID='AgBudgRevType']/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37:30&lt;/DYNAMIZEDON&gt;&lt;LASTUPDATEDBY&gt;preutan&lt;/LASTUPDATEDBY&gt;&lt;LASTUPDATEDON&gt;6/15/2017 8:43:01 AM&lt;/LASTUPDATEDON&gt;&lt;UTC&gt;1&lt;/UTC&gt;&lt;/UPDATE&gt;&lt;QUERIES bbk=&quot;10651&quot; bbkdesc=&quot;2016 Annual Accounts/EU Annual Accounts/DC - Institutions and agencies (xlsx)&quot; datapro=&quot;ComPayAppr&quot; tdatapro=&quot;ComPayAppr&quot; author=&quot;&quot; modtime=&quot;4/20/2017 1:14:15 PM&quot; moduser=&quot;servela&quot; rolluptime=&quot;&quot; syuser=&quot;servela&quot; syuzeit=&quot;4/20/2017 1:14:15 PM&quot; root=&quot;/DATA&quot; colcount=&quot;5&quot; rowcount=&quot;4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quot; infos=&quot;&quot; iscomment=&quot;0&quot;&gt;&lt;SELECT&gt;/BBOOK/DATAPROVIDER[./META/PROPS/ID='ComPayAppr']/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4:23:39&lt;/DYNAMIZEDON&gt;&lt;LASTUPDATEDBY&gt;preutan&lt;/LASTUPDATEDBY&gt;&lt;LASTUPDATEDON&gt;6/15/2017 8:43:01 AM&lt;/LASTUPDATEDON&gt;&lt;UTC&gt;1&lt;/UTC&gt;&lt;/UPDATE&gt;&lt;QUERIES bbk=&quot;10651&quot; bbkdesc=&quot;2016 Annual Accounts/EU Annual Accounts/DC - Institutions and agencies (xlsx)&quot; datapro=&quot;ComPayApprByAgenRev&quot; tdatapro=&quot;ComPayApprByAgenRev&quot; author=&quot;&quot; modtime=&quot;6/15/2017 8:37:31 AM&quot; moduser=&quot;preutan&quot; rolluptime=&quot;&quot; syuser=&quot;preutan&quot; syuzeit=&quot;6/15/2017 8:37:31 AM&quot; root=&quot;/BBOOK/DATAPROVIDER[./META/PROPS/ID='ComPayApprByAgenRev']/DATA&quot; colcount=&quot;5&quot; rowcount=&quot;7&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ByAgenRev&quot; infos=&quot;&quot; iscomment=&quot;0&quot;&gt;&lt;SELECT&gt;/BBOOK/DATAPROVIDER[./META/PROPS/ID='ComPayApprByAgenRev']/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9037&quot; bbdesc=&quot;2016 Annual Accounts/EU Annual Accounts/DC - Balance Sheet (xlsx)&quot; dsname=&quot;SAP Disclosure Management - Production&quot;&gt;&lt;VARIABLES /&gt;&lt;/BBOOK&gt;&lt;BBOOK bbname=&quot;9056&quot; bbdesc=&quot;2016 Annual Accounts/EU Annual Accounts/DC - Statement of Financial Performance (xlsx)&quot; dsname=&quot;SAP Disclosure Management - Production&quot;&gt;&lt;VARIABLES /&gt;&lt;/BBOOK&gt;&lt;BBOOK bbname=&quot;9057&quot; bbdesc=&quot;2016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9000&quot; bbdesc=&quot;2016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8943&quot; bbdesc=&quot;2016 Annual Accounts/EU Annual Accounts/DC - DeprecRates (xlsx)&quot; dsname=&quot;SAP Disclosure Management - Production&quot;&gt;&lt;VARIABLES /&gt;&lt;/BBOOK&gt;&lt;BBOOK bbname=&quot;8904&quot; bbdesc=&quot;2016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8999&quot; bbdesc=&quot;2016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9001&quot; bbdesc=&quot;2016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9066&quot; bbdesc=&quot;2016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8726&quot; bbdesc=&quot;2016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9067&quot; bbdesc=&quot;2016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9041&quot; bbdesc=&quot;2016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8957&quot; bbdesc=&quot;2016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9010&quot; bbdesc=&quot;2016 Annual Accounts/EU Annual Accounts/DC - Financial Support Mechanisms (xlsx)&quot; dsname=&quot;SAP Disclosure Management - Production&quot;&gt;&lt;VARIABLES /&gt;&lt;/BBOOK&gt;&lt;BBOOK bbname=&quot;8699&quot; bbdesc=&quot;2016 Annual Accounts/EC Annual Accounts/DC - Financial assets (xlsx)&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9068&quot; bbdesc=&quot;2016 Annual Accounts/EU Annual Accounts/DC - Pre-financing (xlsx)&quot; dsname=&quot;SAP Disclosure Management - Production&quot;&gt;&lt;VARIABLES /&gt;&lt;/BBOOK&gt;&lt;BBOOK bbname=&quot;9042&quot; bbdesc=&quot;2016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8701&quot; bbdesc=&quot;2016 Annual Accounts/EC Annual Accounts/DC - Pre-financing (xlsx)&quot; dsname=&quot;SAP Disclosure Management - Production&quot;&gt;&lt;VARIABLES /&gt;&lt;/BBOOK&gt;&lt;BBOOK bbname=&quot;9043&quot; bbdesc=&quot;2016 Annual Accounts/EU Annual Accounts/DC - Exchange receivables and Non-exchange recoverables (xlsx)&quot; dsname=&quot;SAP Disclosure Management - Production&quot;&gt;&lt;VARIABLES /&gt;&lt;/BBOOK&gt;&lt;BBOOK bbname=&quot;9044&quot; bbdesc=&quot;2016 Annual Accounts/EU Annual Accounts/DC - Recoverables from Member States (xlsx)&quot; dsname=&quot;SAP Disclosure Management - Production&quot;&gt;&lt;VARIABLES /&gt;&lt;/BBOOK&gt;&lt;BBOOK bbname=&quot;9045&quot; bbdesc=&quot;2016 Annual Accounts/EU Annual Accounts/DC - Accrued income and Deferred charges (xlsx)&quot; dsname=&quot;SAP Disclosure Management - Production&quot;&gt;&lt;VARIABLES /&gt;&lt;/BBOOK&gt;&lt;BBOOK bbname=&quot;9069&quot; bbdesc=&quot;2016 Annual Accounts/EU Annual Accounts/DC - Inventories (xlsx)&quot; dsname=&quot;SAP Disclosure Management - Production&quot;&gt;&lt;VARIABLES /&gt;&lt;/BBOOK&gt;&lt;BBOOK bbname=&quot;9070&quot; bbdesc=&quot;2016 Annual Accounts/EU Annual Accounts/DC - Cash and cash equivalents (xlsx)&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9071&quot; bbdesc=&quot;2016 Annual Accounts/EU Annual Accounts/DC - Pension and other employee benefit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9072&quot; bbdesc=&quot;2016 Annual Accounts/EU Annual Accounts/DC - Provisions (xlsx)&quot; dsname=&quot;SAP Disclosure Management - Production&quot;&gt;&lt;VARIABLES /&gt;&lt;/BBOOK&gt;&lt;BBOOK bbname=&quot;9073&quot; bbdesc=&quot;2016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9074&quot; bbdesc=&quot;2016 Annual Accounts/EU Annual Accounts/DC - Other financial liabilities (xlsx)&quot; dsname=&quot;SAP Disclosure Management - Production&quot;&gt;&lt;VARIABLES /&gt;&lt;/BBOOK&gt;&lt;BBOOK bbname=&quot;9075&quot; bbdesc=&quot;2016 Annual Accounts/EU Annual Accounts/DC - Finance Lease liabilities (xlsx)&quot; dsname=&quot;SAP Disclosure Management - Production&quot;&gt;&lt;VARIABLES /&gt;&lt;/BBOOK&gt;&lt;BBOOK bbname=&quot;8936&quot; bbdesc=&quot;2016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9047&quot; bbdesc=&quot;2016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9077&quot; bbdesc=&quot;2016 Annual Accounts/EU Annual Accounts/DC - Reserves (xlsx)&quot; dsname=&quot;SAP Disclosure Management - Production&quot;&gt;&lt;VARIABLES /&gt;&lt;/BBOOK&gt;&lt;BBOOK bbname=&quot;9082&quot; bbdesc=&quot;2016 Annual Accounts/EU Annual Accounts/DC - Fair value movements of available for sale financial assets (xlsx)&quot; dsname=&quot;SAP Disclosure Management - Production&quot;&gt;&lt;VARIABLES /&gt;&lt;/BBOOK&gt;&lt;BBOOK bbname=&quot;9078&quot; bbdesc=&quot;2016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8716&quot; bbdesc=&quot;2016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9079&quot; bbdesc=&quot;2016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9048&quot; bbdesc=&quot;2016 Annual Accounts/EU Annual Accounts/DC - Other non-exchange revenue (xlsx)&quot; dsname=&quot;SAP Disclosure Management - Production&quot;&gt;&lt;VARIABLES /&gt;&lt;/BBOOK&gt;&lt;BBOOK bbname=&quot;9058&quot; bbdesc=&quot;2016 Annual Accounts/EU Annual Accounts/DC - Financial income (xlsx)&quot; dsname=&quot;SAP Disclosure Management - Production&quot;&gt;&lt;VARIABLES /&gt;&lt;/BBOOK&gt;&lt;BBOOK bbname=&quot;9080&quot; bbdesc=&quot;2016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8678&quot; bbdesc=&quot;2016 Annual Accounts/EC Annual Accounts/DC - Shared Direct and Indirect Management (xlsx)&quot; dsname=&quot;Disclosure Management - Production&quot;&gt;&lt;VARIABLES /&gt;&lt;/BBOOK&gt;&lt;BBOOK bbname=&quot;8708&quot; bbdesc=&quot;2016 Annual Accounts/EC Annual Accounts/DC - Accrued charges and Deferred income (xlsx)&quot; dsname=&quot;Disclosure Management - Production&quot;&gt;&lt;VARIABLES /&gt;&lt;/BBOOK&gt;&lt;BBOOK bbname=&quot;9049&quot; bbdesc=&quot;2016 Annual Accounts/EU Annual Accounts/DC - Direct and Indirect Management (xlsx)&quot; dsname=&quot;Disclosure Management - Production&quot;&gt;&lt;VARIABLES /&gt;&lt;/BBOOK&gt;&lt;BBOOK bbname=&quot;9081&quot; bbdesc=&quot;2016 Annual Accounts/EU Annual Accounts/DC - Staff and Pension costs (xlsx)&quot; dsname=&quot;SAP Disclosure Management - Production&quot;&gt;&lt;VARIABLES /&gt;&lt;/BBOOK&gt;&lt;BBOOK bbname=&quot;9059&quot; bbdesc=&quot;2016 Annual Accounts/EU Annual Accounts/DC - Finance costs (xlsx)&quot; dsname=&quot;SAP Disclosure Management - Production&quot;&gt;&lt;VARIABLES /&gt;&lt;/BBOOK&gt;&lt;BBOOK bbname=&quot;9050&quot; bbdesc=&quot;2016 Annual Accounts/EU Annual Accounts/DC - Other expenses (xlsx)&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9061&quot; bbdesc=&quot;2016 Annual Accounts/EU Annual Accounts/DC - Research and Development costs (xlsx)&quot; dsname=&quot;SAP Disclosure Management - Production&quot;&gt;&lt;VARIABLES /&gt;&lt;/BBOOK&gt;&lt;BBOOK bbname=&quot;9051&quot; bbdesc=&quot;2016 Annual Accounts/EU Annual Accounts/DC - Segment report (xlsx)&quot; dsname=&quot;SAP Disclosure Management - Production&quot;&gt;&lt;VARIABLES /&gt;&lt;/BBOOK&gt;&lt;BBOOK bbname=&quot;9063&quot; bbdesc=&quot;2016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9062&quot; bbdesc=&quot;2016 Annual Accounts/EU Annual Accounts/DC - Contingent assets (xlsx)&quot; dsname=&quot;SAP Disclosure Management - Production&quot;&gt;&lt;VARIABLES /&gt;&lt;/BBOOK&gt;&lt;BBOOK bbname=&quot;9064&quot; bbdesc=&quot;2016 Annual Accounts/EU Annual Accounts/DC - Outstanding commitments not yet expensed (xlsx)&quot; dsname=&quot;SAP Disclosure Management - Production&quot;&gt;&lt;VARIABLES /&gt;&lt;/BBOOK&gt;&lt;BBOOK bbname=&quot;9065&quot; bbdesc=&quot;2016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8715&quot; bbdesc=&quot;2016 Annual Accounts/EC Annual Accounts/DC - Significant legal commitments (xlsx)&quot; dsname=&quot;Disclosure Management - Production&quot;&gt;&lt;VARIABLES /&gt;&lt;/BBOOK&gt;&lt;BBOOK bbname=&quot;9052&quot; bbdesc=&quot;2016 Annual Accounts/EU Annual Accounts/DC - Exposure of the EC to currency risk at year end (xlsx)&quot; dsname=&quot;SAP Disclosure Management - Production&quot;&gt;&lt;VARIABLES /&gt;&lt;/BBOOK&gt;&lt;BBOOK bbname=&quot;9053&quot; bbdesc=&quot;2016 Annual Accounts/EU Annual Accounts/DC - Interest rate risk (xlsx)&quot; dsname=&quot;SAP Disclosure Management - Production&quot;&gt;&lt;VARIABLES /&gt;&lt;/BBOOK&gt;&lt;BBOOK bbname=&quot;9054&quot; bbdesc=&quot;2016 Annual Accounts/EU Annual Accounts/DC - Credit risk (xlsx)&quot; dsname=&quot;SAP Disclosure Management - Production&quot;&gt;&lt;VARIABLES /&gt;&lt;/BBOOK&gt;&lt;BBOOK bbname=&quot;9055&quot; bbdesc=&quot;2016 Annual Accounts/EU Annual Accounts/DC - Maturity analysis of financial liabilities (xlsx)&quot; dsname=&quot;SAP Disclosure Management - Production&quot;&gt;&lt;VARIABLES /&gt;&lt;/BBOOK&gt;&lt;BBOOK bbname=&quot;9011&quot; bbdesc=&quot;2016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9012&quot; bbdesc=&quot;2016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32&quot; bbdesc=&quot;2016 Annual Accounts/EU Annual Accounts/DC - Result of implementation of the EU budget (xlsx)&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8973&quot; bbdesc=&quot;2016 Annual Accounts/EU Annual Accounts/DC - EU Reconciliation of economic result (xlsx)&quot; dsname=&quot;Disclosure Management - Production&quot;&gt;&lt;VARIABLES /&gt;&lt;/BBOOK&gt;&lt;BBOOK bbname=&quot;9035&quot; bbdesc=&quot;2016 Annual Accounts/EU Annual Accounts/DC - EU revenues (xlsx)&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0651&quot; bbdesc=&quot;2016 Annual Accounts/EU Annual Accounts/DC - Institutions and agencies (xlsx)&quot; dsname=&quot;SAP Disclosure Management - Production&quot;&gt;&lt;VARIABLES /&gt;&lt;/BBOOK&gt;&lt;/BBOOKS&gt;"/>
    <w:docVar w:name="COVERPAGE_EXISTS" w:val="True"/>
    <w:docVar w:name="DM_WB_C10611_METADATA" w:val="&lt;ChapterMetadata&gt;&lt;ChapterId&gt;10611&lt;/ChapterId&gt;&lt;ChapterName&gt;Glossary&lt;/ChapterName&gt;&lt;ChapterNoOfPages&gt;-1&lt;/ChapterNoOfPages&gt;&lt;ChapterVersion&gt;22&lt;/ChapterVersion&gt;&lt;/ChapterMetadata&gt;"/>
    <w:docVar w:name="DM_WB_C10643_METADATA" w:val="&lt;ChapterMetadata&gt;&lt;ChapterId&gt;10643&lt;/ChapterId&gt;&lt;ChapterName&gt;European Union Budget Result&lt;/ChapterName&gt;&lt;ChapterNoOfPages&gt;-1&lt;/ChapterNoOfPages&gt;&lt;ChapterVersion&gt;30&lt;/ChapterVersion&gt;&lt;/ChapterMetadata&gt;"/>
    <w:docVar w:name="DM_WB_C10644_METADATA" w:val="&lt;ChapterMetadata&gt;&lt;ChapterId&gt;10644&lt;/ChapterId&gt;&lt;ChapterName&gt;Budget expenditures - Payments and Commitments&lt;/ChapterName&gt;&lt;ChapterNoOfPages&gt;-1&lt;/ChapterNoOfPages&gt;&lt;ChapterVersion&gt;42&lt;/ChapterVersion&gt;&lt;/ChapterMetadata&gt;"/>
    <w:docVar w:name="DM_WB_C10645_METADATA" w:val="&lt;ChapterMetadata&gt;&lt;ChapterId&gt;10645&lt;/ChapterId&gt;&lt;ChapterName&gt;Implementation of the agencies budget&lt;/ChapterName&gt;&lt;ChapterNoOfPages&gt;-1&lt;/ChapterNoOfPages&gt;&lt;ChapterVersion&gt;46&lt;/ChapterVersion&gt;&lt;/ChapterMetadata&gt;"/>
    <w:docVar w:name="DM_WB_C10646_METADATA" w:val="&lt;ChapterMetadata&gt;&lt;ChapterId&gt;10646&lt;/ChapterId&gt;&lt;ChapterName&gt;Implementation of European Union budget expenditure&lt;/ChapterName&gt;&lt;ChapterNoOfPages&gt;-1&lt;/ChapterNoOfPages&gt;&lt;ChapterVersion&gt;77&lt;/ChapterVersion&gt;&lt;/ChapterMetadata&gt;"/>
    <w:docVar w:name="DM_WB_C10652_METADATA" w:val="&lt;ChapterMetadata&gt;&lt;ChapterId&gt;10652&lt;/ChapterId&gt;&lt;ChapterName&gt;Statements of comparison of budget and actual amounts&lt;/ChapterName&gt;&lt;ChapterNoOfPages&gt;-1&lt;/ChapterNoOfPages&gt;&lt;ChapterVersion&gt;28&lt;/ChapterVersion&gt;&lt;/ChapterMetadata&gt;"/>
    <w:docVar w:name="DM_WB_C10653_METADATA" w:val="&lt;ChapterMetadata&gt;&lt;ChapterId&gt;10653&lt;/ChapterId&gt;&lt;ChapterName&gt;Implementation of European Union budget revenue&lt;/ChapterName&gt;&lt;ChapterNoOfPages&gt;-1&lt;/ChapterNoOfPages&gt;&lt;ChapterVersion&gt;32&lt;/ChapterVersion&gt;&lt;/ChapterMetadata&gt;"/>
    <w:docVar w:name="DM_WB_C10654_METADATA" w:val="&lt;ChapterMetadata&gt;&lt;ChapterId&gt;10654&lt;/ChapterId&gt;&lt;ChapterName&gt;Implementation of the budget by institution&lt;/ChapterName&gt;&lt;ChapterNoOfPages&gt;-1&lt;/ChapterNoOfPages&gt;&lt;ChapterVersion&gt;50&lt;/ChapterVersion&gt;&lt;/ChapterMetadata&gt;"/>
    <w:docVar w:name="DM_WB_C10819_METADATA" w:val="&lt;ChapterMetadata&gt;&lt;ChapterId&gt;10819&lt;/ChapterId&gt;&lt;ChapterName&gt;Foreword&lt;/ChapterName&gt;&lt;ChapterNoOfPages&gt;-1&lt;/ChapterNoOfPages&gt;&lt;ChapterVersion&gt;8&lt;/ChapterVersion&gt;&lt;/ChapterMetadata&gt;"/>
    <w:docVar w:name="DM_WB_C8895_METADATA" w:val="&lt;ChapterMetadata&gt;&lt;ChapterId&gt;8895&lt;/ChapterId&gt;&lt;ChapterName&gt;Intangible assets&lt;/ChapterName&gt;&lt;ChapterNoOfPages&gt;-1&lt;/ChapterNoOfPages&gt;&lt;ChapterVersion&gt;20&lt;/ChapterVersion&gt;&lt;/ChapterMetadata&gt;"/>
    <w:docVar w:name="DM_WB_C8896_METADATA" w:val="&lt;ChapterMetadata&gt;&lt;ChapterId&gt;8896&lt;/ChapterId&gt;&lt;ChapterName&gt;Property plant and equipment TEXT&lt;/ChapterName&gt;&lt;ChapterNoOfPages&gt;-1&lt;/ChapterNoOfPages&gt;&lt;ChapterVersion&gt;8&lt;/ChapterVersion&gt;&lt;/ChapterMetadata&gt;"/>
    <w:docVar w:name="DM_WB_C8898_METADATA" w:val="&lt;ChapterMetadata&gt;&lt;ChapterId&gt;8898&lt;/ChapterId&gt;&lt;ChapterName&gt;Budgetary and legal commitments&lt;/ChapterName&gt;&lt;ChapterNoOfPages&gt;-1&lt;/ChapterNoOfPages&gt;&lt;ChapterVersion&gt;106&lt;/ChapterVersion&gt;&lt;/ChapterMetadata&gt;"/>
    <w:docVar w:name="DM_WB_C8899_METADATA" w:val="&lt;ChapterMetadata&gt;&lt;ChapterId&gt;8899&lt;/ChapterId&gt;&lt;ChapterName&gt;Credit risk&lt;/ChapterName&gt;&lt;ChapterNoOfPages&gt;-1&lt;/ChapterNoOfPages&gt;&lt;ChapterVersion&gt;49&lt;/ChapterVersion&gt;&lt;/ChapterMetadata&gt;"/>
    <w:docVar w:name="DM_WB_C8900_METADATA" w:val="&lt;ChapterMetadata&gt;&lt;ChapterId&gt;8900&lt;/ChapterId&gt;&lt;ChapterName&gt;Events after balance sheet date&lt;/ChapterName&gt;&lt;ChapterNoOfPages&gt;-1&lt;/ChapterNoOfPages&gt;&lt;ChapterVersion&gt;12&lt;/ChapterVersion&gt;&lt;/ChapterMetadata&gt;"/>
    <w:docVar w:name="DM_WB_C8902_METADATA" w:val="&lt;ChapterMetadata&gt;&lt;ChapterId&gt;8902&lt;/ChapterId&gt;&lt;ChapterName&gt;Net assets - Amounts to be called from member states&lt;/ChapterName&gt;&lt;ChapterNoOfPages&gt;-1&lt;/ChapterNoOfPages&gt;&lt;ChapterVersion&gt;19&lt;/ChapterVersion&gt;&lt;/ChapterMetadata&gt;"/>
    <w:docVar w:name="DM_WB_C8903_METADATA" w:val="&lt;ChapterMetadata&gt;&lt;ChapterId&gt;8903&lt;/ChapterId&gt;&lt;ChapterName&gt;Scope of consolidation&lt;/ChapterName&gt;&lt;ChapterNoOfPages&gt;-1&lt;/ChapterNoOfPages&gt;&lt;ChapterVersion&gt;30&lt;/ChapterVersion&gt;&lt;/ChapterMetadata&gt;"/>
    <w:docVar w:name="DM_WB_C8905_METADATA" w:val="&lt;ChapterMetadata&gt;&lt;ChapterId&gt;8905&lt;/ChapterId&gt;&lt;ChapterName&gt;Financial income&lt;/ChapterName&gt;&lt;ChapterNoOfPages&gt;-1&lt;/ChapterNoOfPages&gt;&lt;ChapterVersion&gt;24&lt;/ChapterVersion&gt;&lt;/ChapterMetadata&gt;"/>
    <w:docVar w:name="DM_WB_C8906_METADATA" w:val="&lt;ChapterMetadata&gt;&lt;ChapterId&gt;8906&lt;/ChapterId&gt;&lt;ChapterName&gt;Statement of changes in net assets&lt;/ChapterName&gt;&lt;ChapterNoOfPages&gt;-1&lt;/ChapterNoOfPages&gt;&lt;ChapterVersion&gt;17&lt;/ChapterVersion&gt;&lt;/ChapterMetadata&gt;"/>
    <w:docVar w:name="DM_WB_C8907_METADATA" w:val="&lt;ChapterMetadata&gt;&lt;ChapterId&gt;8907&lt;/ChapterId&gt;&lt;ChapterName&gt;Balance sheet&lt;/ChapterName&gt;&lt;ChapterNoOfPages&gt;-1&lt;/ChapterNoOfPages&gt;&lt;ChapterVersion&gt;28&lt;/ChapterVersion&gt;&lt;/ChapterMetadata&gt;"/>
    <w:docVar w:name="DM_WB_C8911_METADATA" w:val="&lt;ChapterMetadata&gt;&lt;ChapterId&gt;8911&lt;/ChapterId&gt;&lt;ChapterName&gt;Investments accounted for using the equity method&lt;/ChapterName&gt;&lt;ChapterNoOfPages&gt;-1&lt;/ChapterNoOfPages&gt;&lt;ChapterVersion&gt;45&lt;/ChapterVersion&gt;&lt;/ChapterMetadata&gt;"/>
    <w:docVar w:name="DM_WB_C8912_METADATA" w:val="&lt;ChapterMetadata&gt;&lt;ChapterId&gt;8912&lt;/ChapterId&gt;&lt;ChapterName&gt;Other exchange revenue&lt;/ChapterName&gt;&lt;ChapterNoOfPages&gt;-1&lt;/ChapterNoOfPages&gt;&lt;ChapterVersion&gt;15&lt;/ChapterVersion&gt;&lt;/ChapterMetadata&gt;"/>
    <w:docVar w:name="DM_WB_C8913_METADATA" w:val="&lt;ChapterMetadata&gt;&lt;ChapterId&gt;8913&lt;/ChapterId&gt;&lt;ChapterName&gt;Contingent liabilities and assets&lt;/ChapterName&gt;&lt;ChapterNoOfPages&gt;-1&lt;/ChapterNoOfPages&gt;&lt;ChapterVersion&gt;4&lt;/ChapterVersion&gt;&lt;/ChapterMetadata&gt;"/>
    <w:docVar w:name="DM_WB_C8914_METADATA" w:val="&lt;ChapterMetadata&gt;&lt;ChapterId&gt;8914&lt;/ChapterId&gt;&lt;ChapterName&gt;Non-exchange revenue TRANSFERS&lt;/ChapterName&gt;&lt;ChapterNoOfPages&gt;-1&lt;/ChapterNoOfPages&gt;&lt;ChapterVersion&gt;1&lt;/ChapterVersion&gt;&lt;/ChapterMetadata&gt;"/>
    <w:docVar w:name="DM_WB_C8916_METADATA" w:val="&lt;ChapterMetadata&gt;&lt;ChapterId&gt;8916&lt;/ChapterId&gt;&lt;ChapterName&gt;Shared management&lt;/ChapterName&gt;&lt;ChapterNoOfPages&gt;-1&lt;/ChapterNoOfPages&gt;&lt;ChapterVersion&gt;29&lt;/ChapterVersion&gt;&lt;/ChapterMetadata&gt;"/>
    <w:docVar w:name="DM_WB_C8919_METADATA" w:val="&lt;ChapterMetadata&gt;&lt;ChapterId&gt;8919&lt;/ChapterId&gt;&lt;ChapterName&gt;Expenses - Transfer payments and subsidies by management mode&lt;/ChapterName&gt;&lt;ChapterNoOfPages&gt;-1&lt;/ChapterNoOfPages&gt;&lt;ChapterVersion&gt;2&lt;/ChapterVersion&gt;&lt;/ChapterMetadata&gt;"/>
    <w:docVar w:name="DM_WB_C8920_METADATA" w:val="&lt;ChapterMetadata&gt;&lt;ChapterId&gt;8920&lt;/ChapterId&gt;&lt;ChapterName&gt;Pre-financing&lt;/ChapterName&gt;&lt;ChapterNoOfPages&gt;-1&lt;/ChapterNoOfPages&gt;&lt;ChapterVersion&gt;69&lt;/ChapterVersion&gt;&lt;/ChapterMetadata&gt;"/>
    <w:docVar w:name="DM_WB_C8921_METADATA" w:val="&lt;ChapterMetadata&gt;&lt;ChapterId&gt;8921&lt;/ChapterId&gt;&lt;ChapterName&gt;GNI resources revenue&lt;/ChapterName&gt;&lt;ChapterNoOfPages&gt;-1&lt;/ChapterNoOfPages&gt;&lt;ChapterVersion&gt;3&lt;/ChapterVersion&gt;&lt;/ChapterMetadata&gt;"/>
    <w:docVar w:name="DM_WB_C8923_METADATA" w:val="&lt;ChapterMetadata&gt;&lt;ChapterId&gt;8923&lt;/ChapterId&gt;&lt;ChapterName&gt;Cashflow statement&lt;/ChapterName&gt;&lt;ChapterNoOfPages&gt;-1&lt;/ChapterNoOfPages&gt;&lt;ChapterVersion&gt;24&lt;/ChapterVersion&gt;&lt;/ChapterMetadata&gt;"/>
    <w:docVar w:name="DM_WB_C8925_METADATA" w:val="&lt;ChapterMetadata&gt;&lt;ChapterId&gt;8925&lt;/ChapterId&gt;&lt;ChapterName&gt;Contingent liabilities&lt;/ChapterName&gt;&lt;ChapterNoOfPages&gt;-1&lt;/ChapterNoOfPages&gt;&lt;ChapterVersion&gt;81&lt;/ChapterVersion&gt;&lt;/ChapterMetadata&gt;"/>
    <w:docVar w:name="DM_WB_C8926_METADATA" w:val="&lt;ChapterMetadata&gt;&lt;ChapterId&gt;8926&lt;/ChapterId&gt;&lt;ChapterName&gt;Liabilities&lt;/ChapterName&gt;&lt;ChapterNoOfPages&gt;-1&lt;/ChapterNoOfPages&gt;&lt;ChapterVersion&gt;1&lt;/ChapterVersion&gt;&lt;/ChapterMetadata&gt;"/>
    <w:docVar w:name="DM_WB_C8927_METADATA" w:val="&lt;ChapterMetadata&gt;&lt;ChapterId&gt;8927&lt;/ChapterId&gt;&lt;ChapterName&gt;Note accompanying the consolidated accounts&lt;/ChapterName&gt;&lt;ChapterNoOfPages&gt;-1&lt;/ChapterNoOfPages&gt;&lt;ChapterVersion&gt;5&lt;/ChapterVersion&gt;&lt;/ChapterMetadata&gt;"/>
    <w:docVar w:name="DM_WB_C8928_METADATA" w:val="&lt;ChapterMetadata&gt;&lt;ChapterId&gt;8928&lt;/ChapterId&gt;&lt;ChapterName&gt;Direct management&lt;/ChapterName&gt;&lt;ChapterNoOfPages&gt;-1&lt;/ChapterNoOfPages&gt;&lt;ChapterVersion&gt;21&lt;/ChapterVersion&gt;&lt;/ChapterMetadata&gt;"/>
    <w:docVar w:name="DM_WB_C8929_METADATA" w:val="&lt;ChapterMetadata&gt;&lt;ChapterId&gt;8929&lt;/ChapterId&gt;&lt;ChapterName&gt;Recovery of expenses&lt;/ChapterName&gt;&lt;ChapterNoOfPages&gt;-1&lt;/ChapterNoOfPages&gt;&lt;ChapterVersion&gt;19&lt;/ChapterVersion&gt;&lt;/ChapterMetadata&gt;"/>
    <w:docVar w:name="DM_WB_C8933_METADATA" w:val="&lt;ChapterMetadata&gt;&lt;ChapterId&gt;8933&lt;/ChapterId&gt;&lt;ChapterName&gt;FSDA&lt;/ChapterName&gt;&lt;ChapterNoOfPages&gt;-1&lt;/ChapterNoOfPages&gt;&lt;ChapterVersion&gt;90&lt;/ChapterVersion&gt;&lt;/ChapterMetadata&gt;"/>
    <w:docVar w:name="DM_WB_C8937_METADATA" w:val="&lt;ChapterMetadata&gt;&lt;ChapterId&gt;8937&lt;/ChapterId&gt;&lt;ChapterName&gt;Interest rate risk&lt;/ChapterName&gt;&lt;ChapterNoOfPages&gt;-1&lt;/ChapterNoOfPages&gt;&lt;ChapterVersion&gt;34&lt;/ChapterVersion&gt;&lt;/ChapterMetadata&gt;"/>
    <w:docVar w:name="DM_WB_C8939_METADATA" w:val="&lt;ChapterMetadata&gt;&lt;ChapterId&gt;8939&lt;/ChapterId&gt;&lt;ChapterName&gt;Notes to the balance sheet&lt;/ChapterName&gt;&lt;ChapterNoOfPages&gt;-1&lt;/ChapterNoOfPages&gt;&lt;ChapterVersion&gt;1&lt;/ChapterVersion&gt;&lt;/ChapterMetadata&gt;"/>
    <w:docVar w:name="DM_WB_C8940_METADATA" w:val="&lt;ChapterMetadata&gt;&lt;ChapterId&gt;8940&lt;/ChapterId&gt;&lt;ChapterName&gt;Consolidated financial statements and explanatory notes&lt;/ChapterName&gt;&lt;ChapterNoOfPages&gt;-1&lt;/ChapterNoOfPages&gt;&lt;ChapterVersion&gt;2&lt;/ChapterVersion&gt;&lt;/ChapterMetadata&gt;"/>
    <w:docVar w:name="DM_WB_C8941_METADATA" w:val="&lt;ChapterMetadata&gt;&lt;ChapterId&gt;8941&lt;/ChapterId&gt;&lt;ChapterName&gt;Net assets - Reserves&lt;/ChapterName&gt;&lt;ChapterNoOfPages&gt;-1&lt;/ChapterNoOfPages&gt;&lt;ChapterVersion&gt;22&lt;/ChapterVersion&gt;&lt;/ChapterMetadata&gt;"/>
    <w:docVar w:name="DM_WB_C8942_METADATA" w:val="&lt;ChapterMetadata&gt;&lt;ChapterId&gt;8942&lt;/ChapterId&gt;&lt;ChapterName&gt;Segment Report&lt;/ChapterName&gt;&lt;ChapterNoOfPages&gt;-1&lt;/ChapterNoOfPages&gt;&lt;ChapterVersion&gt;21&lt;/ChapterVersion&gt;&lt;/ChapterMetadata&gt;"/>
    <w:docVar w:name="DM_WB_C8944_METADATA" w:val="&lt;ChapterMetadata&gt;&lt;ChapterId&gt;8944&lt;/ChapterId&gt;&lt;ChapterName&gt;Traditional own resources&lt;/ChapterName&gt;&lt;ChapterNoOfPages&gt;-1&lt;/ChapterNoOfPages&gt;&lt;ChapterVersion&gt;16&lt;/ChapterVersion&gt;&lt;/ChapterMetadata&gt;"/>
    <w:docVar w:name="DM_WB_C8947_METADATA" w:val="&lt;ChapterMetadata&gt;&lt;ChapterId&gt;8947&lt;/ChapterId&gt;&lt;ChapterName&gt;Exchange receivables and non-exchange recoverables&lt;/ChapterName&gt;&lt;ChapterNoOfPages&gt;-1&lt;/ChapterNoOfPages&gt;&lt;ChapterVersion&gt;44&lt;/ChapterVersion&gt;&lt;/ChapterMetadata&gt;"/>
    <w:docVar w:name="DM_WB_C8949_METADATA" w:val="&lt;ChapterMetadata&gt;&lt;ChapterId&gt;8949&lt;/ChapterId&gt;&lt;ChapterName&gt;Inventories&lt;/ChapterName&gt;&lt;ChapterNoOfPages&gt;-1&lt;/ChapterNoOfPages&gt;&lt;ChapterVersion&gt;16&lt;/ChapterVersion&gt;&lt;/ChapterMetadata&gt;"/>
    <w:docVar w:name="DM_WB_C8950_METADATA" w:val="&lt;ChapterMetadata&gt;&lt;ChapterId&gt;8950&lt;/ChapterId&gt;&lt;ChapterName&gt;Provisions&lt;/ChapterName&gt;&lt;ChapterNoOfPages&gt;-1&lt;/ChapterNoOfPages&gt;&lt;ChapterVersion&gt;35&lt;/ChapterVersion&gt;&lt;/ChapterMetadata&gt;"/>
    <w:docVar w:name="DM_WB_C8951_METADATA" w:val="&lt;ChapterMetadata&gt;&lt;ChapterId&gt;8951&lt;/ChapterId&gt;&lt;ChapterName&gt;Other expenses&lt;/ChapterName&gt;&lt;ChapterNoOfPages&gt;-1&lt;/ChapterNoOfPages&gt;&lt;ChapterVersion&gt;24&lt;/ChapterVersion&gt;&lt;/ChapterMetadata&gt;"/>
    <w:docVar w:name="DM_WB_C8952_METADATA" w:val="&lt;ChapterMetadata&gt;&lt;ChapterId&gt;8952&lt;/ChapterId&gt;&lt;ChapterName&gt;Significant accounting policies&lt;/ChapterName&gt;&lt;ChapterNoOfPages&gt;-1&lt;/ChapterNoOfPages&gt;&lt;ChapterVersion&gt;51&lt;/ChapterVersion&gt;&lt;/ChapterMetadata&gt;"/>
    <w:docVar w:name="DM_WB_C8958_METADATA" w:val="&lt;ChapterMetadata&gt;&lt;ChapterId&gt;8958&lt;/ChapterId&gt;&lt;ChapterName&gt;Finance costs&lt;/ChapterName&gt;&lt;ChapterNoOfPages&gt;-1&lt;/ChapterNoOfPages&gt;&lt;ChapterVersion&gt;20&lt;/ChapterVersion&gt;&lt;/ChapterMetadata&gt;"/>
    <w:docVar w:name="DM_WB_C8960_METADATA" w:val="&lt;ChapterMetadata&gt;&lt;ChapterId&gt;8960&lt;/ChapterId&gt;&lt;ChapterName&gt;Property plant and equipment TABLE&lt;/ChapterName&gt;&lt;ChapterNoOfPages&gt;-1&lt;/ChapterNoOfPages&gt;&lt;ChapterVersion&gt;28&lt;/ChapterVersion&gt;&lt;/ChapterMetadata&gt;"/>
    <w:docVar w:name="DM_WB_C8961_METADATA" w:val="&lt;ChapterMetadata&gt;&lt;ChapterId&gt;8961&lt;/ChapterId&gt;&lt;ChapterName&gt;Indirect management&lt;/ChapterName&gt;&lt;ChapterNoOfPages&gt;-1&lt;/ChapterNoOfPages&gt;&lt;ChapterVersion&gt;17&lt;/ChapterVersion&gt;&lt;/ChapterMetadata&gt;"/>
    <w:docVar w:name="DM_WB_C8962_METADATA" w:val="&lt;ChapterMetadata&gt;&lt;ChapterId&gt;8962&lt;/ChapterId&gt;&lt;ChapterName&gt;Changes in employee benefits actuarial assumptions&lt;/ChapterName&gt;&lt;ChapterNoOfPages&gt;-1&lt;/ChapterNoOfPages&gt;&lt;ChapterVersion&gt;3&lt;/ChapterVersion&gt;&lt;/ChapterMetadata&gt;"/>
    <w:docVar w:name="DM_WB_C8964_METADATA" w:val="&lt;ChapterMetadata&gt;&lt;ChapterId&gt;8964&lt;/ChapterId&gt;&lt;ChapterName&gt;Payables&lt;/ChapterName&gt;&lt;ChapterNoOfPages&gt;-1&lt;/ChapterNoOfPages&gt;&lt;ChapterVersion&gt;48&lt;/ChapterVersion&gt;&lt;/ChapterMetadata&gt;"/>
    <w:docVar w:name="DM_WB_C8965_METADATA" w:val="&lt;ChapterMetadata&gt;&lt;ChapterId&gt;8965&lt;/ChapterId&gt;&lt;ChapterName&gt;Currency risk - balance sheet figures&lt;/ChapterName&gt;&lt;ChapterNoOfPages&gt;-1&lt;/ChapterNoOfPages&gt;&lt;ChapterVersion&gt;41&lt;/ChapterVersion&gt;&lt;/ChapterMetadata&gt;"/>
    <w:docVar w:name="DM_WB_C8967_METADATA" w:val="&lt;ChapterMetadata&gt;&lt;ChapterId&gt;8967&lt;/ChapterId&gt;&lt;ChapterName&gt;Financial liabilities&lt;/ChapterName&gt;&lt;ChapterNoOfPages&gt;-1&lt;/ChapterNoOfPages&gt;&lt;ChapterVersion&gt;77&lt;/ChapterVersion&gt;&lt;/ChapterMetadata&gt;"/>
    <w:docVar w:name="DM_WB_C8968_METADATA" w:val="&lt;ChapterMetadata&gt;&lt;ChapterId&gt;8968&lt;/ChapterId&gt;&lt;ChapterName&gt;Table of contents (1)&lt;/ChapterName&gt;&lt;ChapterNoOfPages&gt;-1&lt;/ChapterNoOfPages&gt;&lt;ChapterVersion&gt;1&lt;/ChapterVersion&gt;&lt;/ChapterMetadata&gt;"/>
    <w:docVar w:name="DM_WB_C8971_METADATA" w:val="&lt;ChapterMetadata&gt;&lt;ChapterId&gt;8971&lt;/ChapterId&gt;&lt;ChapterName&gt;Accrued charges and deferred income&lt;/ChapterName&gt;&lt;ChapterNoOfPages&gt;-1&lt;/ChapterNoOfPages&gt;&lt;ChapterVersion&gt;40&lt;/ChapterVersion&gt;&lt;/ChapterMetadata&gt;"/>
    <w:docVar w:name="DM_WB_C8972_METADATA" w:val="&lt;ChapterMetadata&gt;&lt;ChapterId&gt;8972&lt;/ChapterId&gt;&lt;ChapterName&gt;Assets&lt;/ChapterName&gt;&lt;ChapterNoOfPages&gt;-1&lt;/ChapterNoOfPages&gt;&lt;ChapterVersion&gt;1&lt;/ChapterVersion&gt;&lt;/ChapterMetadata&gt;"/>
    <w:docVar w:name="DM_WB_C8975_METADATA" w:val="&lt;ChapterMetadata&gt;&lt;ChapterId&gt;8975&lt;/ChapterId&gt;&lt;ChapterName&gt;Pension and other employee benefits&lt;/ChapterName&gt;&lt;ChapterNoOfPages&gt;-1&lt;/ChapterNoOfPages&gt;&lt;ChapterVersion&gt;51&lt;/ChapterVersion&gt;&lt;/ChapterMetadata&gt;"/>
    <w:docVar w:name="DM_WB_C8976_METADATA" w:val="&lt;ChapterMetadata&gt;&lt;ChapterId&gt;8976&lt;/ChapterId&gt;&lt;ChapterName&gt;Contingent assets&lt;/ChapterName&gt;&lt;ChapterNoOfPages&gt;-1&lt;/ChapterNoOfPages&gt;&lt;ChapterVersion&gt;18&lt;/ChapterVersion&gt;&lt;/ChapterMetadata&gt;"/>
    <w:docVar w:name="DM_WB_C8977_METADATA" w:val="&lt;ChapterMetadata&gt;&lt;ChapterId&gt;8977&lt;/ChapterId&gt;&lt;ChapterName&gt;Notes to the statement of financial performance&lt;/ChapterName&gt;&lt;ChapterNoOfPages&gt;-1&lt;/ChapterNoOfPages&gt;&lt;ChapterVersion&gt;1&lt;/ChapterVersion&gt;&lt;/ChapterMetadata&gt;"/>
    <w:docVar w:name="DM_WB_C8978_METADATA" w:val="&lt;ChapterMetadata&gt;&lt;ChapterId&gt;8978&lt;/ChapterId&gt;&lt;ChapterName&gt;VAT resources&lt;/ChapterName&gt;&lt;ChapterNoOfPages&gt;-1&lt;/ChapterNoOfPages&gt;&lt;ChapterVersion&gt;9&lt;/ChapterVersion&gt;&lt;/ChapterMetadata&gt;"/>
    <w:docVar w:name="DM_WB_C8979_METADATA" w:val="&lt;ChapterMetadata&gt;&lt;ChapterId&gt;8979&lt;/ChapterId&gt;&lt;ChapterName&gt;Non-exchange revenue Own Resources&lt;/ChapterName&gt;&lt;ChapterNoOfPages&gt;-1&lt;/ChapterNoOfPages&gt;&lt;ChapterVersion&gt;2&lt;/ChapterVersion&gt;&lt;/ChapterMetadata&gt;"/>
    <w:docVar w:name="DM_WB_C8980_METADATA" w:val="&lt;ChapterMetadata&gt;&lt;ChapterId&gt;8980&lt;/ChapterId&gt;&lt;ChapterName&gt;Share of net deficit of joint ventures and associates&lt;/ChapterName&gt;&lt;ChapterNoOfPages&gt;-1&lt;/ChapterNoOfPages&gt;&lt;ChapterVersion&gt;4&lt;/ChapterVersion&gt;&lt;/ChapterMetadata&gt;"/>
    <w:docVar w:name="DM_WB_C8981_METADATA" w:val="&lt;ChapterMetadata&gt;&lt;ChapterId&gt;8981&lt;/ChapterId&gt;&lt;ChapterName&gt;Financial risk management&lt;/ChapterName&gt;&lt;ChapterNoOfPages&gt;-1&lt;/ChapterNoOfPages&gt;&lt;ChapterVersion&gt;16&lt;/ChapterVersion&gt;&lt;/ChapterMetadata&gt;"/>
    <w:docVar w:name="DM_WB_C8982_METADATA" w:val="&lt;ChapterMetadata&gt;&lt;ChapterId&gt;8982&lt;/ChapterId&gt;&lt;ChapterName&gt;Exchange revenue&lt;/ChapterName&gt;&lt;ChapterNoOfPages&gt;-1&lt;/ChapterNoOfPages&gt;&lt;ChapterVersion&gt;1&lt;/ChapterVersion&gt;&lt;/ChapterMetadata&gt;"/>
    <w:docVar w:name="DM_WB_C8983_METADATA" w:val="&lt;ChapterMetadata&gt;&lt;ChapterId&gt;8983&lt;/ChapterId&gt;&lt;ChapterName&gt;Table of contents (2)&lt;/ChapterName&gt;&lt;ChapterNoOfPages&gt;-1&lt;/ChapterNoOfPages&gt;&lt;ChapterVersion&gt;1&lt;/ChapterVersion&gt;&lt;/ChapterMetadata&gt;"/>
    <w:docVar w:name="DM_WB_C8984_METADATA" w:val="&lt;ChapterMetadata&gt;&lt;ChapterId&gt;8984&lt;/ChapterId&gt;&lt;ChapterName&gt;Cash and cash equivalents&lt;/ChapterName&gt;&lt;ChapterNoOfPages&gt;-1&lt;/ChapterNoOfPages&gt;&lt;ChapterVersion&gt;38&lt;/ChapterVersion&gt;&lt;/ChapterMetadata&gt;"/>
    <w:docVar w:name="DM_WB_C8986_METADATA" w:val="&lt;ChapterMetadata&gt;&lt;ChapterId&gt;8986&lt;/ChapterId&gt;&lt;ChapterName&gt;Fines&lt;/ChapterName&gt;&lt;ChapterNoOfPages&gt;-1&lt;/ChapterNoOfPages&gt;&lt;ChapterVersion&gt;3&lt;/ChapterVersion&gt;&lt;/ChapterMetadata&gt;"/>
    <w:docVar w:name="DM_WB_C8987_METADATA" w:val="&lt;ChapterMetadata&gt;&lt;ChapterId&gt;8987&lt;/ChapterId&gt;&lt;ChapterName&gt;Notes to the financial statements&lt;/ChapterName&gt;&lt;ChapterNoOfPages&gt;-1&lt;/ChapterNoOfPages&gt;&lt;ChapterVersion&gt;3&lt;/ChapterVersion&gt;&lt;/ChapterMetadata&gt;"/>
    <w:docVar w:name="DM_WB_C8988_METADATA" w:val="&lt;ChapterMetadata&gt;&lt;ChapterId&gt;8988&lt;/ChapterId&gt;&lt;ChapterName&gt;Cover and first page&lt;/ChapterName&gt;&lt;ChapterNoOfPages&gt;-1&lt;/ChapterNoOfPages&gt;&lt;ChapterVersion&gt;4&lt;/ChapterVersion&gt;&lt;/ChapterMetadata&gt;"/>
    <w:docVar w:name="DM_WB_C8989_METADATA" w:val="&lt;ChapterMetadata&gt;&lt;ChapterId&gt;8989&lt;/ChapterId&gt;&lt;ChapterName&gt;Statement of financial performance&lt;/ChapterName&gt;&lt;ChapterNoOfPages&gt;-1&lt;/ChapterNoOfPages&gt;&lt;ChapterVersion&gt;27&lt;/ChapterVersion&gt;&lt;/ChapterMetadata&gt;"/>
    <w:docVar w:name="DM_WB_C8990_METADATA" w:val="&lt;ChapterMetadata&gt;&lt;ChapterId&gt;8990&lt;/ChapterId&gt;&lt;ChapterName&gt;Liquidity risk&lt;/ChapterName&gt;&lt;ChapterNoOfPages&gt;-1&lt;/ChapterNoOfPages&gt;&lt;ChapterVersion&gt;42&lt;/ChapterVersion&gt;&lt;/ChapterMetadata&gt;"/>
    <w:docVar w:name="DM_WB_C8991_METADATA" w:val="&lt;ChapterMetadata&gt;&lt;ChapterId&gt;8991&lt;/ChapterId&gt;&lt;ChapterName&gt;Other non-exchange revenue&lt;/ChapterName&gt;&lt;ChapterNoOfPages&gt;-1&lt;/ChapterNoOfPages&gt;&lt;ChapterVersion&gt;26&lt;/ChapterVersion&gt;&lt;/ChapterMetadata&gt;"/>
    <w:docVar w:name="DM_WB_C8992_METADATA" w:val="&lt;ChapterMetadata&gt;&lt;ChapterId&gt;8992&lt;/ChapterId&gt;&lt;ChapterName&gt;EU political framework governance and accountability&lt;/ChapterName&gt;&lt;ChapterNoOfPages&gt;-1&lt;/ChapterNoOfPages&gt;&lt;ChapterVersion&gt;65&lt;/ChapterVersion&gt;&lt;/ChapterMetadata&gt;"/>
    <w:docVar w:name="DM_WB_C8993_METADATA" w:val="&lt;ChapterMetadata&gt;&lt;ChapterId&gt;8993&lt;/ChapterId&gt;&lt;ChapterName&gt;Staff and pension costs&lt;/ChapterName&gt;&lt;ChapterNoOfPages&gt;-1&lt;/ChapterNoOfPages&gt;&lt;ChapterVersion&gt;18&lt;/ChapterVersion&gt;&lt;/ChapterMetadata&gt;"/>
    <w:docVar w:name="DM_WB_C8995_METADATA" w:val="&lt;ChapterMetadata&gt;&lt;ChapterId&gt;8995&lt;/ChapterId&gt;&lt;ChapterName&gt;Financial assets&lt;/ChapterName&gt;&lt;ChapterNoOfPages&gt;-1&lt;/ChapterNoOfPages&gt;&lt;ChapterVersion&gt;98&lt;/ChapterVersion&gt;&lt;/ChapterMetadata&gt;"/>
    <w:docVar w:name="DM_WB_C8996_METADATA" w:val="&lt;ChapterMetadata&gt;&lt;ChapterId&gt;8996&lt;/ChapterId&gt;&lt;ChapterName&gt;Related party disclosures&lt;/ChapterName&gt;&lt;ChapterNoOfPages&gt;-1&lt;/ChapterNoOfPages&gt;&lt;ChapterVersion&gt;25&lt;/ChapterVersion&gt;&lt;/ChapterMetadata&gt;"/>
    <w:docVar w:name="DM_WB_C9002_METADATA" w:val="&lt;ChapterMetadata&gt;&lt;ChapterId&gt;9002&lt;/ChapterId&gt;&lt;ChapterName&gt;Table of Content 3&lt;/ChapterName&gt;&lt;ChapterNoOfPages&gt;-1&lt;/ChapterNoOfPages&gt;&lt;ChapterVersion&gt;3&lt;/ChapterVersion&gt;&lt;/ChapterMetadata&gt;"/>
    <w:docVar w:name="DM_WB_C9003_METADATA" w:val="&lt;ChapterMetadata&gt;&lt;ChapterId&gt;9003&lt;/ChapterId&gt;&lt;ChapterName&gt;Notes on the implementation of the budget MFF annual budget policy areas&lt;/ChapterName&gt;&lt;ChapterNoOfPages&gt;-1&lt;/ChapterNoOfPages&gt;&lt;ChapterVersion&gt;55&lt;/ChapterVersion&gt;&lt;/ChapterMetadata&gt;"/>
    <w:docVar w:name="DM_WB_C9039_METADATA" w:val="&lt;ChapterMetadata&gt;&lt;ChapterId&gt;9039&lt;/ChapterId&gt;&lt;ChapterName&gt;Budgetary implementation reports and explanatory notes&lt;/ChapterName&gt;&lt;ChapterNoOfPages&gt;-1&lt;/ChapterNoOfPages&gt;&lt;ChapterVersion&gt;5&lt;/ChapterVersion&gt;&lt;/ChapterMetadata&gt;"/>
    <w:docVar w:name="DM_WB_C9083_METADATA" w:val="&lt;ChapterMetadata&gt;&lt;ChapterId&gt;9083&lt;/ChapterId&gt;&lt;ChapterName&gt;Currency risks - sensitivity and text&lt;/ChapterName&gt;&lt;ChapterNoOfPages&gt;-1&lt;/ChapterNoOfPages&gt;&lt;ChapterVersion&gt;54&lt;/ChapterVersion&gt;&lt;/ChapterMetadata&gt;"/>
    <w:docVar w:name="DM_WB_C9086_METADATA" w:val="&lt;ChapterMetadata&gt;&lt;ChapterId&gt;9086&lt;/ChapterId&gt;&lt;ChapterName&gt;Significant accounting policies - Title&lt;/ChapterName&gt;&lt;ChapterNoOfPages&gt;-1&lt;/ChapterNoOfPages&gt;&lt;ChapterVersion&gt;1&lt;/ChapterVersion&gt;&lt;/ChapterMetadata&gt;"/>
    <w:docVar w:name="DM_WB_C9087_METADATA" w:val="&lt;ChapterMetadata&gt;&lt;ChapterId&gt;9087&lt;/ChapterId&gt;&lt;ChapterName&gt;Notes EU bugdet Revenue Expenditure of year&lt;/ChapterName&gt;&lt;ChapterNoOfPages&gt;-1&lt;/ChapterNoOfPages&gt;&lt;ChapterVersion&gt;16&lt;/ChapterVersion&gt;&lt;/ChapterMetadata&gt;"/>
    <w:docVar w:name="DM_WB_C9091_METADATA" w:val="&lt;ChapterMetadata&gt;&lt;ChapterId&gt;9091&lt;/ChapterId&gt;&lt;ChapterName&gt;Notes to the reconciliation of economic result with budget result&lt;/ChapterName&gt;&lt;ChapterNoOfPages&gt;-1&lt;/ChapterNoOfPages&gt;&lt;ChapterVersion&gt;22&lt;/ChapterVersion&gt;&lt;/ChapterMetadata&gt;"/>
    <w:docVar w:name="DM_WB_C9093_METADATA" w:val="&lt;ChapterMetadata&gt;&lt;ChapterId&gt;9093&lt;/ChapterId&gt;&lt;ChapterName&gt;Notes revenue general and calculation budget result&lt;/ChapterName&gt;&lt;ChapterNoOfPages&gt;-1&lt;/ChapterNoOfPages&gt;&lt;ChapterVersion&gt;19&lt;/ChapterVersion&gt;&lt;/ChapterMetadata&gt;"/>
    <w:docVar w:name="doc_tbl00002_1_1" w:val="|@|1|2057"/>
    <w:docVar w:name="doc_tbl00002_1_2" w:val="|@|1|2057"/>
    <w:docVar w:name="doc_tbl00002_1_3" w:val="|@|1|2057"/>
    <w:docVar w:name="doc_tbl00002_1_4" w:val="EUR millions|@|1|2057"/>
    <w:docVar w:name="doc_tbl00002_10_1" w:val="Other|@|1|2057"/>
    <w:docVar w:name="doc_tbl00002_10_2" w:val="3.6|@|1|2057"/>
    <w:docVar w:name="doc_tbl00002_10_3" w:val="5739.74265337|#\ ##0;\(#\ ##0\);\-|1|2057"/>
    <w:docVar w:name="doc_tbl00002_10_4" w:val="5067.07682023|#\ ##0;\(#\ ##0\);\-|1|2057"/>
    <w:docVar w:name="doc_tbl00002_11_1" w:val="|@|1|2057"/>
    <w:docVar w:name="doc_tbl00002_11_2" w:val="|@|1|2057"/>
    <w:docVar w:name="doc_tbl00002_11_3" w:val="143421.5414066|#\ ##0;\(#\ ##0\);\-|1|2057"/>
    <w:docVar w:name="doc_tbl00002_11_4" w:val="139477.82649008|#\ ##0;\(#\ ##0\);\-|1|2057"/>
    <w:docVar w:name="doc_tbl00002_12_1" w:val="|@|1|2057"/>
    <w:docVar w:name="doc_tbl00002_12_2" w:val="|@|1|2057"/>
    <w:docVar w:name="doc_tbl00002_12_3" w:val="|#\ ##0;\(#\ ##0\);\-|1|2057"/>
    <w:docVar w:name="doc_tbl00002_12_4" w:val="|#\ ##0;\(#\ ##0\);\-|1|2057"/>
    <w:docVar w:name="doc_tbl00002_13_1" w:val="Revenue from exchange transactions|@|1|2057"/>
    <w:docVar w:name="doc_tbl00002_13_2" w:val="|@|1|2057"/>
    <w:docVar w:name="doc_tbl00002_13_3" w:val="|#\ ##0;\(#\ ##0\);\-|1|2057"/>
    <w:docVar w:name="doc_tbl00002_13_4" w:val="|#\ ##0;\(#\ ##0\);\-|1|2057"/>
    <w:docVar w:name="doc_tbl00002_14_1" w:val="Financial income|@|1|2057"/>
    <w:docVar w:name="doc_tbl00002_14_2" w:val="3.7|@|1|2057"/>
    <w:docVar w:name="doc_tbl00002_14_3" w:val="1768.99306918|#\ ##0;\(#\ ##0\);\-|1|2057"/>
    <w:docVar w:name="doc_tbl00002_14_4" w:val="1845.8615402|#\ ##0;\(#\ ##0\);\-|1|2057"/>
    <w:docVar w:name="doc_tbl00002_15_1" w:val="Other|@|1|2057"/>
    <w:docVar w:name="doc_tbl00002_15_2" w:val="3.8|@|1|2057"/>
    <w:docVar w:name="doc_tbl00002_15_3" w:val="996.05882865|#\ ##0;\(#\ ##0\);\-|1|2057"/>
    <w:docVar w:name="doc_tbl00002_15_4" w:val="1562.29509324|#\ ##0;\(#\ ##0\);\-|1|2057"/>
    <w:docVar w:name="doc_tbl00002_16_1" w:val="|@|1|2057"/>
    <w:docVar w:name="doc_tbl00002_16_2" w:val="|@|1|2057"/>
    <w:docVar w:name="doc_tbl00002_16_3" w:val="2765.05189783|#\ ##0;\(#\ ##0\);\-|1|2057"/>
    <w:docVar w:name="doc_tbl00002_16_4" w:val="3408.15663344|#\ ##0;\(#\ ##0\);\-|1|2057"/>
    <w:docVar w:name="doc_tbl00002_17_1" w:val="Total Revenue|@|1|2057"/>
    <w:docVar w:name="doc_tbl00002_17_2" w:val="|@|1|2057"/>
    <w:docVar w:name="doc_tbl00002_17_3" w:val="146186.59330443|#\ ##0;\(#\ ##0\);\-|1|2057"/>
    <w:docVar w:name="doc_tbl00002_17_4" w:val="142885.98312352|#\ ##0;\(#\ ##0\);\-|1|2057"/>
    <w:docVar w:name="doc_tbl00002_18_1" w:val="EXPENSES|@|1|2057"/>
    <w:docVar w:name="doc_tbl00002_18_2" w:val="|@|1|2057"/>
    <w:docVar w:name="doc_tbl00002_18_3" w:val="|#\ ##0;\(#\ ##0\);\-|1|2057"/>
    <w:docVar w:name="doc_tbl00002_18_4" w:val="|#\ ##0;\(#\ ##0\);\-|1|2057"/>
    <w:docVar w:name="doc_tbl00002_19_1" w:val="Implemented by Member States|@|1|2057"/>
    <w:docVar w:name="doc_tbl00002_19_2" w:val="3.9|@|1|2057"/>
    <w:docVar w:name="doc_tbl00002_19_3" w:val="|#\ ##0;\(#\ ##0\);\-|1|2057"/>
    <w:docVar w:name="doc_tbl00002_19_4" w:val="|#\ ##0;\(#\ ##0\);\-|1|2057"/>
    <w:docVar w:name="doc_tbl00002_2_1" w:val="|@|1|2057"/>
    <w:docVar w:name="doc_tbl00002_2_2" w:val="Note|@|1|2057"/>
    <w:docVar w:name="doc_tbl00002_2_3" w:val="2016|@|1|2057"/>
    <w:docVar w:name="doc_tbl00002_2_4" w:val="2015     |@|1|2057"/>
    <w:docVar w:name="doc_tbl00002_20_1" w:val="European Agricultural Guarantee Fund|@|1|2057"/>
    <w:docVar w:name="doc_tbl00002_20_2" w:val="|@|1|2057"/>
    <w:docVar w:name="doc_tbl00002_20_3" w:val="-44151.84727652|#\ ##0;\(#\ ##0\);\-|1|2057"/>
    <w:docVar w:name="doc_tbl00002_20_4" w:val="-45032.47134306|#\ ##0;\(#\ ##0\);\-|1|2057"/>
    <w:docVar w:name="doc_tbl00002_21_1" w:val="European Agricultural Fund for Rural Development and other rural development instruments|@|1|2057"/>
    <w:docVar w:name="doc_tbl00002_21_2" w:val="|@|1|2057"/>
    <w:docVar w:name="doc_tbl00002_21_3" w:val="-12603.84142255|#\ ##0;\(#\ ##0\);\-|1|2057"/>
    <w:docVar w:name="doc_tbl00002_21_4" w:val="-16375.70811977|#\ ##0;\(#\ ##0\);\-|1|2057"/>
    <w:docVar w:name="doc_tbl00002_22_1" w:val="European Regional Development Fund and            Cohesion Fund|@|1|2057"/>
    <w:docVar w:name="doc_tbl00002_22_2" w:val="|@|1|2057"/>
    <w:docVar w:name="doc_tbl00002_22_3" w:val="-35044.9725149|#\ ##0;\(#\ ##0\);\-|1|2057"/>
    <w:docVar w:name="doc_tbl00002_22_4" w:val="-38744.80684946|#\ ##0;\(#\ ##0\);\-|1|2057"/>
    <w:docVar w:name="doc_tbl00002_23_1" w:val="European Social Fund|@|1|2057"/>
    <w:docVar w:name="doc_tbl00002_23_2" w:val="|@|1|2057"/>
    <w:docVar w:name="doc_tbl00002_23_3" w:val="-9365.9558632|#\ ##0;\(#\ ##0\);\-|1|2057"/>
    <w:docVar w:name="doc_tbl00002_23_4" w:val="-9849.46351837|#\ ##0;\(#\ ##0\);\-|1|2057"/>
    <w:docVar w:name="doc_tbl00002_24_1" w:val="Other|@|1|2057"/>
    <w:docVar w:name="doc_tbl00002_24_2" w:val="|@|1|2057"/>
    <w:docVar w:name="doc_tbl00002_24_3" w:val="-1605.64375002|#\ ##0;\(#\ ##0\);\-|1|2057"/>
    <w:docVar w:name="doc_tbl00002_24_4" w:val="-2379.98093323|#\ ##0;\(#\ ##0\);\-|1|2057"/>
    <w:docVar w:name="doc_tbl00002_25_1" w:val="Implemented by the Commission, executive agencies and trust funds|@|1|2057"/>
    <w:docVar w:name="doc_tbl00002_25_2" w:val="3.10|@|1|2057"/>
    <w:docVar w:name="doc_tbl00002_25_3" w:val="-15609.99721663|#\ ##0;\(#\ ##0\);\-|1|2057"/>
    <w:docVar w:name="doc_tbl00002_25_4" w:val="-15626.3417551|#\ ##0;\(#\ ##0\);\-|1|2057"/>
    <w:docVar w:name="doc_tbl00002_26_1" w:val="Implemented by other EU agencies and bodies|@|1|2057"/>
    <w:docVar w:name="doc_tbl00002_26_2" w:val="3.11|@|1|2057"/>
    <w:docVar w:name="doc_tbl00002_26_3" w:val="-2546.53581073|#\ ##0;\(#\ ##0\);\-|1|2057"/>
    <w:docVar w:name="doc_tbl00002_26_4" w:val="-1208.94617121|#\ ##0;\(#\ ##0\);\-|1|2057"/>
    <w:docVar w:name="doc_tbl00002_27_1" w:val="Implemented by third countries and international organisations|@|1|2057"/>
    <w:docVar w:name="doc_tbl00002_27_2" w:val="3.11|@|1|2057"/>
    <w:docVar w:name="doc_tbl00002_27_3" w:val="-3257.55978856|#\ ##0;\(#\ ##0\);\-|1|2057"/>
    <w:docVar w:name="doc_tbl00002_27_4" w:val="-3031.36553878|#\ ##0;\(#\ ##0\);\-|1|2057"/>
    <w:docVar w:name="doc_tbl00002_28_1" w:val="Implemented by other entities|@|1|2057"/>
    <w:docVar w:name="doc_tbl00002_28_2" w:val="3.11|@|1|2057"/>
    <w:docVar w:name="doc_tbl00002_28_3" w:val="-2034.92124126|#\ ##0;\(#\ ##0\);\-|1|2057"/>
    <w:docVar w:name="doc_tbl00002_28_4" w:val="-2107.36548607|#\ ##0;\(#\ ##0\);\-|1|2057"/>
    <w:docVar w:name="doc_tbl00002_29_1" w:val="Staff and pension costs|@|1|2057"/>
    <w:docVar w:name="doc_tbl00002_29_2" w:val="3.12|@|1|2057"/>
    <w:docVar w:name="doc_tbl00002_29_3" w:val="-9775.96269774|#\ ##0;\(#\ ##0\);\-|1|2057"/>
    <w:docVar w:name="doc_tbl00002_29_4" w:val="-10273.34518659|#\ ##0;\(#\ ##0\);\-|1|2057"/>
    <w:docVar w:name="doc_tbl00002_3_1" w:val="REVENUE|@|1|2057"/>
    <w:docVar w:name="doc_tbl00002_3_2" w:val="|@|1|2057"/>
    <w:docVar w:name="doc_tbl00002_3_3" w:val="|#\ ##0;\(#\ ##0\);\-|1|2057"/>
    <w:docVar w:name="doc_tbl00002_3_4" w:val="|#\ ##0;\(#\ ##0\);\-|1|2057"/>
    <w:docVar w:name="doc_tbl00002_30_1" w:val="Changes in employee benefits actuarial assumptions|@|1|2057"/>
    <w:docVar w:name="doc_tbl00002_30_2" w:val="3.13|@|1|2057"/>
    <w:docVar w:name="doc_tbl00002_30_3" w:val="-1067.99724005|#\ ##0;\(#\ ##0\);\-|1|2057"/>
    <w:docVar w:name="doc_tbl00002_30_4" w:val="-2039.63194328|#\ ##0;\(#\ ##0\);\-|1|2057"/>
    <w:docVar w:name="doc_tbl00002_31_1" w:val="Finance costs|@|1|2057"/>
    <w:docVar w:name="doc_tbl00002_31_2" w:val="3.14|@|1|2057"/>
    <w:docVar w:name="doc_tbl00002_31_3" w:val="-1904.17483433|#\ ##0;\(#\ ##0\);\-|1|2057"/>
    <w:docVar w:name="doc_tbl00002_31_4" w:val="-1985.5210363|#\ ##0;\(#\ ##0\);\-|1|2057"/>
    <w:docVar w:name="doc_tbl00002_32_1" w:val="Share of result of joint ventures and associates|@|1|2057"/>
    <w:docVar w:name="doc_tbl00002_32_2" w:val="3.15|@|1|2057"/>
    <w:docVar w:name="doc_tbl00002_32_3" w:val="2.2297431|#\ ##0;\(#\ ##0\);\-|1|2057"/>
    <w:docVar w:name="doc_tbl00002_32_4" w:val="-641.4121183|#\ ##0;\(#\ ##0\);\-|1|2057"/>
    <w:docVar w:name="doc_tbl00002_33_1" w:val="Other expenses|@|1|2057"/>
    <w:docVar w:name="doc_tbl00002_33_2" w:val="3.16|@|1|2057"/>
    <w:docVar w:name="doc_tbl00002_33_3" w:val="-5485.83257443|#\ ##0;\(#\ ##0\);\-|1|2057"/>
    <w:docVar w:name="doc_tbl00002_33_4" w:val="-6622.83755441|#\ ##0;\(#\ ##0\);\-|1|2057"/>
    <w:docVar w:name="doc_tbl00002_34_1" w:val="Total Expenses|@|1|2057"/>
    <w:docVar w:name="doc_tbl00002_34_2" w:val="|@|1|2057"/>
    <w:docVar w:name="doc_tbl00002_34_3" w:val="-144454.01248782|#\ ##0;\(#\ ##0\);\-|1|2057"/>
    <w:docVar w:name="doc_tbl00002_34_4" w:val="-155919.19755393|#\ ##0;\(#\ ##0\);\-|1|2057"/>
    <w:docVar w:name="doc_tbl00002_35_1" w:val="ECONOMIC RESULT OF THE YEAR|@|1|2057"/>
    <w:docVar w:name="doc_tbl00002_35_2" w:val="|@|1|2057"/>
    <w:docVar w:name="doc_tbl00002_35_3" w:val="1732.58081660996|#\ ##0;\(#\ ##0\);\-|1|2057"/>
    <w:docVar w:name="doc_tbl00002_35_4" w:val="-13033.21443041|#\ ##0;\(#\ ##0\);\-|1|2057"/>
    <w:docVar w:name="doc_tbl00002_4_1" w:val="Revenue from non-exchange transactions|@|1|2057"/>
    <w:docVar w:name="doc_tbl00002_4_2" w:val="|@|1|2057"/>
    <w:docVar w:name="doc_tbl00002_4_3" w:val="|#\ ##0;\(#\ ##0\);\-|1|2057"/>
    <w:docVar w:name="doc_tbl00002_4_4" w:val="|#\ ##0;\(#\ ##0\);\-|1|2057"/>
    <w:docVar w:name="doc_tbl00002_5_1" w:val="GNI resources|@|1|2057"/>
    <w:docVar w:name="doc_tbl00002_5_2" w:val="3.1|@|1|2057"/>
    <w:docVar w:name="doc_tbl00002_5_3" w:val="95578.43749743|#\ ##0;\(#\ ##0\);\-|1|2057"/>
    <w:docVar w:name="doc_tbl00002_5_4" w:val="95354.73820221|#\ ##0;\(#\ ##0\);\-|1|2057"/>
    <w:docVar w:name="doc_tbl00002_6_1" w:val="Traditional own resources|@|1|2057"/>
    <w:docVar w:name="doc_tbl00002_6_2" w:val="3.2|@|1|2057"/>
    <w:docVar w:name="doc_tbl00002_6_3" w:val="20438.64004464|#\ ##0;\(#\ ##0\);\-|1|2057"/>
    <w:docVar w:name="doc_tbl00002_6_4" w:val="18649.17738415|#\ ##0;\(#\ ##0\);\-|1|2057"/>
    <w:docVar w:name="doc_tbl00002_7_1" w:val="VAT resources|@|1|2057"/>
    <w:docVar w:name="doc_tbl00002_7_2" w:val="3.3|@|1|2057"/>
    <w:docVar w:name="doc_tbl00002_7_3" w:val="15859.48383584|#\ ##0;\(#\ ##0\);\-|1|2057"/>
    <w:docVar w:name="doc_tbl00002_7_4" w:val="18328.41045843|#\ ##0;\(#\ ##0\);\-|1|2057"/>
    <w:docVar w:name="doc_tbl00002_8_1" w:val="Fines|@|1|2057"/>
    <w:docVar w:name="doc_tbl00002_8_2" w:val="3.4|@|1|2057"/>
    <w:docVar w:name="doc_tbl00002_8_3" w:val="3858.29901373|#\ ##0;\(#\ ##0\);\-|1|2057"/>
    <w:docVar w:name="doc_tbl00002_8_4" w:val="531.11626129|#\ ##0;\(#\ ##0\);\-|1|2057"/>
    <w:docVar w:name="doc_tbl00002_9_1" w:val="Recovery of expenses|@|1|2057"/>
    <w:docVar w:name="doc_tbl00002_9_2" w:val="3.5|@|1|2057"/>
    <w:docVar w:name="doc_tbl00002_9_3" w:val="1946.93836159|#\ ##0;\(#\ ##0\);\-|1|2057"/>
    <w:docVar w:name="doc_tbl00002_9_4" w:val="1547.30736377|#\ ##0;\(#\ ##0\);\-|1|2057"/>
    <w:docVar w:name="doc_tbl00004_1_1" w:val="|@|1|2057"/>
    <w:docVar w:name="doc_tbl00006_1_1" w:val="Type of asset|@|1|2057"/>
    <w:docVar w:name="doc_tbl00008_1_1" w:val="|@|1|2057"/>
    <w:docVar w:name="doc_tbl00020_1_1" w:val="|@|1|2057"/>
    <w:docVar w:name="doc_tbl00033_1_1" w:val="|@|1|2057"/>
    <w:docVar w:name="doc_tbl00034_1_1" w:val="|@|1|2057"/>
    <w:docVar w:name="doc_tbl00035_1_1" w:val="|@|1|2057"/>
    <w:docVar w:name="doc_tbl00036_1_1" w:val="|@|1|2057"/>
    <w:docVar w:name="doc_tbl00037_1_1" w:val="|@|1|2057"/>
    <w:docVar w:name="doc_tbl00038_1_1" w:val="|@|1|2057"/>
    <w:docVar w:name="doc_tbl00039_1_1" w:val="|@|1|2057"/>
    <w:docVar w:name="doc_tbl00040_1_1" w:val="|@|1|2057"/>
    <w:docVar w:name="doc_tbl00049_1_1" w:val="|@|1|2057"/>
    <w:docVar w:name="doc_tbl00067_1_1" w:val="|@|1|2057"/>
    <w:docVar w:name="doc_tbl00067_1_2" w:val="|@|1|2057"/>
    <w:docVar w:name="doc_tbl00067_1_3" w:val="|@|1|2057"/>
    <w:docVar w:name="doc_tbl00067_1_4" w:val="|@|1|2057"/>
    <w:docVar w:name="doc_tbl00067_1_5" w:val="|@|1|2057"/>
    <w:docVar w:name="doc_tbl00067_1_6" w:val="|@|1|2057"/>
    <w:docVar w:name="doc_tbl00067_1_7" w:val="|@|1|2057"/>
    <w:docVar w:name="doc_tbl00067_1_8" w:val="EUR millions|@|1|2057"/>
    <w:docVar w:name="doc_tbl00067_10_1" w:val="Financial income|@|1|2057"/>
    <w:docVar w:name="doc_tbl00067_10_2" w:val="87.01073659|#\ ##0;\(#\ ##0\);\-|1|2057"/>
    <w:docVar w:name="doc_tbl00067_10_3" w:val="0.12762932|#\ ##0;\(#\ ##0\);\-|1|2057"/>
    <w:docVar w:name="doc_tbl00067_10_4" w:val="0.05196507|#\ ##0;\(#\ ##0\);\-|1|2057"/>
    <w:docVar w:name="doc_tbl00067_10_5" w:val="21.00753224|#\ ##0;\(#\ ##0\);\-|1|2057"/>
    <w:docVar w:name="doc_tbl00067_10_6" w:val="0.1286631|#\ ##0;\(#\ ##0\);\-|1|2057"/>
    <w:docVar w:name="doc_tbl00067_10_7" w:val="1660.66654286|#\ ##0;\(#\ ##0\);\-|1|2057"/>
    <w:docVar w:name="doc_tbl00067_10_8" w:val="1768.99306918|#\ ##0;\(#\ ##0\);\-|1|2057"/>
    <w:docVar w:name="doc_tbl00067_11_1" w:val="Other|@|1|2057"/>
    <w:docVar w:name="doc_tbl00067_11_2" w:val="120.54126026|#\ ##0;\(#\ ##0\);\-|1|2057"/>
    <w:docVar w:name="doc_tbl00067_11_3" w:val="-11.37904303|#\ ##0;\(#\ ##0\);\-|1|2057"/>
    <w:docVar w:name="doc_tbl00067_11_4" w:val="-7.04301372|#\ ##0;\(#\ ##0\);\-|1|2057"/>
    <w:docVar w:name="doc_tbl00067_11_5" w:val="-4.87968223|#\ ##0;\(#\ ##0\);\-|1|2057"/>
    <w:docVar w:name="doc_tbl00067_11_6" w:val="306.97339587|#\ ##0;\(#\ ##0\);\-|1|2057"/>
    <w:docVar w:name="doc_tbl00067_11_7" w:val="591.8459115|#\ ##0;\(#\ ##0\);\-|1|2057"/>
    <w:docVar w:name="doc_tbl00067_11_8" w:val="996.05882865|#\ ##0;\(#\ ##0\);\-|1|2057"/>
    <w:docVar w:name="doc_tbl00067_12_1" w:val="Revenue from exchange transactions|@|1|2057"/>
    <w:docVar w:name="doc_tbl00067_12_2" w:val="207.55199685|#\ ##0;\(#\ ##0\);\-|1|2057"/>
    <w:docVar w:name="doc_tbl00067_12_3" w:val="-11.25141371|#\ ##0;\(#\ ##0\);\-|1|2057"/>
    <w:docVar w:name="doc_tbl00067_12_4" w:val="-6.99104865|#\ ##0;\(#\ ##0\);\-|1|2057"/>
    <w:docVar w:name="doc_tbl00067_12_5" w:val="16.12785001|#\ ##0;\(#\ ##0\);\-|1|2057"/>
    <w:docVar w:name="doc_tbl00067_12_6" w:val="307.10205897|#\ ##0;\(#\ ##0\);\-|1|2057"/>
    <w:docVar w:name="doc_tbl00067_12_7" w:val="2252.51245436|#\ ##0;\(#\ ##0\);\-|1|2057"/>
    <w:docVar w:name="doc_tbl00067_12_8" w:val="2765.05189783|#\ ##0;\(#\ ##0\);\-|1|2057"/>
    <w:docVar w:name="doc_tbl00067_13_1" w:val="Total revenue|@|1|2057"/>
    <w:docVar w:name="doc_tbl00067_13_2" w:val="1041.06047959|#\ ##0;\(#\ ##0\);\-|1|2057"/>
    <w:docVar w:name="doc_tbl00067_13_3" w:val="2030.04077319|#\ ##0;\(#\ ##0\);\-|1|2057"/>
    <w:docVar w:name="doc_tbl00067_13_4" w:val="24.70843517|#\ ##0;\(#\ ##0\);\-|1|2057"/>
    <w:docVar w:name="doc_tbl00067_13_5" w:val="144.32885935|#\ ##0;\(#\ ##0\);\-|1|2057"/>
    <w:docVar w:name="doc_tbl00067_13_6" w:val="5056.77680365|#\ ##0;\(#\ ##0\);\-|1|2057"/>
    <w:docVar w:name="doc_tbl00067_13_7" w:val="137890.65728235|#\ ##0;\(#\ ##0\);\-|1|2057"/>
    <w:docVar w:name="doc_tbl00067_13_8" w:val="146186.5726333|#\ ##0;\(#\ ##0\);\-|1|2057"/>
    <w:docVar w:name="doc_tbl00067_14_1" w:val="Expenses implemented by Member States:|@|1|2057"/>
    <w:docVar w:name="doc_tbl00067_14_2" w:val="|#\ ##0;\(#\ ##0\);\-|1|2057"/>
    <w:docVar w:name="doc_tbl00067_14_3" w:val="|#\ ##0;\(#\ ##0\);\-|1|2057"/>
    <w:docVar w:name="doc_tbl00067_14_4" w:val="|#\ ##0;\(#\ ##0\);\-|1|2057"/>
    <w:docVar w:name="doc_tbl00067_14_5" w:val="|#\ ##0;\(#\ ##0\);\-|1|2057"/>
    <w:docVar w:name="doc_tbl00067_14_6" w:val="|#\ ##0;\(#\ ##0\);\-|1|2057"/>
    <w:docVar w:name="doc_tbl00067_14_7" w:val="|#\ ##0;\(#\ ##0\);\-|1|2057"/>
    <w:docVar w:name="doc_tbl00067_14_8" w:val="|#\ ##0;\(#\ ##0\);\-|1|2057"/>
    <w:docVar w:name="doc_tbl00067_15_1" w:val="  EAGF|@|1|2057"/>
    <w:docVar w:name="doc_tbl00067_15_2" w:val="0|#\ ##0;\(#\ ##0\);\-|1|2057"/>
    <w:docVar w:name="doc_tbl00067_15_3" w:val="-44151.8472765203|#\ ##0;\(#\ ##0\);\-|1|2057"/>
    <w:docVar w:name="doc_tbl00067_15_4" w:val="0|#\ ##0;\(#\ ##0\);\-|1|2057"/>
    <w:docVar w:name="doc_tbl00067_15_5" w:val="0|#\ ##0;\(#\ ##0\);\-|1|2057"/>
    <w:docVar w:name="doc_tbl00067_15_6" w:val="0|#\ ##0;\(#\ ##0\);\-|1|2057"/>
    <w:docVar w:name="doc_tbl00067_15_7" w:val="0|#\ ##0;\(#\ ##0\);\-|1|2057"/>
    <w:docVar w:name="doc_tbl00067_15_8" w:val="-44151.8472765203|#\ ##0;\(#\ ##0\);\-|1|2057"/>
    <w:docVar w:name="doc_tbl00067_16_1" w:val="  EAFRD &amp; other rural development instruments|@|1|2057"/>
    <w:docVar w:name="doc_tbl00067_16_2" w:val="0|#\ ##0;\(#\ ##0\);\-|1|2057"/>
    <w:docVar w:name="doc_tbl00067_16_3" w:val="-12603.84142255|#\ ##0;\(#\ ##0\);\-|1|2057"/>
    <w:docVar w:name="doc_tbl00067_16_4" w:val="0|#\ ##0;\(#\ ##0\);\-|1|2057"/>
    <w:docVar w:name="doc_tbl00067_16_5" w:val="0|#\ ##0;\(#\ ##0\);\-|1|2057"/>
    <w:docVar w:name="doc_tbl00067_16_6" w:val="0|#\ ##0;\(#\ ##0\);\-|1|2057"/>
    <w:docVar w:name="doc_tbl00067_16_7" w:val="0|#\ ##0;\(#\ ##0\);\-|1|2057"/>
    <w:docVar w:name="doc_tbl00067_16_8" w:val="-12603.84142255|#\ ##0;\(#\ ##0\);\-|1|2057"/>
    <w:docVar w:name="doc_tbl00067_17_1" w:val="  ERDF &amp; CF|@|1|2057"/>
    <w:docVar w:name="doc_tbl00067_17_2" w:val="-35044.9725149|#\ ##0;\(#\ ##0\);\-|1|2057"/>
    <w:docVar w:name="doc_tbl00067_17_3" w:val="0|#\ ##0;\(#\ ##0\);\-|1|2057"/>
    <w:docVar w:name="doc_tbl00067_17_4" w:val="0|#\ ##0;\(#\ ##0\);\-|1|2057"/>
    <w:docVar w:name="doc_tbl00067_17_5" w:val="0|#\ ##0;\(#\ ##0\);\-|1|2057"/>
    <w:docVar w:name="doc_tbl00067_17_6" w:val="0|#\ ##0;\(#\ ##0\);\-|1|2057"/>
    <w:docVar w:name="doc_tbl00067_17_7" w:val="0|#\ ##0;\(#\ ##0\);\-|1|2057"/>
    <w:docVar w:name="doc_tbl00067_17_8" w:val="-35044.9725149|#\ ##0;\(#\ ##0\);\-|1|2057"/>
    <w:docVar w:name="doc_tbl00067_18_1" w:val="  ESF|@|1|2057"/>
    <w:docVar w:name="doc_tbl00067_18_2" w:val="-9365.9558632|#\ ##0;\(#\ ##0\);\-|1|2057"/>
    <w:docVar w:name="doc_tbl00067_18_3" w:val="0|#\ ##0;\(#\ ##0\);\-|1|2057"/>
    <w:docVar w:name="doc_tbl00067_18_4" w:val="0|#\ ##0;\(#\ ##0\);\-|1|2057"/>
    <w:docVar w:name="doc_tbl00067_18_5" w:val="0|#\ ##0;\(#\ ##0\);\-|1|2057"/>
    <w:docVar w:name="doc_tbl00067_18_6" w:val="0|#\ ##0;\(#\ ##0\);\-|1|2057"/>
    <w:docVar w:name="doc_tbl00067_18_7" w:val="0|#\ ##0;\(#\ ##0\);\-|1|2057"/>
    <w:docVar w:name="doc_tbl00067_18_8" w:val="-9365.9558632|#\ ##0;\(#\ ##0\);\-|1|2057"/>
    <w:docVar w:name="doc_tbl00067_19_1" w:val="  Other|@|1|2057"/>
    <w:docVar w:name="doc_tbl00067_19_2" w:val="-465.84780639|#\ ##0;\(#\ ##0\);\-|1|2057"/>
    <w:docVar w:name="doc_tbl00067_19_3" w:val="-753.50023291|#\ ##0;\(#\ ##0\);\-|1|2057"/>
    <w:docVar w:name="doc_tbl00067_19_4" w:val="-470.24572803|#\ ##0;\(#\ ##0\);\-|1|2057"/>
    <w:docVar w:name="doc_tbl00067_19_5" w:val="83.95001731|#\ ##0;\(#\ ##0\);\-|1|2057"/>
    <w:docVar w:name="doc_tbl00067_19_6" w:val="0|#\ ##0;\(#\ ##0\);\-|1|2057"/>
    <w:docVar w:name="doc_tbl00067_19_7" w:val="0|#\ ##0;\(#\ ##0\);\-|1|2057"/>
    <w:docVar w:name="doc_tbl00067_19_8" w:val="-1605.64375002|#\ ##0;\(#\ ##0\);\-|1|2057"/>
    <w:docVar w:name="doc_tbl00067_2_1" w:val="|@|1|2057"/>
    <w:docVar w:name="doc_tbl00067_2_2" w:val="Smart and inclusive growth|@|1|2057"/>
    <w:docVar w:name="doc_tbl00067_2_3" w:val="Sustainable growth|@|1|2057"/>
    <w:docVar w:name="doc_tbl00067_2_4" w:val="Security and citizenship|@|1|2057"/>
    <w:docVar w:name="doc_tbl00067_2_5" w:val="Global Europe|@|1|2057"/>
    <w:docVar w:name="doc_tbl00067_2_6" w:val="Administration|@|1|2057"/>
    <w:docVar w:name="doc_tbl00067_2_7" w:val="Not assigned to MFF heading*|@|1|2057"/>
    <w:docVar w:name="doc_tbl00067_2_8" w:val="Total|@|1|2057"/>
    <w:docVar w:name="doc_tbl00067_20_1" w:val="Implemented by the EC, executive agencies and trust funds|@|1|2057"/>
    <w:docVar w:name="doc_tbl00067_20_2" w:val="-10142.66596926|#\ ##0;\(#\ ##0\);\-|1|2057"/>
    <w:docVar w:name="doc_tbl00067_20_3" w:val="-543.59279703|#\ ##0;\(#\ ##0\);\-|1|2057"/>
    <w:docVar w:name="doc_tbl00067_20_4" w:val="-957.29767615|#\ ##0;\(#\ ##0\);\-|1|2057"/>
    <w:docVar w:name="doc_tbl00067_20_5" w:val="-3950.94775718|#\ ##0;\(#\ ##0\);\-|1|2057"/>
    <w:docVar w:name="doc_tbl00067_20_6" w:val="-49.61245246|#\ ##0;\(#\ ##0\);\-|1|2057"/>
    <w:docVar w:name="doc_tbl00067_20_7" w:val="34.11943545|#\ ##0;\(#\ ##0\);\-|1|2057"/>
    <w:docVar w:name="doc_tbl00067_20_8" w:val="-15609.99721663|#\ ##0;\(#\ ##0\);\-|1|2057"/>
    <w:docVar w:name="doc_tbl00067_21_1" w:val="Implemented by other EU agencies and bodies|@|1|2057"/>
    <w:docVar w:name="doc_tbl00067_21_2" w:val="-2027.79397931|#\ ##0;\(#\ ##0\);\-|1|2057"/>
    <w:docVar w:name="doc_tbl00067_21_3" w:val="-110.22251215|#\ ##0;\(#\ ##0\);\-|1|2057"/>
    <w:docVar w:name="doc_tbl00067_21_4" w:val="-661.52828789|#\ ##0;\(#\ ##0\);\-|1|2057"/>
    <w:docVar w:name="doc_tbl00067_21_5" w:val="-264.6607212|#\ ##0;\(#\ ##0\);\-|1|2057"/>
    <w:docVar w:name="doc_tbl00067_21_6" w:val="0|#\ ##0;\(#\ ##0\);\-|1|2057"/>
    <w:docVar w:name="doc_tbl00067_21_7" w:val="517.66968982|#\ ##0;\(#\ ##0\);\-|1|2057"/>
    <w:docVar w:name="doc_tbl00067_21_8" w:val="-2546.53581073|#\ ##0;\(#\ ##0\);\-|1|2057"/>
    <w:docVar w:name="doc_tbl00067_22_1" w:val="Implemented by third countries and int. org.|@|1|2057"/>
    <w:docVar w:name="doc_tbl00067_22_2" w:val="-273.84571682|#\ ##0;\(#\ ##0\);\-|1|2057"/>
    <w:docVar w:name="doc_tbl00067_22_3" w:val="-5.04457797|#\ ##0;\(#\ ##0\);\-|1|2057"/>
    <w:docVar w:name="doc_tbl00067_22_4" w:val="-187.93357663|#\ ##0;\(#\ ##0\);\-|1|2057"/>
    <w:docVar w:name="doc_tbl00067_22_5" w:val="-2791.73591714|#\ ##0;\(#\ ##0\);\-|1|2057"/>
    <w:docVar w:name="doc_tbl00067_22_6" w:val="0|#\ ##0;\(#\ ##0\);\-|1|2057"/>
    <w:docVar w:name="doc_tbl00067_22_7" w:val="0|#\ ##0;\(#\ ##0\);\-|1|2057"/>
    <w:docVar w:name="doc_tbl00067_22_8" w:val="-3257.55978856|#\ ##0;\(#\ ##0\);\-|1|2057"/>
    <w:docVar w:name="doc_tbl00067_23_1" w:val="Implemented by other entities|@|1|2057"/>
    <w:docVar w:name="doc_tbl00067_23_2" w:val="-1410.54021101|#\ ##0;\(#\ ##0\);\-|1|2057"/>
    <w:docVar w:name="doc_tbl00067_23_3" w:val="-16.34109538|#\ ##0;\(#\ ##0\);\-|1|2057"/>
    <w:docVar w:name="doc_tbl00067_23_4" w:val="-2.13710205|#\ ##0;\(#\ ##0\);\-|1|2057"/>
    <w:docVar w:name="doc_tbl00067_23_5" w:val="-605.7925795|#\ ##0;\(#\ ##0\);\-|1|2057"/>
    <w:docVar w:name="doc_tbl00067_23_6" w:val="-0.11025332|#\ ##0;\(#\ ##0\);\-|1|2057"/>
    <w:docVar w:name="doc_tbl00067_23_7" w:val="0|#\ ##0;\(#\ ##0\);\-|1|2057"/>
    <w:docVar w:name="doc_tbl00067_23_8" w:val="-2034.92124126|#\ ##0;\(#\ ##0\);\-|1|2057"/>
    <w:docVar w:name="doc_tbl00067_24_1" w:val="Staff and Pension costs|@|1|2057"/>
    <w:docVar w:name="doc_tbl00067_24_2" w:val="-1593.32892936|#\ ##0;\(#\ ##0\);\-|1|2057"/>
    <w:docVar w:name="doc_tbl00067_24_3" w:val="-345.15471567|#\ ##0;\(#\ ##0\);\-|1|2057"/>
    <w:docVar w:name="doc_tbl00067_24_4" w:val="-389.75908599|#\ ##0;\(#\ ##0\);\-|1|2057"/>
    <w:docVar w:name="doc_tbl00067_24_5" w:val="-575.21029861|#\ ##0;\(#\ ##0\);\-|1|2057"/>
    <w:docVar w:name="doc_tbl00067_24_6" w:val="-5968.29335466|#\ ##0;\(#\ ##0\);\-|1|2057"/>
    <w:docVar w:name="doc_tbl00067_24_7" w:val="-904.21631345|#\ ##0;\(#\ ##0\);\-|1|2057"/>
    <w:docVar w:name="doc_tbl00067_24_8" w:val="-9775.96269774|#\ ##0;\(#\ ##0\);\-|1|2057"/>
    <w:docVar w:name="doc_tbl00067_25_1" w:val="Changes in employee benefits actuarial assumptions|@|1|2057"/>
    <w:docVar w:name="doc_tbl00067_25_2" w:val="0|#\ ##0;\(#\ ##0\);\-|1|2057"/>
    <w:docVar w:name="doc_tbl00067_25_3" w:val="0|#\ ##0;\(#\ ##0\);\-|1|2057"/>
    <w:docVar w:name="doc_tbl00067_25_4" w:val="0|#\ ##0;\(#\ ##0\);\-|1|2057"/>
    <w:docVar w:name="doc_tbl00067_25_5" w:val="0|#\ ##0;\(#\ ##0\);\-|1|2057"/>
    <w:docVar w:name="doc_tbl00067_25_6" w:val="-1067.99724005|#\ ##0;\(#\ ##0\);\-|1|2057"/>
    <w:docVar w:name="doc_tbl00067_25_7" w:val="0|#\ ##0;\(#\ ##0\);\-|1|2057"/>
    <w:docVar w:name="doc_tbl00067_25_8" w:val="-1067.99724005|#\ ##0;\(#\ ##0\);\-|1|2057"/>
    <w:docVar w:name="doc_tbl00067_26_1" w:val="Finance costs|@|1|2057"/>
    <w:docVar w:name="doc_tbl00067_26_2" w:val="-173.40617562|#\ ##0;\(#\ ##0\);\-|1|2057"/>
    <w:docVar w:name="doc_tbl00067_26_3" w:val="-47.17707922|#\ ##0;\(#\ ##0\);\-|1|2057"/>
    <w:docVar w:name="doc_tbl00067_26_4" w:val="-0.52181596|#\ ##0;\(#\ ##0\);\-|1|2057"/>
    <w:docVar w:name="doc_tbl00067_26_5" w:val="-20.11809676|#\ ##0;\(#\ ##0\);\-|1|2057"/>
    <w:docVar w:name="doc_tbl00067_26_6" w:val="-126.91809118|#\ ##0;\(#\ ##0\);\-|1|2057"/>
    <w:docVar w:name="doc_tbl00067_26_7" w:val="-1536.03357265|#\ ##0;\(#\ ##0\);\-|1|2057"/>
    <w:docVar w:name="doc_tbl00067_26_8" w:val="-1904.17483139|#\ ##0;\(#\ ##0\);\-|1|2057"/>
    <w:docVar w:name="doc_tbl00067_27_1" w:val="Share of result of joint ventures &amp; associates|@|1|2057"/>
    <w:docVar w:name="doc_tbl00067_27_2" w:val="2.2297431|#\ ##0;\(#\ ##0\);\-|1|2057"/>
    <w:docVar w:name="doc_tbl00067_27_3" w:val="0|#\ ##0;\(#\ ##0\);\-|1|2057"/>
    <w:docVar w:name="doc_tbl00067_27_4" w:val="0|#\ ##0;\(#\ ##0\);\-|1|2057"/>
    <w:docVar w:name="doc_tbl00067_27_5" w:val="0|#\ ##0;\(#\ ##0\);\-|1|2057"/>
    <w:docVar w:name="doc_tbl00067_27_6" w:val="0|#\ ##0;\(#\ ##0\);\-|1|2057"/>
    <w:docVar w:name="doc_tbl00067_27_7" w:val="0|#\ ##0;\(#\ ##0\);\-|1|2057"/>
    <w:docVar w:name="doc_tbl00067_27_8" w:val="2.2297431|#\ ##0;\(#\ ##0\);\-|1|2057"/>
    <w:docVar w:name="doc_tbl00067_28_1" w:val="Other expenses|@|1|2057"/>
    <w:docVar w:name="doc_tbl00067_28_2" w:val="-1467.87387421|#\ ##0;\(#\ ##0\);\-|1|2057"/>
    <w:docVar w:name="doc_tbl00067_28_3" w:val="-82.60830249|#\ ##0;\(#\ ##0\);\-|1|2057"/>
    <w:docVar w:name="doc_tbl00067_28_4" w:val="-102.28640685|#\ ##0;\(#\ ##0\);\-|1|2057"/>
    <w:docVar w:name="doc_tbl00067_28_5" w:val="-70.47484337|#\ ##0;\(#\ ##0\);\-|1|2057"/>
    <w:docVar w:name="doc_tbl00067_28_6" w:val="-3196.30809961|#\ ##0;\(#\ ##0\);\-|1|2057"/>
    <w:docVar w:name="doc_tbl00067_28_7" w:val="-566.2810479|#\ ##0;\(#\ ##0\);\-|1|2057"/>
    <w:docVar w:name="doc_tbl00067_28_8" w:val="-5485.83257443|#\ ##0;\(#\ ##0\);\-|1|2057"/>
    <w:docVar w:name="doc_tbl00067_29_1" w:val="Total expenses|@|1|2057"/>
    <w:docVar w:name="doc_tbl00067_29_2" w:val="-61964.00129698|#\ ##0;\(#\ ##0\);\-|1|2057"/>
    <w:docVar w:name="doc_tbl00067_29_3" w:val="-58659.3300118903|#\ ##0;\(#\ ##0\);\-|1|2057"/>
    <w:docVar w:name="doc_tbl00067_29_4" w:val="-2771.70967955|#\ ##0;\(#\ ##0\);\-|1|2057"/>
    <w:docVar w:name="doc_tbl00067_29_5" w:val="-8194.99019645|#\ ##0;\(#\ ##0\);\-|1|2057"/>
    <w:docVar w:name="doc_tbl00067_29_6" w:val="-10409.23949128|#\ ##0;\(#\ ##0\);\-|1|2057"/>
    <w:docVar w:name="doc_tbl00067_29_7" w:val="-2454.74180873|#\ ##0;\(#\ ##0\);\-|1|2057"/>
    <w:docVar w:name="doc_tbl00067_29_8" w:val="-144454.01248488|#\ ##0;\(#\ ##0\);\-|1|2057"/>
    <w:docVar w:name="doc_tbl00067_3_1" w:val="GNI resources|@|1|2057"/>
    <w:docVar w:name="doc_tbl00067_3_2" w:val="0|#\ ##0;\(#\ ##0\);\-|1|2057"/>
    <w:docVar w:name="doc_tbl00067_3_3" w:val="0|#\ ##0;\(#\ ##0\);\-|1|2057"/>
    <w:docVar w:name="doc_tbl00067_3_4" w:val="0|#\ ##0;\(#\ ##0\);\-|1|2057"/>
    <w:docVar w:name="doc_tbl00067_3_5" w:val="0|#\ ##0;\(#\ ##0\);\-|1|2057"/>
    <w:docVar w:name="doc_tbl00067_3_6" w:val="0|#\ ##0;\(#\ ##0\);\-|1|2057"/>
    <w:docVar w:name="doc_tbl00067_3_7" w:val="95578.43749743|#\ ##0;\(#\ ##0\);\-|1|2057"/>
    <w:docVar w:name="doc_tbl00067_3_8" w:val="95578.43749743|#\ ##0;\(#\ ##0\);\-|1|2057"/>
    <w:docVar w:name="doc_tbl00067_30_1" w:val="Economic result of the year|@|1|2057"/>
    <w:docVar w:name="doc_tbl00067_30_2" w:val="-60922.94081739|#\ ##0;\(#\ ##0\);\-|1|2057"/>
    <w:docVar w:name="doc_tbl00067_30_3" w:val="-56629.2892387003|#\ ##0;\(#\ ##0\);\-|1|2057"/>
    <w:docVar w:name="doc_tbl00067_30_4" w:val="-2747.00124438|#\ ##0;\(#\ ##0\);\-|1|2057"/>
    <w:docVar w:name="doc_tbl00067_30_5" w:val="-8050.6613371|#\ ##0;\(#\ ##0\);\-|1|2057"/>
    <w:docVar w:name="doc_tbl00067_30_6" w:val="-5352.46268763|#\ ##0;\(#\ ##0\);\-|1|2057"/>
    <w:docVar w:name="doc_tbl00067_30_7" w:val="135435.91547362|#\ ##0;\(#\ ##0\);\-|1|2057"/>
    <w:docVar w:name="doc_tbl00067_30_8" w:val="1732.5601484197|#\ ##0;\(#\ ##0\);\-|1|2057"/>
    <w:docVar w:name="doc_tbl00067_4_1" w:val="Traditional own resources|@|1|2057"/>
    <w:docVar w:name="doc_tbl00067_4_2" w:val="0|#\ ##0;\(#\ ##0\);\-|1|2057"/>
    <w:docVar w:name="doc_tbl00067_4_3" w:val="0|#\ ##0;\(#\ ##0\);\-|1|2057"/>
    <w:docVar w:name="doc_tbl00067_4_4" w:val="0|#\ ##0;\(#\ ##0\);\-|1|2057"/>
    <w:docVar w:name="doc_tbl00067_4_5" w:val="0|#\ ##0;\(#\ ##0\);\-|1|2057"/>
    <w:docVar w:name="doc_tbl00067_4_6" w:val="0|#\ ##0;\(#\ ##0\);\-|1|2057"/>
    <w:docVar w:name="doc_tbl00067_4_7" w:val="20438.64004464|#\ ##0;\(#\ ##0\);\-|1|2057"/>
    <w:docVar w:name="doc_tbl00067_4_8" w:val="20438.64004464|#\ ##0;\(#\ ##0\);\-|1|2057"/>
    <w:docVar w:name="doc_tbl00067_5_1" w:val="VAT|@|1|2057"/>
    <w:docVar w:name="doc_tbl00067_5_2" w:val="0|#\ ##0;\(#\ ##0\);\-|1|2057"/>
    <w:docVar w:name="doc_tbl00067_5_3" w:val="0|#\ ##0;\(#\ ##0\);\-|1|2057"/>
    <w:docVar w:name="doc_tbl00067_5_4" w:val="0|#\ ##0;\(#\ ##0\);\-|1|2057"/>
    <w:docVar w:name="doc_tbl00067_5_5" w:val="0|#\ ##0;\(#\ ##0\);\-|1|2057"/>
    <w:docVar w:name="doc_tbl00067_5_6" w:val="0|#\ ##0;\(#\ ##0\);\-|1|2057"/>
    <w:docVar w:name="doc_tbl00067_5_7" w:val="15859.48383584|#\ ##0;\(#\ ##0\);\-|1|2057"/>
    <w:docVar w:name="doc_tbl00067_5_8" w:val="15859.48383584|#\ ##0;\(#\ ##0\);\-|1|2057"/>
    <w:docVar w:name="doc_tbl00067_6_1" w:val="Fines|@|1|2057"/>
    <w:docVar w:name="doc_tbl00067_6_2" w:val="0|#\ ##0;\(#\ ##0\);\-|1|2057"/>
    <w:docVar w:name="doc_tbl00067_6_3" w:val="0|#\ ##0;\(#\ ##0\);\-|1|2057"/>
    <w:docVar w:name="doc_tbl00067_6_4" w:val="0|#\ ##0;\(#\ ##0\);\-|1|2057"/>
    <w:docVar w:name="doc_tbl00067_6_5" w:val="0|#\ ##0;\(#\ ##0\);\-|1|2057"/>
    <w:docVar w:name="doc_tbl00067_6_6" w:val="0|#\ ##0;\(#\ ##0\);\-|1|2057"/>
    <w:docVar w:name="doc_tbl00067_6_7" w:val="3858.29901373|#\ ##0;\(#\ ##0\);\-|1|2057"/>
    <w:docVar w:name="doc_tbl00067_6_8" w:val="3858.29901373|#\ ##0;\(#\ ##0\);\-|1|2057"/>
    <w:docVar w:name="doc_tbl00067_7_1" w:val="Recovery of expenses|@|1|2057"/>
    <w:docVar w:name="doc_tbl00067_7_2" w:val="48.17892812|#\ ##0;\(#\ ##0\);\-|1|2057"/>
    <w:docVar w:name="doc_tbl00067_7_3" w:val="1870.52661797|#\ ##0;\(#\ ##0\);\-|1|2057"/>
    <w:docVar w:name="doc_tbl00067_7_4" w:val="4.17883163|#\ ##0;\(#\ ##0\);\-|1|2057"/>
    <w:docVar w:name="doc_tbl00067_7_5" w:val="23.45223113|#\ ##0;\(#\ ##0\);\-|1|2057"/>
    <w:docVar w:name="doc_tbl00067_7_6" w:val="0|#\ ##0;\(#\ ##0\);\-|1|2057"/>
    <w:docVar w:name="doc_tbl00067_7_7" w:val="0.60175274|#\ ##0;\(#\ ##0\);\-|1|2057"/>
    <w:docVar w:name="doc_tbl00067_7_8" w:val="1946.93836159|#\ ##0;\(#\ ##0\);\-|1|2057"/>
    <w:docVar w:name="doc_tbl00067_8_1" w:val="Other|@|1|2057"/>
    <w:docVar w:name="doc_tbl00067_8_2" w:val="785.32955462|#\ ##0;\(#\ ##0\);\-|1|2057"/>
    <w:docVar w:name="doc_tbl00067_8_3" w:val="170.76556893|#\ ##0;\(#\ ##0\);\-|1|2057"/>
    <w:docVar w:name="doc_tbl00067_8_4" w:val="27.52065219|#\ ##0;\(#\ ##0\);\-|1|2057"/>
    <w:docVar w:name="doc_tbl00067_8_5" w:val="104.74877821|#\ ##0;\(#\ ##0\);\-|1|2057"/>
    <w:docVar w:name="doc_tbl00067_8_6" w:val="4749.67474468|#\ ##0;\(#\ ##0\);\-|1|2057"/>
    <w:docVar w:name="doc_tbl00067_8_7" w:val="-97.31731639|#\ ##0;\(#\ ##0\);\-|1|2057"/>
    <w:docVar w:name="doc_tbl00067_8_8" w:val="5739.72198224|#\ ##0;\(#\ ##0\);\-|1|2057"/>
    <w:docVar w:name="doc_tbl00067_9_1" w:val="Revenue from non-exchange transactions|@|1|2057"/>
    <w:docVar w:name="doc_tbl00067_9_2" w:val="833.50848274|#\ ##0;\(#\ ##0\);\-|1|2057"/>
    <w:docVar w:name="doc_tbl00067_9_3" w:val="2041.2921869|#\ ##0;\(#\ ##0\);\-|1|2057"/>
    <w:docVar w:name="doc_tbl00067_9_4" w:val="31.69948382|#\ ##0;\(#\ ##0\);\-|1|2057"/>
    <w:docVar w:name="doc_tbl00067_9_5" w:val="128.20100934|#\ ##0;\(#\ ##0\);\-|1|2057"/>
    <w:docVar w:name="doc_tbl00067_9_6" w:val="4749.67474468|#\ ##0;\(#\ ##0\);\-|1|2057"/>
    <w:docVar w:name="doc_tbl00067_9_7" w:val="135638.14482799|#\ ##0;\(#\ ##0\);\-|1|2057"/>
    <w:docVar w:name="doc_tbl00067_9_8" w:val="143421.52073547|#\ ##0;\(#\ ##0\);\-|1|2057"/>
    <w:docVar w:name="doc_tbl00088_1_1" w:val="|@|1|2057"/>
    <w:docVar w:name="doc_tbl00098_1_1" w:val="|@|1|2057"/>
    <w:docVar w:name="doc_tbl00106_1_1" w:val="|@|1|2057"/>
    <w:docVar w:name="DocStatus" w:val="Green"/>
    <w:docVar w:name="LW_CONFIDENCE" w:val=" "/>
    <w:docVar w:name="LW_CONST_RESTREINT_UE" w:val="RESTREINT UE/EU RESTRICTED"/>
    <w:docVar w:name="LW_CORRIGENDUM" w:val="&lt;UNUSED&gt;"/>
    <w:docVar w:name="LW_COVERPAGE_GUID" w:val="B304E4B95C3F4A5CAF9121E3FEC8CF72"/>
    <w:docVar w:name="LW_CROSSREFERENCE" w:val="&lt;UNUSED&gt;"/>
    <w:docVar w:name="LW_DocType" w:val="NORMAL"/>
    <w:docVar w:name="LW_EMISSION" w:val="26.6.2017"/>
    <w:docVar w:name="LW_EMISSION_ISODATE" w:val="2017-06-26"/>
    <w:docVar w:name="LW_EMISSION_LOCATION" w:val="BRX"/>
    <w:docVar w:name="LW_EMISSION_PREFIX" w:val="Bruxelles, le "/>
    <w:docVar w:name="LW_EMISSION_SUFFIX" w:val=" "/>
    <w:docVar w:name="LW_ID_DOCTYPE_NONLW" w:val="CP-009"/>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365"/>
    <w:docVar w:name="LW_REF.INTERNE" w:val="&lt;UNUSED&gt;"/>
    <w:docVar w:name="LW_SOUS.TITRE.OBJ.CP" w:val="&lt;UNUSED&gt;"/>
    <w:docVar w:name="LW_SUPERTITRE" w:val="&lt;UNUSED&gt;"/>
    <w:docVar w:name="LW_TITRE.OBJ.CP" w:val="COMPTES ANNUELS CONSOLIDÉS DE L\u8217?UNION EUROPÉENNE 2016"/>
    <w:docVar w:name="LW_TYPE.DOC.CP" w:val="COMMUNICATION DE LA COMMISSION"/>
    <w:docVar w:name="LW_TYPE.DOC.CP.USERTEXT" w:val="AU PARLEMENT EUROPÉEN, AU CONSEIL ET À LA COUR DES COMPTES_x000b_"/>
  </w:docVars>
  <w:rsids>
    <w:rsidRoot w:val="005B4EEC"/>
    <w:rsid w:val="00020BBB"/>
    <w:rsid w:val="000249F1"/>
    <w:rsid w:val="00031A85"/>
    <w:rsid w:val="00033DEC"/>
    <w:rsid w:val="00036FA3"/>
    <w:rsid w:val="00047884"/>
    <w:rsid w:val="00062179"/>
    <w:rsid w:val="00066625"/>
    <w:rsid w:val="000A1C47"/>
    <w:rsid w:val="000C7DC9"/>
    <w:rsid w:val="000D7577"/>
    <w:rsid w:val="000F1A60"/>
    <w:rsid w:val="00100380"/>
    <w:rsid w:val="00114CDF"/>
    <w:rsid w:val="00120C22"/>
    <w:rsid w:val="001673CD"/>
    <w:rsid w:val="001B1596"/>
    <w:rsid w:val="001B4E57"/>
    <w:rsid w:val="001C05A2"/>
    <w:rsid w:val="001D1FAD"/>
    <w:rsid w:val="001D393A"/>
    <w:rsid w:val="00211221"/>
    <w:rsid w:val="00233AA8"/>
    <w:rsid w:val="002345E0"/>
    <w:rsid w:val="002465A5"/>
    <w:rsid w:val="00261825"/>
    <w:rsid w:val="0028288A"/>
    <w:rsid w:val="002D0DF5"/>
    <w:rsid w:val="002E33BE"/>
    <w:rsid w:val="002E5290"/>
    <w:rsid w:val="00342FE4"/>
    <w:rsid w:val="00352D0D"/>
    <w:rsid w:val="003745EE"/>
    <w:rsid w:val="003850AF"/>
    <w:rsid w:val="003A02A6"/>
    <w:rsid w:val="003A71F5"/>
    <w:rsid w:val="003B65D7"/>
    <w:rsid w:val="003D7E28"/>
    <w:rsid w:val="003E248E"/>
    <w:rsid w:val="003F4C8C"/>
    <w:rsid w:val="003F6E65"/>
    <w:rsid w:val="00405923"/>
    <w:rsid w:val="004215AE"/>
    <w:rsid w:val="00453716"/>
    <w:rsid w:val="00476109"/>
    <w:rsid w:val="00483C31"/>
    <w:rsid w:val="004A2DAF"/>
    <w:rsid w:val="004B74B7"/>
    <w:rsid w:val="004C22EA"/>
    <w:rsid w:val="004C2644"/>
    <w:rsid w:val="004E0532"/>
    <w:rsid w:val="004E4D5F"/>
    <w:rsid w:val="00525E53"/>
    <w:rsid w:val="005332CE"/>
    <w:rsid w:val="005A0D9C"/>
    <w:rsid w:val="005A35BC"/>
    <w:rsid w:val="005B4EEC"/>
    <w:rsid w:val="006166A9"/>
    <w:rsid w:val="0062547D"/>
    <w:rsid w:val="00634641"/>
    <w:rsid w:val="00642823"/>
    <w:rsid w:val="0065302B"/>
    <w:rsid w:val="00662F69"/>
    <w:rsid w:val="006859E1"/>
    <w:rsid w:val="006A213A"/>
    <w:rsid w:val="006A7485"/>
    <w:rsid w:val="006B37B2"/>
    <w:rsid w:val="006C4C5B"/>
    <w:rsid w:val="006D3185"/>
    <w:rsid w:val="006D368D"/>
    <w:rsid w:val="00714ED3"/>
    <w:rsid w:val="00736582"/>
    <w:rsid w:val="0074388D"/>
    <w:rsid w:val="00766E7F"/>
    <w:rsid w:val="00770061"/>
    <w:rsid w:val="007972B6"/>
    <w:rsid w:val="007A6E22"/>
    <w:rsid w:val="007D40EF"/>
    <w:rsid w:val="007D7D24"/>
    <w:rsid w:val="007E4449"/>
    <w:rsid w:val="008150C7"/>
    <w:rsid w:val="00833247"/>
    <w:rsid w:val="0083616E"/>
    <w:rsid w:val="00841294"/>
    <w:rsid w:val="008774C0"/>
    <w:rsid w:val="008C0768"/>
    <w:rsid w:val="008D1615"/>
    <w:rsid w:val="008F34B0"/>
    <w:rsid w:val="008F6C77"/>
    <w:rsid w:val="00915D0A"/>
    <w:rsid w:val="00931CB8"/>
    <w:rsid w:val="00934840"/>
    <w:rsid w:val="00935C9E"/>
    <w:rsid w:val="00972E9E"/>
    <w:rsid w:val="00976452"/>
    <w:rsid w:val="009A5198"/>
    <w:rsid w:val="009A6003"/>
    <w:rsid w:val="009E2F05"/>
    <w:rsid w:val="00A325C6"/>
    <w:rsid w:val="00A60ED1"/>
    <w:rsid w:val="00A75D1D"/>
    <w:rsid w:val="00AA2D40"/>
    <w:rsid w:val="00AA3095"/>
    <w:rsid w:val="00AB079D"/>
    <w:rsid w:val="00AB10B7"/>
    <w:rsid w:val="00AB6769"/>
    <w:rsid w:val="00AC582D"/>
    <w:rsid w:val="00AD5494"/>
    <w:rsid w:val="00AE70D8"/>
    <w:rsid w:val="00B2086C"/>
    <w:rsid w:val="00B21028"/>
    <w:rsid w:val="00B2301A"/>
    <w:rsid w:val="00B269C3"/>
    <w:rsid w:val="00B26AF6"/>
    <w:rsid w:val="00B554BF"/>
    <w:rsid w:val="00B57853"/>
    <w:rsid w:val="00B6073C"/>
    <w:rsid w:val="00B71D95"/>
    <w:rsid w:val="00B9267D"/>
    <w:rsid w:val="00B92C03"/>
    <w:rsid w:val="00B94F51"/>
    <w:rsid w:val="00BA56DF"/>
    <w:rsid w:val="00BD189F"/>
    <w:rsid w:val="00BD1908"/>
    <w:rsid w:val="00BD6345"/>
    <w:rsid w:val="00BD76EF"/>
    <w:rsid w:val="00C050AF"/>
    <w:rsid w:val="00C12D51"/>
    <w:rsid w:val="00C5561D"/>
    <w:rsid w:val="00C60B71"/>
    <w:rsid w:val="00C80909"/>
    <w:rsid w:val="00CE15E6"/>
    <w:rsid w:val="00D429A2"/>
    <w:rsid w:val="00D933E4"/>
    <w:rsid w:val="00DA481C"/>
    <w:rsid w:val="00DC6845"/>
    <w:rsid w:val="00DF04E0"/>
    <w:rsid w:val="00E30E23"/>
    <w:rsid w:val="00E41289"/>
    <w:rsid w:val="00E77984"/>
    <w:rsid w:val="00E932A8"/>
    <w:rsid w:val="00E95655"/>
    <w:rsid w:val="00EA2AAE"/>
    <w:rsid w:val="00EB1616"/>
    <w:rsid w:val="00EC4534"/>
    <w:rsid w:val="00EC7601"/>
    <w:rsid w:val="00ED2730"/>
    <w:rsid w:val="00F418CB"/>
    <w:rsid w:val="00F7695A"/>
    <w:rsid w:val="00F82531"/>
    <w:rsid w:val="00FB0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uiPriority="39"/>
    <w:lsdException w:name="toc 5"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3E248E"/>
    <w:pPr>
      <w:tabs>
        <w:tab w:val="left" w:pos="660"/>
        <w:tab w:val="right" w:leader="dot" w:pos="9629"/>
      </w:tabs>
      <w:spacing w:after="120"/>
      <w:contextualSpacing/>
    </w:pPr>
    <w:rPr>
      <w:rFonts w:ascii="Verdana" w:hAnsi="Verdana"/>
      <w:caps/>
      <w:noProof/>
      <w:color w:val="31849B" w:themeColor="accent5" w:themeShade="BF"/>
      <w:szCs w:val="24"/>
      <w:lang w:val="en-GB" w:eastAsia="en-GB" w:bidi="ar-SA"/>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styleId="TOC2">
    <w:name w:val="toc 2"/>
    <w:next w:val="Textstand-alone"/>
    <w:autoRedefine/>
    <w:uiPriority w:val="39"/>
    <w:unhideWhenUsed/>
    <w:qFormat/>
    <w:rsid w:val="003E248E"/>
    <w:pPr>
      <w:tabs>
        <w:tab w:val="left" w:pos="1100"/>
        <w:tab w:val="right" w:leader="dot" w:pos="9629"/>
      </w:tabs>
      <w:spacing w:after="60"/>
      <w:ind w:left="851" w:right="567" w:hanging="567"/>
    </w:pPr>
    <w:rPr>
      <w:rFonts w:ascii="Verdana" w:hAnsi="Verdana"/>
      <w:smallCaps/>
      <w:noProof/>
      <w:color w:val="404040" w:themeColor="text1" w:themeTint="BF"/>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rPr>
  </w:style>
  <w:style w:type="character" w:customStyle="1" w:styleId="DGTextstand-aloneChar">
    <w:name w:val="DG_Text_stand-alone Char"/>
    <w:link w:val="DGTextstand-alone"/>
    <w:rsid w:val="00CF5838"/>
    <w:rPr>
      <w:rFonts w:ascii="Verdana" w:hAnsi="Verdana"/>
      <w:noProof/>
      <w:sz w:val="18"/>
      <w:szCs w:val="18"/>
      <w:lang w:eastAsia="fr-FR"/>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rPr>
  </w:style>
  <w:style w:type="paragraph" w:customStyle="1" w:styleId="Text8pItalicRight025EUR">
    <w:name w:val="Text_8p_Italic_Right_0.25_EUR"/>
    <w:qFormat/>
    <w:rsid w:val="003F7D8E"/>
    <w:pPr>
      <w:ind w:right="142"/>
      <w:jc w:val="right"/>
    </w:pPr>
    <w:rPr>
      <w:rFonts w:ascii="Verdana" w:hAnsi="Verdana"/>
      <w:i/>
      <w:noProof/>
      <w:sz w:val="16"/>
      <w:szCs w:val="18"/>
    </w:rPr>
  </w:style>
  <w:style w:type="paragraph" w:customStyle="1" w:styleId="Heading10pNormalLeft">
    <w:name w:val="Heading_10p_Normal_Left"/>
    <w:qFormat/>
    <w:rsid w:val="003F7D8E"/>
    <w:rPr>
      <w:rFonts w:ascii="Verdana" w:hAnsi="Verdana"/>
      <w:noProof/>
      <w:color w:val="FFFFFF"/>
      <w:szCs w:val="30"/>
    </w:rPr>
  </w:style>
  <w:style w:type="paragraph" w:customStyle="1" w:styleId="Heading10pNormalRight025">
    <w:name w:val="Heading_10p_Normal_Right_0.25"/>
    <w:qFormat/>
    <w:rsid w:val="003F7D8E"/>
    <w:pPr>
      <w:ind w:right="142"/>
      <w:jc w:val="right"/>
    </w:pPr>
    <w:rPr>
      <w:rFonts w:ascii="Verdana" w:hAnsi="Verdana"/>
      <w:noProof/>
      <w:color w:val="FFFFFF"/>
      <w:szCs w:val="30"/>
    </w:rPr>
  </w:style>
  <w:style w:type="paragraph" w:customStyle="1" w:styleId="Text9pBoldLeft">
    <w:name w:val="Text_9p_Bold_Left"/>
    <w:qFormat/>
    <w:rsid w:val="003F7D8E"/>
    <w:rPr>
      <w:rFonts w:ascii="Verdana" w:hAnsi="Verdana"/>
      <w:b/>
      <w:noProof/>
      <w:sz w:val="18"/>
      <w:szCs w:val="18"/>
    </w:rPr>
  </w:style>
  <w:style w:type="paragraph" w:customStyle="1" w:styleId="Figures9pItalicRight025">
    <w:name w:val="Figures_9p_Italic_Right_0.25"/>
    <w:qFormat/>
    <w:rsid w:val="003F7D8E"/>
    <w:pPr>
      <w:ind w:right="142"/>
      <w:jc w:val="right"/>
    </w:pPr>
    <w:rPr>
      <w:rFonts w:ascii="Verdana" w:hAnsi="Verdana"/>
      <w:i/>
      <w:noProof/>
      <w:sz w:val="18"/>
      <w:szCs w:val="18"/>
    </w:rPr>
  </w:style>
  <w:style w:type="paragraph" w:customStyle="1" w:styleId="Text9pItalicLeft">
    <w:name w:val="Text_9p_Italic_Left"/>
    <w:qFormat/>
    <w:rsid w:val="003F7D8E"/>
    <w:rPr>
      <w:rFonts w:ascii="Verdana" w:hAnsi="Verdana"/>
      <w:i/>
      <w:noProof/>
      <w:sz w:val="18"/>
      <w:szCs w:val="18"/>
    </w:rPr>
  </w:style>
  <w:style w:type="paragraph" w:customStyle="1" w:styleId="Text9pItalicCentered">
    <w:name w:val="Text_9p_Italic_Centered"/>
    <w:qFormat/>
    <w:rsid w:val="003F7D8E"/>
    <w:pPr>
      <w:jc w:val="center"/>
    </w:pPr>
    <w:rPr>
      <w:rFonts w:ascii="Verdana" w:hAnsi="Verdana"/>
      <w:i/>
      <w:noProof/>
      <w:sz w:val="18"/>
      <w:szCs w:val="18"/>
    </w:rPr>
  </w:style>
  <w:style w:type="paragraph" w:customStyle="1" w:styleId="Figures9pBoldRight025">
    <w:name w:val="Figures_9p_Bold_Right_0.25"/>
    <w:qFormat/>
    <w:rsid w:val="003F7D8E"/>
    <w:pPr>
      <w:ind w:right="142"/>
      <w:jc w:val="right"/>
    </w:pPr>
    <w:rPr>
      <w:rFonts w:ascii="Verdana" w:hAnsi="Verdana"/>
      <w:b/>
      <w:noProof/>
      <w:sz w:val="18"/>
      <w:szCs w:val="18"/>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fr-FR"/>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rPr>
  </w:style>
  <w:style w:type="paragraph" w:customStyle="1" w:styleId="Figures9pItalicCentered">
    <w:name w:val="Figures_9p_Italic_Centered"/>
    <w:qFormat/>
    <w:rsid w:val="00412DF5"/>
    <w:pPr>
      <w:jc w:val="center"/>
    </w:pPr>
    <w:rPr>
      <w:rFonts w:ascii="Verdana" w:eastAsia="Calibri" w:hAnsi="Verdana"/>
      <w:i/>
      <w:noProof/>
      <w:sz w:val="18"/>
      <w:szCs w:val="18"/>
    </w:rPr>
  </w:style>
  <w:style w:type="paragraph" w:customStyle="1" w:styleId="TextSubtitlenumberingRCItalic">
    <w:name w:val="Text_Subtitle_(numbering RC Italic)"/>
    <w:basedOn w:val="Normal"/>
    <w:qFormat/>
    <w:rsid w:val="00D033B9"/>
    <w:pPr>
      <w:numPr>
        <w:numId w:val="5"/>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rPr>
  </w:style>
  <w:style w:type="paragraph" w:customStyle="1" w:styleId="Text8pBoldLeft">
    <w:name w:val="Text_8p_Bold_Left"/>
    <w:qFormat/>
    <w:rsid w:val="00F218F7"/>
    <w:rPr>
      <w:rFonts w:ascii="Verdana" w:eastAsia="Calibri" w:hAnsi="Verdana"/>
      <w:b/>
      <w:bCs/>
      <w:noProof/>
      <w:sz w:val="16"/>
    </w:rPr>
  </w:style>
  <w:style w:type="paragraph" w:customStyle="1" w:styleId="Heading10pNormalCentered">
    <w:name w:val="Heading_10p_Normal_Centered"/>
    <w:qFormat/>
    <w:rsid w:val="00D964C3"/>
    <w:pPr>
      <w:jc w:val="center"/>
    </w:pPr>
    <w:rPr>
      <w:rFonts w:ascii="Verdana" w:eastAsia="Calibri" w:hAnsi="Verdana"/>
      <w:noProof/>
      <w:color w:val="FFFFFF"/>
      <w:szCs w:val="30"/>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rPr>
  </w:style>
  <w:style w:type="paragraph" w:customStyle="1" w:styleId="Text9pItalicleftBlue">
    <w:name w:val="Text_9p_Italic_left_Blue"/>
    <w:qFormat/>
    <w:rsid w:val="00EC196D"/>
    <w:rPr>
      <w:rFonts w:ascii="Verdana" w:hAnsi="Verdana"/>
      <w:i/>
      <w:noProof/>
      <w:color w:val="016794"/>
      <w:sz w:val="18"/>
      <w:szCs w:val="18"/>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rPr>
  </w:style>
  <w:style w:type="paragraph" w:customStyle="1" w:styleId="Figures7pBoldRight025">
    <w:name w:val="Figures_7p_Bold_Right_0.25"/>
    <w:qFormat/>
    <w:rsid w:val="00DD36A7"/>
    <w:pPr>
      <w:ind w:right="142"/>
      <w:jc w:val="right"/>
    </w:pPr>
    <w:rPr>
      <w:rFonts w:ascii="Verdana" w:hAnsi="Verdana"/>
      <w:b/>
      <w:noProof/>
      <w:sz w:val="14"/>
      <w:szCs w:val="18"/>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ind w:left="357" w:hanging="357"/>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rPr>
  </w:style>
  <w:style w:type="paragraph" w:customStyle="1" w:styleId="Figures7pBoldRight01">
    <w:name w:val="Figures_7p_Bold_Right_0.1"/>
    <w:qFormat/>
    <w:rsid w:val="003A6D15"/>
    <w:pPr>
      <w:ind w:right="57"/>
      <w:jc w:val="right"/>
    </w:pPr>
    <w:rPr>
      <w:rFonts w:ascii="Verdana" w:hAnsi="Verdana"/>
      <w:b/>
      <w:noProof/>
      <w:sz w:val="14"/>
      <w:szCs w:val="18"/>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rPr>
  </w:style>
  <w:style w:type="paragraph" w:customStyle="1" w:styleId="Text6pNormalLeft">
    <w:name w:val="Text_6p_Normal_Left"/>
    <w:qFormat/>
    <w:rsid w:val="006F5D74"/>
    <w:rPr>
      <w:rFonts w:ascii="Verdana" w:hAnsi="Verdana"/>
      <w:bCs/>
      <w:noProof/>
      <w:sz w:val="12"/>
    </w:rPr>
  </w:style>
  <w:style w:type="paragraph" w:customStyle="1" w:styleId="Figures6pNormalright01">
    <w:name w:val="Figures_6p_Normal_right_0.1"/>
    <w:qFormat/>
    <w:rsid w:val="006F5D74"/>
    <w:pPr>
      <w:ind w:right="57"/>
      <w:jc w:val="right"/>
    </w:pPr>
    <w:rPr>
      <w:rFonts w:ascii="Verdana" w:hAnsi="Verdana"/>
      <w:noProof/>
      <w:sz w:val="12"/>
      <w:szCs w:val="18"/>
    </w:rPr>
  </w:style>
  <w:style w:type="paragraph" w:customStyle="1" w:styleId="Text6pItalicLeft">
    <w:name w:val="Text_6p_Italic_Left"/>
    <w:qFormat/>
    <w:rsid w:val="006F5D74"/>
    <w:rPr>
      <w:rFonts w:ascii="Verdana" w:hAnsi="Verdana"/>
      <w:bCs/>
      <w:i/>
      <w:noProof/>
      <w:sz w:val="12"/>
    </w:rPr>
  </w:style>
  <w:style w:type="paragraph" w:customStyle="1" w:styleId="Text6pBoldLeft">
    <w:name w:val="Text_6p_Bold_Left"/>
    <w:qFormat/>
    <w:rsid w:val="006F5D74"/>
    <w:rPr>
      <w:rFonts w:ascii="Verdana" w:hAnsi="Verdana"/>
      <w:b/>
      <w:noProof/>
      <w:sz w:val="12"/>
      <w:szCs w:val="18"/>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 w:type="paragraph" w:styleId="TOC4">
    <w:name w:val="toc 4"/>
    <w:basedOn w:val="Normal"/>
    <w:next w:val="Normal"/>
    <w:autoRedefine/>
    <w:uiPriority w:val="39"/>
    <w:rsid w:val="003A02A6"/>
    <w:pPr>
      <w:spacing w:after="100"/>
      <w:ind w:left="720"/>
    </w:pPr>
  </w:style>
  <w:style w:type="paragraph" w:styleId="TOC5">
    <w:name w:val="toc 5"/>
    <w:basedOn w:val="Normal"/>
    <w:next w:val="Normal"/>
    <w:autoRedefine/>
    <w:uiPriority w:val="39"/>
    <w:rsid w:val="003A02A6"/>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uiPriority="39"/>
    <w:lsdException w:name="toc 5"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3E248E"/>
    <w:pPr>
      <w:tabs>
        <w:tab w:val="left" w:pos="660"/>
        <w:tab w:val="right" w:leader="dot" w:pos="9629"/>
      </w:tabs>
      <w:spacing w:after="120"/>
      <w:contextualSpacing/>
    </w:pPr>
    <w:rPr>
      <w:rFonts w:ascii="Verdana" w:hAnsi="Verdana"/>
      <w:caps/>
      <w:noProof/>
      <w:color w:val="31849B" w:themeColor="accent5" w:themeShade="BF"/>
      <w:szCs w:val="24"/>
      <w:lang w:val="en-GB" w:eastAsia="en-GB" w:bidi="ar-SA"/>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styleId="TOC2">
    <w:name w:val="toc 2"/>
    <w:next w:val="Textstand-alone"/>
    <w:autoRedefine/>
    <w:uiPriority w:val="39"/>
    <w:unhideWhenUsed/>
    <w:qFormat/>
    <w:rsid w:val="003E248E"/>
    <w:pPr>
      <w:tabs>
        <w:tab w:val="left" w:pos="1100"/>
        <w:tab w:val="right" w:leader="dot" w:pos="9629"/>
      </w:tabs>
      <w:spacing w:after="60"/>
      <w:ind w:left="851" w:right="567" w:hanging="567"/>
    </w:pPr>
    <w:rPr>
      <w:rFonts w:ascii="Verdana" w:hAnsi="Verdana"/>
      <w:smallCaps/>
      <w:noProof/>
      <w:color w:val="404040" w:themeColor="text1" w:themeTint="BF"/>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rPr>
  </w:style>
  <w:style w:type="character" w:customStyle="1" w:styleId="DGTextstand-aloneChar">
    <w:name w:val="DG_Text_stand-alone Char"/>
    <w:link w:val="DGTextstand-alone"/>
    <w:rsid w:val="00CF5838"/>
    <w:rPr>
      <w:rFonts w:ascii="Verdana" w:hAnsi="Verdana"/>
      <w:noProof/>
      <w:sz w:val="18"/>
      <w:szCs w:val="18"/>
      <w:lang w:eastAsia="fr-FR"/>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rPr>
  </w:style>
  <w:style w:type="paragraph" w:customStyle="1" w:styleId="Text8pItalicRight025EUR">
    <w:name w:val="Text_8p_Italic_Right_0.25_EUR"/>
    <w:qFormat/>
    <w:rsid w:val="003F7D8E"/>
    <w:pPr>
      <w:ind w:right="142"/>
      <w:jc w:val="right"/>
    </w:pPr>
    <w:rPr>
      <w:rFonts w:ascii="Verdana" w:hAnsi="Verdana"/>
      <w:i/>
      <w:noProof/>
      <w:sz w:val="16"/>
      <w:szCs w:val="18"/>
    </w:rPr>
  </w:style>
  <w:style w:type="paragraph" w:customStyle="1" w:styleId="Heading10pNormalLeft">
    <w:name w:val="Heading_10p_Normal_Left"/>
    <w:qFormat/>
    <w:rsid w:val="003F7D8E"/>
    <w:rPr>
      <w:rFonts w:ascii="Verdana" w:hAnsi="Verdana"/>
      <w:noProof/>
      <w:color w:val="FFFFFF"/>
      <w:szCs w:val="30"/>
    </w:rPr>
  </w:style>
  <w:style w:type="paragraph" w:customStyle="1" w:styleId="Heading10pNormalRight025">
    <w:name w:val="Heading_10p_Normal_Right_0.25"/>
    <w:qFormat/>
    <w:rsid w:val="003F7D8E"/>
    <w:pPr>
      <w:ind w:right="142"/>
      <w:jc w:val="right"/>
    </w:pPr>
    <w:rPr>
      <w:rFonts w:ascii="Verdana" w:hAnsi="Verdana"/>
      <w:noProof/>
      <w:color w:val="FFFFFF"/>
      <w:szCs w:val="30"/>
    </w:rPr>
  </w:style>
  <w:style w:type="paragraph" w:customStyle="1" w:styleId="Text9pBoldLeft">
    <w:name w:val="Text_9p_Bold_Left"/>
    <w:qFormat/>
    <w:rsid w:val="003F7D8E"/>
    <w:rPr>
      <w:rFonts w:ascii="Verdana" w:hAnsi="Verdana"/>
      <w:b/>
      <w:noProof/>
      <w:sz w:val="18"/>
      <w:szCs w:val="18"/>
    </w:rPr>
  </w:style>
  <w:style w:type="paragraph" w:customStyle="1" w:styleId="Figures9pItalicRight025">
    <w:name w:val="Figures_9p_Italic_Right_0.25"/>
    <w:qFormat/>
    <w:rsid w:val="003F7D8E"/>
    <w:pPr>
      <w:ind w:right="142"/>
      <w:jc w:val="right"/>
    </w:pPr>
    <w:rPr>
      <w:rFonts w:ascii="Verdana" w:hAnsi="Verdana"/>
      <w:i/>
      <w:noProof/>
      <w:sz w:val="18"/>
      <w:szCs w:val="18"/>
    </w:rPr>
  </w:style>
  <w:style w:type="paragraph" w:customStyle="1" w:styleId="Text9pItalicLeft">
    <w:name w:val="Text_9p_Italic_Left"/>
    <w:qFormat/>
    <w:rsid w:val="003F7D8E"/>
    <w:rPr>
      <w:rFonts w:ascii="Verdana" w:hAnsi="Verdana"/>
      <w:i/>
      <w:noProof/>
      <w:sz w:val="18"/>
      <w:szCs w:val="18"/>
    </w:rPr>
  </w:style>
  <w:style w:type="paragraph" w:customStyle="1" w:styleId="Text9pItalicCentered">
    <w:name w:val="Text_9p_Italic_Centered"/>
    <w:qFormat/>
    <w:rsid w:val="003F7D8E"/>
    <w:pPr>
      <w:jc w:val="center"/>
    </w:pPr>
    <w:rPr>
      <w:rFonts w:ascii="Verdana" w:hAnsi="Verdana"/>
      <w:i/>
      <w:noProof/>
      <w:sz w:val="18"/>
      <w:szCs w:val="18"/>
    </w:rPr>
  </w:style>
  <w:style w:type="paragraph" w:customStyle="1" w:styleId="Figures9pBoldRight025">
    <w:name w:val="Figures_9p_Bold_Right_0.25"/>
    <w:qFormat/>
    <w:rsid w:val="003F7D8E"/>
    <w:pPr>
      <w:ind w:right="142"/>
      <w:jc w:val="right"/>
    </w:pPr>
    <w:rPr>
      <w:rFonts w:ascii="Verdana" w:hAnsi="Verdana"/>
      <w:b/>
      <w:noProof/>
      <w:sz w:val="18"/>
      <w:szCs w:val="18"/>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fr-FR"/>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rPr>
  </w:style>
  <w:style w:type="paragraph" w:customStyle="1" w:styleId="Figures9pItalicCentered">
    <w:name w:val="Figures_9p_Italic_Centered"/>
    <w:qFormat/>
    <w:rsid w:val="00412DF5"/>
    <w:pPr>
      <w:jc w:val="center"/>
    </w:pPr>
    <w:rPr>
      <w:rFonts w:ascii="Verdana" w:eastAsia="Calibri" w:hAnsi="Verdana"/>
      <w:i/>
      <w:noProof/>
      <w:sz w:val="18"/>
      <w:szCs w:val="18"/>
    </w:rPr>
  </w:style>
  <w:style w:type="paragraph" w:customStyle="1" w:styleId="TextSubtitlenumberingRCItalic">
    <w:name w:val="Text_Subtitle_(numbering RC Italic)"/>
    <w:basedOn w:val="Normal"/>
    <w:qFormat/>
    <w:rsid w:val="00D033B9"/>
    <w:pPr>
      <w:numPr>
        <w:numId w:val="5"/>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rPr>
  </w:style>
  <w:style w:type="paragraph" w:customStyle="1" w:styleId="Text8pBoldLeft">
    <w:name w:val="Text_8p_Bold_Left"/>
    <w:qFormat/>
    <w:rsid w:val="00F218F7"/>
    <w:rPr>
      <w:rFonts w:ascii="Verdana" w:eastAsia="Calibri" w:hAnsi="Verdana"/>
      <w:b/>
      <w:bCs/>
      <w:noProof/>
      <w:sz w:val="16"/>
    </w:rPr>
  </w:style>
  <w:style w:type="paragraph" w:customStyle="1" w:styleId="Heading10pNormalCentered">
    <w:name w:val="Heading_10p_Normal_Centered"/>
    <w:qFormat/>
    <w:rsid w:val="00D964C3"/>
    <w:pPr>
      <w:jc w:val="center"/>
    </w:pPr>
    <w:rPr>
      <w:rFonts w:ascii="Verdana" w:eastAsia="Calibri" w:hAnsi="Verdana"/>
      <w:noProof/>
      <w:color w:val="FFFFFF"/>
      <w:szCs w:val="30"/>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rPr>
  </w:style>
  <w:style w:type="paragraph" w:customStyle="1" w:styleId="Text9pItalicleftBlue">
    <w:name w:val="Text_9p_Italic_left_Blue"/>
    <w:qFormat/>
    <w:rsid w:val="00EC196D"/>
    <w:rPr>
      <w:rFonts w:ascii="Verdana" w:hAnsi="Verdana"/>
      <w:i/>
      <w:noProof/>
      <w:color w:val="016794"/>
      <w:sz w:val="18"/>
      <w:szCs w:val="18"/>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rPr>
  </w:style>
  <w:style w:type="paragraph" w:customStyle="1" w:styleId="Figures7pBoldRight025">
    <w:name w:val="Figures_7p_Bold_Right_0.25"/>
    <w:qFormat/>
    <w:rsid w:val="00DD36A7"/>
    <w:pPr>
      <w:ind w:right="142"/>
      <w:jc w:val="right"/>
    </w:pPr>
    <w:rPr>
      <w:rFonts w:ascii="Verdana" w:hAnsi="Verdana"/>
      <w:b/>
      <w:noProof/>
      <w:sz w:val="14"/>
      <w:szCs w:val="18"/>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ind w:left="357" w:hanging="357"/>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rPr>
  </w:style>
  <w:style w:type="paragraph" w:customStyle="1" w:styleId="Figures7pBoldRight01">
    <w:name w:val="Figures_7p_Bold_Right_0.1"/>
    <w:qFormat/>
    <w:rsid w:val="003A6D15"/>
    <w:pPr>
      <w:ind w:right="57"/>
      <w:jc w:val="right"/>
    </w:pPr>
    <w:rPr>
      <w:rFonts w:ascii="Verdana" w:hAnsi="Verdana"/>
      <w:b/>
      <w:noProof/>
      <w:sz w:val="14"/>
      <w:szCs w:val="18"/>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rPr>
  </w:style>
  <w:style w:type="paragraph" w:customStyle="1" w:styleId="Text6pNormalLeft">
    <w:name w:val="Text_6p_Normal_Left"/>
    <w:qFormat/>
    <w:rsid w:val="006F5D74"/>
    <w:rPr>
      <w:rFonts w:ascii="Verdana" w:hAnsi="Verdana"/>
      <w:bCs/>
      <w:noProof/>
      <w:sz w:val="12"/>
    </w:rPr>
  </w:style>
  <w:style w:type="paragraph" w:customStyle="1" w:styleId="Figures6pNormalright01">
    <w:name w:val="Figures_6p_Normal_right_0.1"/>
    <w:qFormat/>
    <w:rsid w:val="006F5D74"/>
    <w:pPr>
      <w:ind w:right="57"/>
      <w:jc w:val="right"/>
    </w:pPr>
    <w:rPr>
      <w:rFonts w:ascii="Verdana" w:hAnsi="Verdana"/>
      <w:noProof/>
      <w:sz w:val="12"/>
      <w:szCs w:val="18"/>
    </w:rPr>
  </w:style>
  <w:style w:type="paragraph" w:customStyle="1" w:styleId="Text6pItalicLeft">
    <w:name w:val="Text_6p_Italic_Left"/>
    <w:qFormat/>
    <w:rsid w:val="006F5D74"/>
    <w:rPr>
      <w:rFonts w:ascii="Verdana" w:hAnsi="Verdana"/>
      <w:bCs/>
      <w:i/>
      <w:noProof/>
      <w:sz w:val="12"/>
    </w:rPr>
  </w:style>
  <w:style w:type="paragraph" w:customStyle="1" w:styleId="Text6pBoldLeft">
    <w:name w:val="Text_6p_Bold_Left"/>
    <w:qFormat/>
    <w:rsid w:val="006F5D74"/>
    <w:rPr>
      <w:rFonts w:ascii="Verdana" w:hAnsi="Verdana"/>
      <w:b/>
      <w:noProof/>
      <w:sz w:val="12"/>
      <w:szCs w:val="18"/>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 w:type="paragraph" w:styleId="TOC4">
    <w:name w:val="toc 4"/>
    <w:basedOn w:val="Normal"/>
    <w:next w:val="Normal"/>
    <w:autoRedefine/>
    <w:uiPriority w:val="39"/>
    <w:rsid w:val="003A02A6"/>
    <w:pPr>
      <w:spacing w:after="100"/>
      <w:ind w:left="720"/>
    </w:pPr>
  </w:style>
  <w:style w:type="paragraph" w:styleId="TOC5">
    <w:name w:val="toc 5"/>
    <w:basedOn w:val="Normal"/>
    <w:next w:val="Normal"/>
    <w:autoRedefine/>
    <w:uiPriority w:val="39"/>
    <w:rsid w:val="003A02A6"/>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069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140.xml"/><Relationship Id="rId21" Type="http://schemas.openxmlformats.org/officeDocument/2006/relationships/header" Target="header6.xml"/><Relationship Id="rId63" Type="http://schemas.openxmlformats.org/officeDocument/2006/relationships/footer" Target="footer21.xml"/><Relationship Id="rId159" Type="http://schemas.openxmlformats.org/officeDocument/2006/relationships/footer" Target="footer69.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footer" Target="footer247.xml"/><Relationship Id="rId573" Type="http://schemas.openxmlformats.org/officeDocument/2006/relationships/footer" Target="footer268.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footer" Target="footer205.xml"/><Relationship Id="rId268" Type="http://schemas.openxmlformats.org/officeDocument/2006/relationships/header" Target="header124.xml"/><Relationship Id="rId475" Type="http://schemas.openxmlformats.org/officeDocument/2006/relationships/footer" Target="footer224.xml"/><Relationship Id="rId32" Type="http://schemas.openxmlformats.org/officeDocument/2006/relationships/footer" Target="footer10.xml"/><Relationship Id="rId74" Type="http://schemas.openxmlformats.org/officeDocument/2006/relationships/header" Target="header27.xml"/><Relationship Id="rId128" Type="http://schemas.openxmlformats.org/officeDocument/2006/relationships/header" Target="head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header" Target="header233.xml"/><Relationship Id="rId542" Type="http://schemas.openxmlformats.org/officeDocument/2006/relationships/header" Target="header254.xml"/><Relationship Id="rId584" Type="http://schemas.openxmlformats.org/officeDocument/2006/relationships/header" Target="header275.xml"/><Relationship Id="rId5" Type="http://schemas.microsoft.com/office/2007/relationships/stylesWithEffects" Target="stylesWithEffects.xml"/><Relationship Id="rId181" Type="http://schemas.openxmlformats.org/officeDocument/2006/relationships/footer" Target="footer80.xml"/><Relationship Id="rId237" Type="http://schemas.openxmlformats.org/officeDocument/2006/relationships/footer" Target="footer108.xml"/><Relationship Id="rId402" Type="http://schemas.openxmlformats.org/officeDocument/2006/relationships/header" Target="header191.xml"/><Relationship Id="rId279" Type="http://schemas.openxmlformats.org/officeDocument/2006/relationships/footer" Target="footer129.xml"/><Relationship Id="rId444" Type="http://schemas.openxmlformats.org/officeDocument/2006/relationships/header" Target="header212.xml"/><Relationship Id="rId486" Type="http://schemas.openxmlformats.org/officeDocument/2006/relationships/image" Target="media/image21.emf"/><Relationship Id="rId43" Type="http://schemas.openxmlformats.org/officeDocument/2006/relationships/image" Target="media/image10.png"/><Relationship Id="rId139" Type="http://schemas.openxmlformats.org/officeDocument/2006/relationships/footer" Target="footer59.xml"/><Relationship Id="rId290" Type="http://schemas.openxmlformats.org/officeDocument/2006/relationships/header" Target="header135.xml"/><Relationship Id="rId304" Type="http://schemas.openxmlformats.org/officeDocument/2006/relationships/header" Target="header142.xml"/><Relationship Id="rId346" Type="http://schemas.openxmlformats.org/officeDocument/2006/relationships/header" Target="header163.xml"/><Relationship Id="rId388" Type="http://schemas.openxmlformats.org/officeDocument/2006/relationships/header" Target="header184.xml"/><Relationship Id="rId511" Type="http://schemas.openxmlformats.org/officeDocument/2006/relationships/header" Target="header238.xml"/><Relationship Id="rId553" Type="http://schemas.openxmlformats.org/officeDocument/2006/relationships/header" Target="header259.xml"/><Relationship Id="rId609" Type="http://schemas.openxmlformats.org/officeDocument/2006/relationships/footer" Target="footer286.xml"/><Relationship Id="rId85" Type="http://schemas.openxmlformats.org/officeDocument/2006/relationships/footer" Target="footer32.xml"/><Relationship Id="rId150" Type="http://schemas.openxmlformats.org/officeDocument/2006/relationships/footer" Target="footer64.xml"/><Relationship Id="rId192" Type="http://schemas.openxmlformats.org/officeDocument/2006/relationships/footer" Target="footer85.xml"/><Relationship Id="rId206" Type="http://schemas.openxmlformats.org/officeDocument/2006/relationships/header" Target="header93.xml"/><Relationship Id="rId413" Type="http://schemas.openxmlformats.org/officeDocument/2006/relationships/header" Target="header196.xml"/><Relationship Id="rId595" Type="http://schemas.openxmlformats.org/officeDocument/2006/relationships/header" Target="header280.xml"/><Relationship Id="rId248" Type="http://schemas.openxmlformats.org/officeDocument/2006/relationships/header" Target="header114.xml"/><Relationship Id="rId455" Type="http://schemas.openxmlformats.org/officeDocument/2006/relationships/header" Target="header217.xml"/><Relationship Id="rId497" Type="http://schemas.openxmlformats.org/officeDocument/2006/relationships/header" Target="header231.xml"/><Relationship Id="rId620" Type="http://schemas.openxmlformats.org/officeDocument/2006/relationships/theme" Target="theme/theme1.xml"/><Relationship Id="rId12" Type="http://schemas.openxmlformats.org/officeDocument/2006/relationships/header" Target="header2.xml"/><Relationship Id="rId108" Type="http://schemas.openxmlformats.org/officeDocument/2006/relationships/footer" Target="footer43.xml"/><Relationship Id="rId315" Type="http://schemas.openxmlformats.org/officeDocument/2006/relationships/footer" Target="footer147.xml"/><Relationship Id="rId357" Type="http://schemas.openxmlformats.org/officeDocument/2006/relationships/footer" Target="footer168.xml"/><Relationship Id="rId522" Type="http://schemas.openxmlformats.org/officeDocument/2006/relationships/footer" Target="footer243.xml"/><Relationship Id="rId54" Type="http://schemas.openxmlformats.org/officeDocument/2006/relationships/footer" Target="footer16.xml"/><Relationship Id="rId96" Type="http://schemas.openxmlformats.org/officeDocument/2006/relationships/footer" Target="footer37.xml"/><Relationship Id="rId161" Type="http://schemas.openxmlformats.org/officeDocument/2006/relationships/header" Target="header71.xml"/><Relationship Id="rId217" Type="http://schemas.openxmlformats.org/officeDocument/2006/relationships/footer" Target="footer98.xml"/><Relationship Id="rId399" Type="http://schemas.openxmlformats.org/officeDocument/2006/relationships/footer" Target="footer189.xml"/><Relationship Id="rId564" Type="http://schemas.openxmlformats.org/officeDocument/2006/relationships/footer" Target="footer264.xml"/><Relationship Id="rId259" Type="http://schemas.openxmlformats.org/officeDocument/2006/relationships/footer" Target="footer119.xml"/><Relationship Id="rId424" Type="http://schemas.openxmlformats.org/officeDocument/2006/relationships/footer" Target="footer201.xml"/><Relationship Id="rId466" Type="http://schemas.openxmlformats.org/officeDocument/2006/relationships/footer" Target="footer222.xml"/><Relationship Id="rId23" Type="http://schemas.openxmlformats.org/officeDocument/2006/relationships/header" Target="header7.xml"/><Relationship Id="rId119" Type="http://schemas.openxmlformats.org/officeDocument/2006/relationships/header" Target="header50.xml"/><Relationship Id="rId270" Type="http://schemas.openxmlformats.org/officeDocument/2006/relationships/footer" Target="footer124.xml"/><Relationship Id="rId326" Type="http://schemas.openxmlformats.org/officeDocument/2006/relationships/header" Target="header153.xml"/><Relationship Id="rId533" Type="http://schemas.openxmlformats.org/officeDocument/2006/relationships/header" Target="header249.xml"/><Relationship Id="rId65" Type="http://schemas.openxmlformats.org/officeDocument/2006/relationships/header" Target="header23.xml"/><Relationship Id="rId130" Type="http://schemas.openxmlformats.org/officeDocument/2006/relationships/header" Target="header55.xml"/><Relationship Id="rId368" Type="http://schemas.openxmlformats.org/officeDocument/2006/relationships/header" Target="header174.xml"/><Relationship Id="rId575" Type="http://schemas.openxmlformats.org/officeDocument/2006/relationships/header" Target="header270.xml"/><Relationship Id="rId172" Type="http://schemas.openxmlformats.org/officeDocument/2006/relationships/header" Target="header76.xml"/><Relationship Id="rId228" Type="http://schemas.openxmlformats.org/officeDocument/2006/relationships/footer" Target="footer103.xml"/><Relationship Id="rId435" Type="http://schemas.openxmlformats.org/officeDocument/2006/relationships/header" Target="header207.xml"/><Relationship Id="rId477" Type="http://schemas.openxmlformats.org/officeDocument/2006/relationships/footer" Target="footer225.xml"/><Relationship Id="rId600" Type="http://schemas.openxmlformats.org/officeDocument/2006/relationships/footer" Target="footer282.xml"/><Relationship Id="rId281" Type="http://schemas.openxmlformats.org/officeDocument/2006/relationships/header" Target="header131.xml"/><Relationship Id="rId337" Type="http://schemas.openxmlformats.org/officeDocument/2006/relationships/footer" Target="footer158.xml"/><Relationship Id="rId502" Type="http://schemas.openxmlformats.org/officeDocument/2006/relationships/footer" Target="footer233.xml"/><Relationship Id="rId34" Type="http://schemas.openxmlformats.org/officeDocument/2006/relationships/header" Target="header12.xml"/><Relationship Id="rId76" Type="http://schemas.openxmlformats.org/officeDocument/2006/relationships/header" Target="header28.xml"/><Relationship Id="rId141" Type="http://schemas.openxmlformats.org/officeDocument/2006/relationships/footer" Target="footer60.xml"/><Relationship Id="rId379" Type="http://schemas.openxmlformats.org/officeDocument/2006/relationships/footer" Target="footer179.xml"/><Relationship Id="rId544" Type="http://schemas.openxmlformats.org/officeDocument/2006/relationships/footer" Target="footer254.xml"/><Relationship Id="rId586" Type="http://schemas.openxmlformats.org/officeDocument/2006/relationships/footer" Target="footer275.xml"/><Relationship Id="rId7" Type="http://schemas.openxmlformats.org/officeDocument/2006/relationships/webSettings" Target="webSettings.xml"/><Relationship Id="rId183" Type="http://schemas.openxmlformats.org/officeDocument/2006/relationships/footer" Target="footer81.xml"/><Relationship Id="rId239" Type="http://schemas.openxmlformats.org/officeDocument/2006/relationships/header" Target="header110.xml"/><Relationship Id="rId390" Type="http://schemas.openxmlformats.org/officeDocument/2006/relationships/footer" Target="footer184.xml"/><Relationship Id="rId404" Type="http://schemas.openxmlformats.org/officeDocument/2006/relationships/footer" Target="footer191.xml"/><Relationship Id="rId446" Type="http://schemas.openxmlformats.org/officeDocument/2006/relationships/footer" Target="footer212.xml"/><Relationship Id="rId611" Type="http://schemas.openxmlformats.org/officeDocument/2006/relationships/header" Target="header288.xml"/><Relationship Id="rId250" Type="http://schemas.openxmlformats.org/officeDocument/2006/relationships/header" Target="header115.xml"/><Relationship Id="rId292" Type="http://schemas.openxmlformats.org/officeDocument/2006/relationships/header" Target="header136.xml"/><Relationship Id="rId306" Type="http://schemas.openxmlformats.org/officeDocument/2006/relationships/footer" Target="footer142.xml"/><Relationship Id="rId488" Type="http://schemas.openxmlformats.org/officeDocument/2006/relationships/header" Target="header227.xml"/><Relationship Id="rId45" Type="http://schemas.openxmlformats.org/officeDocument/2006/relationships/image" Target="media/image12.png"/><Relationship Id="rId87" Type="http://schemas.openxmlformats.org/officeDocument/2006/relationships/footer" Target="footer33.xml"/><Relationship Id="rId110" Type="http://schemas.openxmlformats.org/officeDocument/2006/relationships/header" Target="header45.xml"/><Relationship Id="rId348" Type="http://schemas.openxmlformats.org/officeDocument/2006/relationships/footer" Target="footer163.xml"/><Relationship Id="rId513" Type="http://schemas.openxmlformats.org/officeDocument/2006/relationships/footer" Target="footer238.xml"/><Relationship Id="rId555" Type="http://schemas.openxmlformats.org/officeDocument/2006/relationships/footer" Target="footer259.xml"/><Relationship Id="rId597" Type="http://schemas.openxmlformats.org/officeDocument/2006/relationships/footer" Target="footer280.xml"/><Relationship Id="rId152" Type="http://schemas.openxmlformats.org/officeDocument/2006/relationships/header" Target="header66.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footer" Target="footer196.xml"/><Relationship Id="rId457" Type="http://schemas.openxmlformats.org/officeDocument/2006/relationships/footer" Target="footer217.xml"/><Relationship Id="rId261" Type="http://schemas.openxmlformats.org/officeDocument/2006/relationships/footer" Target="footer120.xml"/><Relationship Id="rId499" Type="http://schemas.openxmlformats.org/officeDocument/2006/relationships/header" Target="header232.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49.xml"/><Relationship Id="rId359" Type="http://schemas.openxmlformats.org/officeDocument/2006/relationships/header" Target="header170.xml"/><Relationship Id="rId524" Type="http://schemas.openxmlformats.org/officeDocument/2006/relationships/header" Target="header245.xml"/><Relationship Id="rId566" Type="http://schemas.openxmlformats.org/officeDocument/2006/relationships/header" Target="header266.xml"/><Relationship Id="rId98" Type="http://schemas.openxmlformats.org/officeDocument/2006/relationships/header" Target="header39.xml"/><Relationship Id="rId121" Type="http://schemas.openxmlformats.org/officeDocument/2006/relationships/footer" Target="footer50.xml"/><Relationship Id="rId163" Type="http://schemas.openxmlformats.org/officeDocument/2006/relationships/footer" Target="footer71.xml"/><Relationship Id="rId219" Type="http://schemas.openxmlformats.org/officeDocument/2006/relationships/footer" Target="footer99.xml"/><Relationship Id="rId370" Type="http://schemas.openxmlformats.org/officeDocument/2006/relationships/header" Target="header175.xml"/><Relationship Id="rId426" Type="http://schemas.openxmlformats.org/officeDocument/2006/relationships/header" Target="header203.xml"/><Relationship Id="rId230" Type="http://schemas.openxmlformats.org/officeDocument/2006/relationships/header" Target="header105.xml"/><Relationship Id="rId468" Type="http://schemas.openxmlformats.org/officeDocument/2006/relationships/image" Target="media/image14.emf"/><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eader" Target="header126.xml"/><Relationship Id="rId328" Type="http://schemas.openxmlformats.org/officeDocument/2006/relationships/header" Target="header154.xml"/><Relationship Id="rId535" Type="http://schemas.openxmlformats.org/officeDocument/2006/relationships/header" Target="header250.xml"/><Relationship Id="rId577" Type="http://schemas.openxmlformats.org/officeDocument/2006/relationships/header" Target="header271.xml"/><Relationship Id="rId132" Type="http://schemas.openxmlformats.org/officeDocument/2006/relationships/footer" Target="footer55.xml"/><Relationship Id="rId174" Type="http://schemas.openxmlformats.org/officeDocument/2006/relationships/footer" Target="footer76.xml"/><Relationship Id="rId381" Type="http://schemas.openxmlformats.org/officeDocument/2006/relationships/footer" Target="footer180.xml"/><Relationship Id="rId602" Type="http://schemas.openxmlformats.org/officeDocument/2006/relationships/header" Target="header284.xml"/><Relationship Id="rId241" Type="http://schemas.openxmlformats.org/officeDocument/2006/relationships/footer" Target="footer110.xml"/><Relationship Id="rId437" Type="http://schemas.openxmlformats.org/officeDocument/2006/relationships/header" Target="header208.xml"/><Relationship Id="rId479" Type="http://schemas.openxmlformats.org/officeDocument/2006/relationships/image" Target="media/image19.emf"/><Relationship Id="rId36" Type="http://schemas.openxmlformats.org/officeDocument/2006/relationships/image" Target="media/image3.png"/><Relationship Id="rId283" Type="http://schemas.openxmlformats.org/officeDocument/2006/relationships/footer" Target="footer131.xml"/><Relationship Id="rId339" Type="http://schemas.openxmlformats.org/officeDocument/2006/relationships/footer" Target="footer159.xml"/><Relationship Id="rId490" Type="http://schemas.openxmlformats.org/officeDocument/2006/relationships/footer" Target="footer227.xml"/><Relationship Id="rId504" Type="http://schemas.openxmlformats.org/officeDocument/2006/relationships/footer" Target="footer234.xml"/><Relationship Id="rId546" Type="http://schemas.openxmlformats.org/officeDocument/2006/relationships/footer" Target="footer255.xml"/><Relationship Id="rId78" Type="http://schemas.openxmlformats.org/officeDocument/2006/relationships/footer" Target="footer28.xml"/><Relationship Id="rId101" Type="http://schemas.openxmlformats.org/officeDocument/2006/relationships/header" Target="header41.xml"/><Relationship Id="rId143" Type="http://schemas.openxmlformats.org/officeDocument/2006/relationships/header" Target="header62.xml"/><Relationship Id="rId185" Type="http://schemas.openxmlformats.org/officeDocument/2006/relationships/header" Target="header83.xml"/><Relationship Id="rId350" Type="http://schemas.openxmlformats.org/officeDocument/2006/relationships/header" Target="header165.xml"/><Relationship Id="rId406" Type="http://schemas.openxmlformats.org/officeDocument/2006/relationships/footer" Target="footer192.xml"/><Relationship Id="rId588" Type="http://schemas.openxmlformats.org/officeDocument/2006/relationships/footer" Target="footer276.xml"/><Relationship Id="rId9" Type="http://schemas.openxmlformats.org/officeDocument/2006/relationships/endnotes" Target="endnotes.xml"/><Relationship Id="rId210" Type="http://schemas.openxmlformats.org/officeDocument/2006/relationships/footer" Target="footer94.xml"/><Relationship Id="rId392" Type="http://schemas.openxmlformats.org/officeDocument/2006/relationships/header" Target="header186.xml"/><Relationship Id="rId448" Type="http://schemas.openxmlformats.org/officeDocument/2006/relationships/footer" Target="footer213.xml"/><Relationship Id="rId613" Type="http://schemas.openxmlformats.org/officeDocument/2006/relationships/header" Target="header289.xml"/><Relationship Id="rId252" Type="http://schemas.openxmlformats.org/officeDocument/2006/relationships/footer" Target="footer115.xml"/><Relationship Id="rId294" Type="http://schemas.openxmlformats.org/officeDocument/2006/relationships/footer" Target="footer136.xml"/><Relationship Id="rId308" Type="http://schemas.openxmlformats.org/officeDocument/2006/relationships/header" Target="header144.xml"/><Relationship Id="rId515" Type="http://schemas.openxmlformats.org/officeDocument/2006/relationships/header" Target="header240.xml"/><Relationship Id="rId47" Type="http://schemas.openxmlformats.org/officeDocument/2006/relationships/header" Target="header14.xml"/><Relationship Id="rId89" Type="http://schemas.openxmlformats.org/officeDocument/2006/relationships/header" Target="header35.xml"/><Relationship Id="rId112" Type="http://schemas.openxmlformats.org/officeDocument/2006/relationships/header" Target="header46.xml"/><Relationship Id="rId154" Type="http://schemas.openxmlformats.org/officeDocument/2006/relationships/header" Target="header67.xml"/><Relationship Id="rId361" Type="http://schemas.openxmlformats.org/officeDocument/2006/relationships/footer" Target="footer170.xml"/><Relationship Id="rId557" Type="http://schemas.openxmlformats.org/officeDocument/2006/relationships/header" Target="header261.xml"/><Relationship Id="rId599" Type="http://schemas.openxmlformats.org/officeDocument/2006/relationships/header" Target="header282.xml"/><Relationship Id="rId196" Type="http://schemas.openxmlformats.org/officeDocument/2006/relationships/header" Target="header88.xml"/><Relationship Id="rId417" Type="http://schemas.openxmlformats.org/officeDocument/2006/relationships/header" Target="header198.xml"/><Relationship Id="rId459" Type="http://schemas.openxmlformats.org/officeDocument/2006/relationships/header" Target="header219.xml"/><Relationship Id="rId16" Type="http://schemas.openxmlformats.org/officeDocument/2006/relationships/footer" Target="footer3.xml"/><Relationship Id="rId221" Type="http://schemas.openxmlformats.org/officeDocument/2006/relationships/header" Target="header101.xml"/><Relationship Id="rId263" Type="http://schemas.openxmlformats.org/officeDocument/2006/relationships/header" Target="header122.xml"/><Relationship Id="rId319" Type="http://schemas.openxmlformats.org/officeDocument/2006/relationships/footer" Target="footer149.xml"/><Relationship Id="rId470" Type="http://schemas.openxmlformats.org/officeDocument/2006/relationships/image" Target="media/image16.emf"/><Relationship Id="rId526" Type="http://schemas.openxmlformats.org/officeDocument/2006/relationships/footer" Target="footer245.xml"/><Relationship Id="rId58" Type="http://schemas.openxmlformats.org/officeDocument/2006/relationships/header" Target="header19.xml"/><Relationship Id="rId123" Type="http://schemas.openxmlformats.org/officeDocument/2006/relationships/footer" Target="footer51.xml"/><Relationship Id="rId330" Type="http://schemas.openxmlformats.org/officeDocument/2006/relationships/footer" Target="footer154.xml"/><Relationship Id="rId568" Type="http://schemas.openxmlformats.org/officeDocument/2006/relationships/footer" Target="footer266.xml"/><Relationship Id="rId165" Type="http://schemas.openxmlformats.org/officeDocument/2006/relationships/footer" Target="footer72.xml"/><Relationship Id="rId372" Type="http://schemas.openxmlformats.org/officeDocument/2006/relationships/footer" Target="footer175.xml"/><Relationship Id="rId428" Type="http://schemas.openxmlformats.org/officeDocument/2006/relationships/footer" Target="footer203.xml"/><Relationship Id="rId232" Type="http://schemas.openxmlformats.org/officeDocument/2006/relationships/header" Target="header106.xml"/><Relationship Id="rId274" Type="http://schemas.openxmlformats.org/officeDocument/2006/relationships/header" Target="header127.xml"/><Relationship Id="rId481" Type="http://schemas.openxmlformats.org/officeDocument/2006/relationships/diagramLayout" Target="diagrams/layout1.xml"/><Relationship Id="rId27" Type="http://schemas.openxmlformats.org/officeDocument/2006/relationships/header" Target="header9.xml"/><Relationship Id="rId69" Type="http://schemas.openxmlformats.org/officeDocument/2006/relationships/footer" Target="footer24.xml"/><Relationship Id="rId134" Type="http://schemas.openxmlformats.org/officeDocument/2006/relationships/header" Target="header57.xml"/><Relationship Id="rId537" Type="http://schemas.openxmlformats.org/officeDocument/2006/relationships/footer" Target="footer250.xml"/><Relationship Id="rId579" Type="http://schemas.openxmlformats.org/officeDocument/2006/relationships/footer" Target="footer271.xml"/><Relationship Id="rId80" Type="http://schemas.openxmlformats.org/officeDocument/2006/relationships/header" Target="header30.xml"/><Relationship Id="rId155" Type="http://schemas.openxmlformats.org/officeDocument/2006/relationships/header" Target="header68.xml"/><Relationship Id="rId176" Type="http://schemas.openxmlformats.org/officeDocument/2006/relationships/header" Target="header78.xml"/><Relationship Id="rId197" Type="http://schemas.openxmlformats.org/officeDocument/2006/relationships/header" Target="header89.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header" Target="header182.xml"/><Relationship Id="rId418" Type="http://schemas.openxmlformats.org/officeDocument/2006/relationships/footer" Target="footer198.xml"/><Relationship Id="rId439" Type="http://schemas.openxmlformats.org/officeDocument/2006/relationships/footer" Target="footer208.xml"/><Relationship Id="rId590" Type="http://schemas.openxmlformats.org/officeDocument/2006/relationships/header" Target="header278.xml"/><Relationship Id="rId604" Type="http://schemas.openxmlformats.org/officeDocument/2006/relationships/footer" Target="footer284.xml"/><Relationship Id="rId201" Type="http://schemas.openxmlformats.org/officeDocument/2006/relationships/footer" Target="footer90.xml"/><Relationship Id="rId222" Type="http://schemas.openxmlformats.org/officeDocument/2006/relationships/footer" Target="footer100.xml"/><Relationship Id="rId243" Type="http://schemas.openxmlformats.org/officeDocument/2006/relationships/footer" Target="footer111.xml"/><Relationship Id="rId264" Type="http://schemas.openxmlformats.org/officeDocument/2006/relationships/footer" Target="footer121.xml"/><Relationship Id="rId285" Type="http://schemas.openxmlformats.org/officeDocument/2006/relationships/footer" Target="footer132.xml"/><Relationship Id="rId450" Type="http://schemas.openxmlformats.org/officeDocument/2006/relationships/header" Target="header215.xml"/><Relationship Id="rId471" Type="http://schemas.openxmlformats.org/officeDocument/2006/relationships/image" Target="media/image17.emf"/><Relationship Id="rId506" Type="http://schemas.openxmlformats.org/officeDocument/2006/relationships/header" Target="header236.xml"/><Relationship Id="rId17" Type="http://schemas.openxmlformats.org/officeDocument/2006/relationships/header" Target="header4.xml"/><Relationship Id="rId38" Type="http://schemas.openxmlformats.org/officeDocument/2006/relationships/image" Target="media/image5.png"/><Relationship Id="rId59" Type="http://schemas.openxmlformats.org/officeDocument/2006/relationships/header" Target="header20.xml"/><Relationship Id="rId103" Type="http://schemas.openxmlformats.org/officeDocument/2006/relationships/footer" Target="footer41.xml"/><Relationship Id="rId124" Type="http://schemas.openxmlformats.org/officeDocument/2006/relationships/header" Target="header52.xml"/><Relationship Id="rId310" Type="http://schemas.openxmlformats.org/officeDocument/2006/relationships/header" Target="header145.xml"/><Relationship Id="rId492" Type="http://schemas.openxmlformats.org/officeDocument/2006/relationships/footer" Target="footer228.xml"/><Relationship Id="rId527" Type="http://schemas.openxmlformats.org/officeDocument/2006/relationships/header" Target="header246.xml"/><Relationship Id="rId548" Type="http://schemas.openxmlformats.org/officeDocument/2006/relationships/header" Target="header257.xml"/><Relationship Id="rId569" Type="http://schemas.openxmlformats.org/officeDocument/2006/relationships/header" Target="header267.xml"/><Relationship Id="rId70" Type="http://schemas.openxmlformats.org/officeDocument/2006/relationships/header" Target="header25.xml"/><Relationship Id="rId91" Type="http://schemas.openxmlformats.org/officeDocument/2006/relationships/footer" Target="footer35.xml"/><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header" Target="header187.xml"/><Relationship Id="rId408" Type="http://schemas.openxmlformats.org/officeDocument/2006/relationships/header" Target="header194.xml"/><Relationship Id="rId429" Type="http://schemas.openxmlformats.org/officeDocument/2006/relationships/header" Target="header204.xml"/><Relationship Id="rId580" Type="http://schemas.openxmlformats.org/officeDocument/2006/relationships/footer" Target="footer272.xml"/><Relationship Id="rId615" Type="http://schemas.openxmlformats.org/officeDocument/2006/relationships/footer" Target="footer289.xml"/><Relationship Id="rId1" Type="http://schemas.microsoft.com/office/2006/relationships/keyMapCustomizations" Target="customizations.xml"/><Relationship Id="rId212" Type="http://schemas.openxmlformats.org/officeDocument/2006/relationships/header" Target="header96.xml"/><Relationship Id="rId233" Type="http://schemas.openxmlformats.org/officeDocument/2006/relationships/header" Target="header107.xml"/><Relationship Id="rId254" Type="http://schemas.openxmlformats.org/officeDocument/2006/relationships/header" Target="header117.xml"/><Relationship Id="rId440" Type="http://schemas.openxmlformats.org/officeDocument/2006/relationships/footer" Target="footer209.xml"/><Relationship Id="rId28" Type="http://schemas.openxmlformats.org/officeDocument/2006/relationships/footer" Target="footer9.xml"/><Relationship Id="rId49" Type="http://schemas.openxmlformats.org/officeDocument/2006/relationships/footer" Target="footer14.xml"/><Relationship Id="rId114" Type="http://schemas.openxmlformats.org/officeDocument/2006/relationships/footer" Target="footer46.xml"/><Relationship Id="rId275" Type="http://schemas.openxmlformats.org/officeDocument/2006/relationships/header" Target="header128.xml"/><Relationship Id="rId296" Type="http://schemas.openxmlformats.org/officeDocument/2006/relationships/header" Target="header138.xml"/><Relationship Id="rId300" Type="http://schemas.openxmlformats.org/officeDocument/2006/relationships/footer" Target="footer139.xml"/><Relationship Id="rId461" Type="http://schemas.openxmlformats.org/officeDocument/2006/relationships/header" Target="header220.xml"/><Relationship Id="rId482" Type="http://schemas.openxmlformats.org/officeDocument/2006/relationships/diagramQuickStyle" Target="diagrams/quickStyle1.xml"/><Relationship Id="rId517" Type="http://schemas.openxmlformats.org/officeDocument/2006/relationships/header" Target="header241.xml"/><Relationship Id="rId538" Type="http://schemas.openxmlformats.org/officeDocument/2006/relationships/footer" Target="footer251.xml"/><Relationship Id="rId559" Type="http://schemas.openxmlformats.org/officeDocument/2006/relationships/header" Target="header262.xml"/><Relationship Id="rId60" Type="http://schemas.openxmlformats.org/officeDocument/2006/relationships/footer" Target="footer19.xml"/><Relationship Id="rId81" Type="http://schemas.openxmlformats.org/officeDocument/2006/relationships/footer" Target="footer30.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footer" Target="footer88.xml"/><Relationship Id="rId321" Type="http://schemas.openxmlformats.org/officeDocument/2006/relationships/footer" Target="footer150.xm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footer" Target="footer181.xml"/><Relationship Id="rId419" Type="http://schemas.openxmlformats.org/officeDocument/2006/relationships/header" Target="header199.xml"/><Relationship Id="rId570" Type="http://schemas.openxmlformats.org/officeDocument/2006/relationships/footer" Target="footer267.xml"/><Relationship Id="rId591" Type="http://schemas.openxmlformats.org/officeDocument/2006/relationships/footer" Target="footer277.xml"/><Relationship Id="rId605" Type="http://schemas.openxmlformats.org/officeDocument/2006/relationships/header" Target="header285.xml"/><Relationship Id="rId202" Type="http://schemas.openxmlformats.org/officeDocument/2006/relationships/header" Target="header91.xml"/><Relationship Id="rId223" Type="http://schemas.openxmlformats.org/officeDocument/2006/relationships/footer" Target="footer101.xml"/><Relationship Id="rId244" Type="http://schemas.openxmlformats.org/officeDocument/2006/relationships/header" Target="header112.xml"/><Relationship Id="rId430" Type="http://schemas.openxmlformats.org/officeDocument/2006/relationships/footer" Target="footer204.xml"/><Relationship Id="rId18" Type="http://schemas.openxmlformats.org/officeDocument/2006/relationships/header" Target="header5.xml"/><Relationship Id="rId39" Type="http://schemas.openxmlformats.org/officeDocument/2006/relationships/image" Target="media/image6.png"/><Relationship Id="rId265" Type="http://schemas.openxmlformats.org/officeDocument/2006/relationships/footer" Target="footer122.xml"/><Relationship Id="rId286" Type="http://schemas.openxmlformats.org/officeDocument/2006/relationships/header" Target="header133.xml"/><Relationship Id="rId451" Type="http://schemas.openxmlformats.org/officeDocument/2006/relationships/footer" Target="footer214.xml"/><Relationship Id="rId472" Type="http://schemas.openxmlformats.org/officeDocument/2006/relationships/header" Target="header223.xml"/><Relationship Id="rId493" Type="http://schemas.openxmlformats.org/officeDocument/2006/relationships/header" Target="header229.xml"/><Relationship Id="rId507" Type="http://schemas.openxmlformats.org/officeDocument/2006/relationships/footer" Target="footer235.xml"/><Relationship Id="rId528" Type="http://schemas.openxmlformats.org/officeDocument/2006/relationships/footer" Target="footer246.xml"/><Relationship Id="rId549" Type="http://schemas.openxmlformats.org/officeDocument/2006/relationships/footer" Target="footer256.xml"/><Relationship Id="rId50" Type="http://schemas.openxmlformats.org/officeDocument/2006/relationships/header" Target="header15.xml"/><Relationship Id="rId104" Type="http://schemas.openxmlformats.org/officeDocument/2006/relationships/header" Target="header42.xml"/><Relationship Id="rId125" Type="http://schemas.openxmlformats.org/officeDocument/2006/relationships/header" Target="header53.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311" Type="http://schemas.openxmlformats.org/officeDocument/2006/relationships/header" Target="header146.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header" Target="header188.xml"/><Relationship Id="rId409" Type="http://schemas.openxmlformats.org/officeDocument/2006/relationships/footer" Target="footer193.xml"/><Relationship Id="rId560" Type="http://schemas.openxmlformats.org/officeDocument/2006/relationships/header" Target="header263.xml"/><Relationship Id="rId581" Type="http://schemas.openxmlformats.org/officeDocument/2006/relationships/header" Target="header273.xml"/><Relationship Id="rId71" Type="http://schemas.openxmlformats.org/officeDocument/2006/relationships/header" Target="header26.xml"/><Relationship Id="rId92" Type="http://schemas.openxmlformats.org/officeDocument/2006/relationships/header" Target="header36.xml"/><Relationship Id="rId213" Type="http://schemas.openxmlformats.org/officeDocument/2006/relationships/footer" Target="footer96.xml"/><Relationship Id="rId234" Type="http://schemas.openxmlformats.org/officeDocument/2006/relationships/footer" Target="footer106.xml"/><Relationship Id="rId420" Type="http://schemas.openxmlformats.org/officeDocument/2006/relationships/header" Target="header200.xml"/><Relationship Id="rId616" Type="http://schemas.openxmlformats.org/officeDocument/2006/relationships/footer" Target="footer290.xml"/><Relationship Id="rId2" Type="http://schemas.openxmlformats.org/officeDocument/2006/relationships/customXml" Target="../customXml/item1.xml"/><Relationship Id="rId29" Type="http://schemas.openxmlformats.org/officeDocument/2006/relationships/image" Target="media/image2.jpeg"/><Relationship Id="rId255" Type="http://schemas.openxmlformats.org/officeDocument/2006/relationships/footer" Target="footer117.xml"/><Relationship Id="rId276" Type="http://schemas.openxmlformats.org/officeDocument/2006/relationships/footer" Target="footer127.xml"/><Relationship Id="rId297" Type="http://schemas.openxmlformats.org/officeDocument/2006/relationships/footer" Target="footer138.xml"/><Relationship Id="rId441" Type="http://schemas.openxmlformats.org/officeDocument/2006/relationships/header" Target="header210.xml"/><Relationship Id="rId462" Type="http://schemas.openxmlformats.org/officeDocument/2006/relationships/header" Target="header221.xml"/><Relationship Id="rId483" Type="http://schemas.openxmlformats.org/officeDocument/2006/relationships/diagramColors" Target="diagrams/colors1.xml"/><Relationship Id="rId518" Type="http://schemas.openxmlformats.org/officeDocument/2006/relationships/header" Target="header242.xml"/><Relationship Id="rId539" Type="http://schemas.openxmlformats.org/officeDocument/2006/relationships/header" Target="header252.xml"/><Relationship Id="rId40" Type="http://schemas.openxmlformats.org/officeDocument/2006/relationships/image" Target="media/image7.png"/><Relationship Id="rId115" Type="http://schemas.openxmlformats.org/officeDocument/2006/relationships/footer" Target="footer47.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301" Type="http://schemas.openxmlformats.org/officeDocument/2006/relationships/footer" Target="footer140.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550" Type="http://schemas.openxmlformats.org/officeDocument/2006/relationships/footer" Target="footer257.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89.xml"/><Relationship Id="rId203" Type="http://schemas.openxmlformats.org/officeDocument/2006/relationships/header" Target="header92.xml"/><Relationship Id="rId385" Type="http://schemas.openxmlformats.org/officeDocument/2006/relationships/footer" Target="footer182.xml"/><Relationship Id="rId571" Type="http://schemas.openxmlformats.org/officeDocument/2006/relationships/header" Target="header268.xml"/><Relationship Id="rId592" Type="http://schemas.openxmlformats.org/officeDocument/2006/relationships/footer" Target="footer278.xml"/><Relationship Id="rId606" Type="http://schemas.openxmlformats.org/officeDocument/2006/relationships/footer" Target="footer285.xml"/><Relationship Id="rId19" Type="http://schemas.openxmlformats.org/officeDocument/2006/relationships/footer" Target="footer4.xml"/><Relationship Id="rId224" Type="http://schemas.openxmlformats.org/officeDocument/2006/relationships/header" Target="header102.xml"/><Relationship Id="rId245" Type="http://schemas.openxmlformats.org/officeDocument/2006/relationships/header" Target="header113.xml"/><Relationship Id="rId266" Type="http://schemas.openxmlformats.org/officeDocument/2006/relationships/header" Target="header123.xml"/><Relationship Id="rId287" Type="http://schemas.openxmlformats.org/officeDocument/2006/relationships/header" Target="header134.xml"/><Relationship Id="rId410" Type="http://schemas.openxmlformats.org/officeDocument/2006/relationships/footer" Target="footer194.xml"/><Relationship Id="rId431" Type="http://schemas.openxmlformats.org/officeDocument/2006/relationships/header" Target="header205.xml"/><Relationship Id="rId452" Type="http://schemas.openxmlformats.org/officeDocument/2006/relationships/footer" Target="footer215.xml"/><Relationship Id="rId473" Type="http://schemas.openxmlformats.org/officeDocument/2006/relationships/header" Target="header224.xml"/><Relationship Id="rId494" Type="http://schemas.openxmlformats.org/officeDocument/2006/relationships/header" Target="header230.xml"/><Relationship Id="rId508" Type="http://schemas.openxmlformats.org/officeDocument/2006/relationships/footer" Target="footer236.xml"/><Relationship Id="rId529" Type="http://schemas.openxmlformats.org/officeDocument/2006/relationships/header" Target="header247.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40" Type="http://schemas.openxmlformats.org/officeDocument/2006/relationships/footer" Target="footer252.xml"/><Relationship Id="rId51" Type="http://schemas.openxmlformats.org/officeDocument/2006/relationships/footer" Target="footer15.xml"/><Relationship Id="rId72" Type="http://schemas.openxmlformats.org/officeDocument/2006/relationships/footer" Target="footer25.xml"/><Relationship Id="rId93" Type="http://schemas.openxmlformats.org/officeDocument/2006/relationships/footer" Target="footer36.xml"/><Relationship Id="rId189" Type="http://schemas.openxmlformats.org/officeDocument/2006/relationships/footer" Target="footer84.xml"/><Relationship Id="rId375" Type="http://schemas.openxmlformats.org/officeDocument/2006/relationships/footer" Target="footer177.xml"/><Relationship Id="rId396" Type="http://schemas.openxmlformats.org/officeDocument/2006/relationships/footer" Target="footer187.xml"/><Relationship Id="rId561" Type="http://schemas.openxmlformats.org/officeDocument/2006/relationships/footer" Target="footer262.xml"/><Relationship Id="rId582" Type="http://schemas.openxmlformats.org/officeDocument/2006/relationships/footer" Target="footer273.xml"/><Relationship Id="rId617" Type="http://schemas.openxmlformats.org/officeDocument/2006/relationships/header" Target="header291.xml"/><Relationship Id="rId3" Type="http://schemas.openxmlformats.org/officeDocument/2006/relationships/numbering" Target="numbering.xml"/><Relationship Id="rId214" Type="http://schemas.openxmlformats.org/officeDocument/2006/relationships/header" Target="header97.xml"/><Relationship Id="rId235" Type="http://schemas.openxmlformats.org/officeDocument/2006/relationships/footer" Target="footer107.xml"/><Relationship Id="rId256" Type="http://schemas.openxmlformats.org/officeDocument/2006/relationships/header" Target="header118.xml"/><Relationship Id="rId277" Type="http://schemas.openxmlformats.org/officeDocument/2006/relationships/footer" Target="footer128.xml"/><Relationship Id="rId298" Type="http://schemas.openxmlformats.org/officeDocument/2006/relationships/header" Target="header139.xml"/><Relationship Id="rId400" Type="http://schemas.openxmlformats.org/officeDocument/2006/relationships/hyperlink" Target="http://eur-lex.europa.eu/legal-content/FR/TXT/?uri=uriserv:OJ.L_.2015.277.01.0004.01.FRA&amp;toc=OJ:L:2015:277:TOC" TargetMode="External"/><Relationship Id="rId421" Type="http://schemas.openxmlformats.org/officeDocument/2006/relationships/footer" Target="footer199.xml"/><Relationship Id="rId442" Type="http://schemas.openxmlformats.org/officeDocument/2006/relationships/footer" Target="footer210.xml"/><Relationship Id="rId463" Type="http://schemas.openxmlformats.org/officeDocument/2006/relationships/footer" Target="footer220.xml"/><Relationship Id="rId484" Type="http://schemas.microsoft.com/office/2007/relationships/diagramDrawing" Target="diagrams/drawing1.xml"/><Relationship Id="rId519" Type="http://schemas.openxmlformats.org/officeDocument/2006/relationships/footer" Target="footer241.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header" Target="header248.xml"/><Relationship Id="rId20" Type="http://schemas.openxmlformats.org/officeDocument/2006/relationships/footer" Target="footer5.xml"/><Relationship Id="rId41" Type="http://schemas.openxmlformats.org/officeDocument/2006/relationships/image" Target="media/image8.png"/><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header" Target="header80.xml"/><Relationship Id="rId365" Type="http://schemas.openxmlformats.org/officeDocument/2006/relationships/header" Target="header173.xml"/><Relationship Id="rId386" Type="http://schemas.openxmlformats.org/officeDocument/2006/relationships/header" Target="header183.xml"/><Relationship Id="rId551" Type="http://schemas.openxmlformats.org/officeDocument/2006/relationships/header" Target="header258.xml"/><Relationship Id="rId572" Type="http://schemas.openxmlformats.org/officeDocument/2006/relationships/header" Target="header269.xml"/><Relationship Id="rId593" Type="http://schemas.openxmlformats.org/officeDocument/2006/relationships/header" Target="header279.xml"/><Relationship Id="rId607" Type="http://schemas.openxmlformats.org/officeDocument/2006/relationships/header" Target="header286.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footer" Target="footer102.xml"/><Relationship Id="rId246" Type="http://schemas.openxmlformats.org/officeDocument/2006/relationships/footer" Target="footer112.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header" Target="header195.xml"/><Relationship Id="rId432" Type="http://schemas.openxmlformats.org/officeDocument/2006/relationships/header" Target="header206.xml"/><Relationship Id="rId453" Type="http://schemas.openxmlformats.org/officeDocument/2006/relationships/header" Target="header216.xml"/><Relationship Id="rId474" Type="http://schemas.openxmlformats.org/officeDocument/2006/relationships/footer" Target="footer223.xml"/><Relationship Id="rId509" Type="http://schemas.openxmlformats.org/officeDocument/2006/relationships/header" Target="header237.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footer" Target="footer146.xml"/><Relationship Id="rId495" Type="http://schemas.openxmlformats.org/officeDocument/2006/relationships/footer" Target="footer229.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6.xml"/><Relationship Id="rId94" Type="http://schemas.openxmlformats.org/officeDocument/2006/relationships/header" Target="header37.xml"/><Relationship Id="rId148" Type="http://schemas.openxmlformats.org/officeDocument/2006/relationships/header" Target="header64.xml"/><Relationship Id="rId169" Type="http://schemas.openxmlformats.org/officeDocument/2006/relationships/footer" Target="footer74.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footer" Target="footer188.xml"/><Relationship Id="rId520" Type="http://schemas.openxmlformats.org/officeDocument/2006/relationships/footer" Target="footer242.xml"/><Relationship Id="rId541" Type="http://schemas.openxmlformats.org/officeDocument/2006/relationships/header" Target="header253.xml"/><Relationship Id="rId562" Type="http://schemas.openxmlformats.org/officeDocument/2006/relationships/footer" Target="footer263.xml"/><Relationship Id="rId583" Type="http://schemas.openxmlformats.org/officeDocument/2006/relationships/header" Target="header274.xml"/><Relationship Id="rId618" Type="http://schemas.openxmlformats.org/officeDocument/2006/relationships/footer" Target="footer291.xml"/><Relationship Id="rId4" Type="http://schemas.openxmlformats.org/officeDocument/2006/relationships/styles" Target="styles.xml"/><Relationship Id="rId180" Type="http://schemas.openxmlformats.org/officeDocument/2006/relationships/footer" Target="footer79.xml"/><Relationship Id="rId215" Type="http://schemas.openxmlformats.org/officeDocument/2006/relationships/header" Target="header98.xml"/><Relationship Id="rId236" Type="http://schemas.openxmlformats.org/officeDocument/2006/relationships/header" Target="header108.xml"/><Relationship Id="rId257" Type="http://schemas.openxmlformats.org/officeDocument/2006/relationships/header" Target="header119.xml"/><Relationship Id="rId278" Type="http://schemas.openxmlformats.org/officeDocument/2006/relationships/header" Target="header129.xml"/><Relationship Id="rId401" Type="http://schemas.openxmlformats.org/officeDocument/2006/relationships/header" Target="header190.xml"/><Relationship Id="rId422" Type="http://schemas.openxmlformats.org/officeDocument/2006/relationships/footer" Target="footer200.xml"/><Relationship Id="rId443" Type="http://schemas.openxmlformats.org/officeDocument/2006/relationships/header" Target="header211.xml"/><Relationship Id="rId464" Type="http://schemas.openxmlformats.org/officeDocument/2006/relationships/footer" Target="footer221.xml"/><Relationship Id="rId303" Type="http://schemas.openxmlformats.org/officeDocument/2006/relationships/footer" Target="footer141.xml"/><Relationship Id="rId485" Type="http://schemas.openxmlformats.org/officeDocument/2006/relationships/image" Target="media/image20.emf"/><Relationship Id="rId42" Type="http://schemas.openxmlformats.org/officeDocument/2006/relationships/image" Target="media/image9.png"/><Relationship Id="rId84" Type="http://schemas.openxmlformats.org/officeDocument/2006/relationships/footer" Target="footer31.xml"/><Relationship Id="rId138" Type="http://schemas.openxmlformats.org/officeDocument/2006/relationships/footer" Target="footer58.xml"/><Relationship Id="rId345" Type="http://schemas.openxmlformats.org/officeDocument/2006/relationships/footer" Target="footer162.xml"/><Relationship Id="rId387" Type="http://schemas.openxmlformats.org/officeDocument/2006/relationships/footer" Target="footer183.xml"/><Relationship Id="rId510" Type="http://schemas.openxmlformats.org/officeDocument/2006/relationships/footer" Target="footer237.xml"/><Relationship Id="rId552" Type="http://schemas.openxmlformats.org/officeDocument/2006/relationships/footer" Target="footer258.xml"/><Relationship Id="rId594" Type="http://schemas.openxmlformats.org/officeDocument/2006/relationships/footer" Target="footer279.xml"/><Relationship Id="rId608" Type="http://schemas.openxmlformats.org/officeDocument/2006/relationships/header" Target="header287.xml"/><Relationship Id="rId191" Type="http://schemas.openxmlformats.org/officeDocument/2006/relationships/header" Target="header86.xml"/><Relationship Id="rId205" Type="http://schemas.openxmlformats.org/officeDocument/2006/relationships/footer" Target="footer92.xml"/><Relationship Id="rId247" Type="http://schemas.openxmlformats.org/officeDocument/2006/relationships/footer" Target="footer113.xml"/><Relationship Id="rId412" Type="http://schemas.openxmlformats.org/officeDocument/2006/relationships/footer" Target="footer195.xml"/><Relationship Id="rId107" Type="http://schemas.openxmlformats.org/officeDocument/2006/relationships/header" Target="header44.xml"/><Relationship Id="rId289" Type="http://schemas.openxmlformats.org/officeDocument/2006/relationships/footer" Target="footer134.xml"/><Relationship Id="rId454" Type="http://schemas.openxmlformats.org/officeDocument/2006/relationships/footer" Target="footer216.xml"/><Relationship Id="rId496" Type="http://schemas.openxmlformats.org/officeDocument/2006/relationships/footer" Target="footer230.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header" Target="header65.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header" Target="header189.xml"/><Relationship Id="rId521" Type="http://schemas.openxmlformats.org/officeDocument/2006/relationships/header" Target="header243.xml"/><Relationship Id="rId563" Type="http://schemas.openxmlformats.org/officeDocument/2006/relationships/header" Target="header264.xml"/><Relationship Id="rId619" Type="http://schemas.openxmlformats.org/officeDocument/2006/relationships/fontTable" Target="fontTable.xml"/><Relationship Id="rId95" Type="http://schemas.openxmlformats.org/officeDocument/2006/relationships/header" Target="header38.xml"/><Relationship Id="rId160" Type="http://schemas.openxmlformats.org/officeDocument/2006/relationships/header" Target="header70.xml"/><Relationship Id="rId216" Type="http://schemas.openxmlformats.org/officeDocument/2006/relationships/footer" Target="footer97.xml"/><Relationship Id="rId423" Type="http://schemas.openxmlformats.org/officeDocument/2006/relationships/header" Target="header201.xml"/><Relationship Id="rId258" Type="http://schemas.openxmlformats.org/officeDocument/2006/relationships/footer" Target="footer118.xml"/><Relationship Id="rId465" Type="http://schemas.openxmlformats.org/officeDocument/2006/relationships/header" Target="header222.xml"/><Relationship Id="rId22" Type="http://schemas.openxmlformats.org/officeDocument/2006/relationships/footer" Target="footer6.xml"/><Relationship Id="rId64" Type="http://schemas.openxmlformats.org/officeDocument/2006/relationships/header" Target="header22.xml"/><Relationship Id="rId118" Type="http://schemas.openxmlformats.org/officeDocument/2006/relationships/header" Target="header49.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footer" Target="footer248.xml"/><Relationship Id="rId574" Type="http://schemas.openxmlformats.org/officeDocument/2006/relationships/footer" Target="footer269.xml"/><Relationship Id="rId171" Type="http://schemas.openxmlformats.org/officeDocument/2006/relationships/footer" Target="footer75.xml"/><Relationship Id="rId227" Type="http://schemas.openxmlformats.org/officeDocument/2006/relationships/header" Target="header104.xml"/><Relationship Id="rId269" Type="http://schemas.openxmlformats.org/officeDocument/2006/relationships/header" Target="header125.xml"/><Relationship Id="rId434" Type="http://schemas.openxmlformats.org/officeDocument/2006/relationships/footer" Target="footer206.xml"/><Relationship Id="rId476" Type="http://schemas.openxmlformats.org/officeDocument/2006/relationships/header" Target="header225.xml"/><Relationship Id="rId33" Type="http://schemas.openxmlformats.org/officeDocument/2006/relationships/footer" Target="footer11.xml"/><Relationship Id="rId129" Type="http://schemas.openxmlformats.org/officeDocument/2006/relationships/footer" Target="footer54.xml"/><Relationship Id="rId280" Type="http://schemas.openxmlformats.org/officeDocument/2006/relationships/header" Target="header130.xml"/><Relationship Id="rId336" Type="http://schemas.openxmlformats.org/officeDocument/2006/relationships/footer" Target="footer157.xml"/><Relationship Id="rId501" Type="http://schemas.openxmlformats.org/officeDocument/2006/relationships/footer" Target="footer232.xml"/><Relationship Id="rId543" Type="http://schemas.openxmlformats.org/officeDocument/2006/relationships/footer" Target="footer253.xml"/><Relationship Id="rId75" Type="http://schemas.openxmlformats.org/officeDocument/2006/relationships/footer" Target="footer27.xml"/><Relationship Id="rId140" Type="http://schemas.openxmlformats.org/officeDocument/2006/relationships/header" Target="header60.xml"/><Relationship Id="rId182" Type="http://schemas.openxmlformats.org/officeDocument/2006/relationships/header" Target="header81.xml"/><Relationship Id="rId378" Type="http://schemas.openxmlformats.org/officeDocument/2006/relationships/footer" Target="footer178.xml"/><Relationship Id="rId403" Type="http://schemas.openxmlformats.org/officeDocument/2006/relationships/footer" Target="footer190.xml"/><Relationship Id="rId585" Type="http://schemas.openxmlformats.org/officeDocument/2006/relationships/footer" Target="footer274.xml"/><Relationship Id="rId6" Type="http://schemas.openxmlformats.org/officeDocument/2006/relationships/settings" Target="settings.xml"/><Relationship Id="rId238" Type="http://schemas.openxmlformats.org/officeDocument/2006/relationships/header" Target="header109.xml"/><Relationship Id="rId445" Type="http://schemas.openxmlformats.org/officeDocument/2006/relationships/footer" Target="footer211.xml"/><Relationship Id="rId487" Type="http://schemas.openxmlformats.org/officeDocument/2006/relationships/header" Target="header226.xml"/><Relationship Id="rId610" Type="http://schemas.openxmlformats.org/officeDocument/2006/relationships/footer" Target="footer287.xml"/><Relationship Id="rId291" Type="http://schemas.openxmlformats.org/officeDocument/2006/relationships/footer" Target="foot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header" Target="header239.xml"/><Relationship Id="rId44" Type="http://schemas.openxmlformats.org/officeDocument/2006/relationships/image" Target="media/image11.png"/><Relationship Id="rId86" Type="http://schemas.openxmlformats.org/officeDocument/2006/relationships/header" Target="header33.xml"/><Relationship Id="rId151" Type="http://schemas.openxmlformats.org/officeDocument/2006/relationships/footer" Target="footer65.xml"/><Relationship Id="rId389" Type="http://schemas.openxmlformats.org/officeDocument/2006/relationships/header" Target="header185.xml"/><Relationship Id="rId554" Type="http://schemas.openxmlformats.org/officeDocument/2006/relationships/header" Target="header260.xml"/><Relationship Id="rId596" Type="http://schemas.openxmlformats.org/officeDocument/2006/relationships/header" Target="header281.xml"/><Relationship Id="rId193" Type="http://schemas.openxmlformats.org/officeDocument/2006/relationships/footer" Target="footer86.xml"/><Relationship Id="rId207" Type="http://schemas.openxmlformats.org/officeDocument/2006/relationships/footer" Target="footer93.xml"/><Relationship Id="rId249" Type="http://schemas.openxmlformats.org/officeDocument/2006/relationships/footer" Target="footer114.xml"/><Relationship Id="rId414" Type="http://schemas.openxmlformats.org/officeDocument/2006/relationships/header" Target="header197.xml"/><Relationship Id="rId456" Type="http://schemas.openxmlformats.org/officeDocument/2006/relationships/header" Target="header218.xml"/><Relationship Id="rId498" Type="http://schemas.openxmlformats.org/officeDocument/2006/relationships/footer" Target="footer231.xml"/><Relationship Id="rId13" Type="http://schemas.openxmlformats.org/officeDocument/2006/relationships/footer" Target="footer1.xml"/><Relationship Id="rId109" Type="http://schemas.openxmlformats.org/officeDocument/2006/relationships/footer" Target="footer44.xml"/><Relationship Id="rId260" Type="http://schemas.openxmlformats.org/officeDocument/2006/relationships/header" Target="header120.xml"/><Relationship Id="rId316" Type="http://schemas.openxmlformats.org/officeDocument/2006/relationships/header" Target="header148.xml"/><Relationship Id="rId523" Type="http://schemas.openxmlformats.org/officeDocument/2006/relationships/header" Target="header244.xml"/><Relationship Id="rId55" Type="http://schemas.openxmlformats.org/officeDocument/2006/relationships/footer" Target="footer17.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69.xml"/><Relationship Id="rId565" Type="http://schemas.openxmlformats.org/officeDocument/2006/relationships/header" Target="header265.xml"/><Relationship Id="rId162" Type="http://schemas.openxmlformats.org/officeDocument/2006/relationships/footer" Target="footer70.xml"/><Relationship Id="rId218" Type="http://schemas.openxmlformats.org/officeDocument/2006/relationships/header" Target="header99.xml"/><Relationship Id="rId425" Type="http://schemas.openxmlformats.org/officeDocument/2006/relationships/header" Target="header202.xml"/><Relationship Id="rId467" Type="http://schemas.openxmlformats.org/officeDocument/2006/relationships/image" Target="media/image13.emf"/><Relationship Id="rId271" Type="http://schemas.openxmlformats.org/officeDocument/2006/relationships/footer" Target="footer125.xml"/><Relationship Id="rId24" Type="http://schemas.openxmlformats.org/officeDocument/2006/relationships/header" Target="header8.xml"/><Relationship Id="rId66" Type="http://schemas.openxmlformats.org/officeDocument/2006/relationships/footer" Target="footer22.xml"/><Relationship Id="rId131" Type="http://schemas.openxmlformats.org/officeDocument/2006/relationships/header" Target="header56.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footer" Target="footer249.xml"/><Relationship Id="rId576" Type="http://schemas.openxmlformats.org/officeDocument/2006/relationships/footer" Target="footer270.xml"/><Relationship Id="rId173" Type="http://schemas.openxmlformats.org/officeDocument/2006/relationships/header" Target="header77.xml"/><Relationship Id="rId229" Type="http://schemas.openxmlformats.org/officeDocument/2006/relationships/footer" Target="footer104.xml"/><Relationship Id="rId380" Type="http://schemas.openxmlformats.org/officeDocument/2006/relationships/header" Target="header180.xml"/><Relationship Id="rId436" Type="http://schemas.openxmlformats.org/officeDocument/2006/relationships/footer" Target="footer207.xml"/><Relationship Id="rId601" Type="http://schemas.openxmlformats.org/officeDocument/2006/relationships/header" Target="header283.xml"/><Relationship Id="rId240" Type="http://schemas.openxmlformats.org/officeDocument/2006/relationships/footer" Target="footer109.xml"/><Relationship Id="rId478" Type="http://schemas.openxmlformats.org/officeDocument/2006/relationships/image" Target="media/image18.emf"/><Relationship Id="rId35" Type="http://schemas.openxmlformats.org/officeDocument/2006/relationships/footer" Target="footer12.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footer" Target="footer130.xml"/><Relationship Id="rId338" Type="http://schemas.openxmlformats.org/officeDocument/2006/relationships/header" Target="header159.xml"/><Relationship Id="rId503" Type="http://schemas.openxmlformats.org/officeDocument/2006/relationships/header" Target="header234.xml"/><Relationship Id="rId545" Type="http://schemas.openxmlformats.org/officeDocument/2006/relationships/header" Target="header255.xml"/><Relationship Id="rId587" Type="http://schemas.openxmlformats.org/officeDocument/2006/relationships/header" Target="header276.xml"/><Relationship Id="rId8" Type="http://schemas.openxmlformats.org/officeDocument/2006/relationships/footnotes" Target="footnotes.xml"/><Relationship Id="rId142" Type="http://schemas.openxmlformats.org/officeDocument/2006/relationships/header" Target="header61.xml"/><Relationship Id="rId184" Type="http://schemas.openxmlformats.org/officeDocument/2006/relationships/header" Target="header82.xml"/><Relationship Id="rId391" Type="http://schemas.openxmlformats.org/officeDocument/2006/relationships/footer" Target="footer185.xml"/><Relationship Id="rId405" Type="http://schemas.openxmlformats.org/officeDocument/2006/relationships/header" Target="header192.xml"/><Relationship Id="rId447" Type="http://schemas.openxmlformats.org/officeDocument/2006/relationships/header" Target="header213.xml"/><Relationship Id="rId612" Type="http://schemas.openxmlformats.org/officeDocument/2006/relationships/footer" Target="footer288.xml"/><Relationship Id="rId251" Type="http://schemas.openxmlformats.org/officeDocument/2006/relationships/header" Target="header116.xml"/><Relationship Id="rId489" Type="http://schemas.openxmlformats.org/officeDocument/2006/relationships/footer" Target="footer226.xml"/><Relationship Id="rId46" Type="http://schemas.openxmlformats.org/officeDocument/2006/relationships/header" Target="header13.xml"/><Relationship Id="rId293" Type="http://schemas.openxmlformats.org/officeDocument/2006/relationships/header" Target="header137.xml"/><Relationship Id="rId307" Type="http://schemas.openxmlformats.org/officeDocument/2006/relationships/footer" Target="footer143.xml"/><Relationship Id="rId349" Type="http://schemas.openxmlformats.org/officeDocument/2006/relationships/footer" Target="footer164.xml"/><Relationship Id="rId514" Type="http://schemas.openxmlformats.org/officeDocument/2006/relationships/footer" Target="footer239.xml"/><Relationship Id="rId556" Type="http://schemas.openxmlformats.org/officeDocument/2006/relationships/footer" Target="footer260.xml"/><Relationship Id="rId88" Type="http://schemas.openxmlformats.org/officeDocument/2006/relationships/header" Target="header34.xml"/><Relationship Id="rId111" Type="http://schemas.openxmlformats.org/officeDocument/2006/relationships/footer" Target="footer45.xml"/><Relationship Id="rId153" Type="http://schemas.openxmlformats.org/officeDocument/2006/relationships/footer" Target="footer66.xml"/><Relationship Id="rId195" Type="http://schemas.openxmlformats.org/officeDocument/2006/relationships/footer" Target="footer87.xml"/><Relationship Id="rId209" Type="http://schemas.openxmlformats.org/officeDocument/2006/relationships/header" Target="header95.xml"/><Relationship Id="rId360" Type="http://schemas.openxmlformats.org/officeDocument/2006/relationships/footer" Target="footer169.xml"/><Relationship Id="rId416" Type="http://schemas.openxmlformats.org/officeDocument/2006/relationships/footer" Target="footer197.xml"/><Relationship Id="rId598" Type="http://schemas.openxmlformats.org/officeDocument/2006/relationships/footer" Target="footer281.xml"/><Relationship Id="rId220" Type="http://schemas.openxmlformats.org/officeDocument/2006/relationships/header" Target="header100.xml"/><Relationship Id="rId458" Type="http://schemas.openxmlformats.org/officeDocument/2006/relationships/footer" Target="footer218.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21.xml"/><Relationship Id="rId318" Type="http://schemas.openxmlformats.org/officeDocument/2006/relationships/footer" Target="footer148.xml"/><Relationship Id="rId525" Type="http://schemas.openxmlformats.org/officeDocument/2006/relationships/footer" Target="footer244.xml"/><Relationship Id="rId567" Type="http://schemas.openxmlformats.org/officeDocument/2006/relationships/footer" Target="footer265.xml"/><Relationship Id="rId99" Type="http://schemas.openxmlformats.org/officeDocument/2006/relationships/footer" Target="footer39.xml"/><Relationship Id="rId122" Type="http://schemas.openxmlformats.org/officeDocument/2006/relationships/header" Target="header51.xml"/><Relationship Id="rId164" Type="http://schemas.openxmlformats.org/officeDocument/2006/relationships/header" Target="header72.xml"/><Relationship Id="rId371" Type="http://schemas.openxmlformats.org/officeDocument/2006/relationships/header" Target="header176.xml"/><Relationship Id="rId427" Type="http://schemas.openxmlformats.org/officeDocument/2006/relationships/footer" Target="footer202.xml"/><Relationship Id="rId469" Type="http://schemas.openxmlformats.org/officeDocument/2006/relationships/image" Target="media/image15.emf"/><Relationship Id="rId26" Type="http://schemas.openxmlformats.org/officeDocument/2006/relationships/footer" Target="footer8.xml"/><Relationship Id="rId231" Type="http://schemas.openxmlformats.org/officeDocument/2006/relationships/footer" Target="footer105.xml"/><Relationship Id="rId273" Type="http://schemas.openxmlformats.org/officeDocument/2006/relationships/footer" Target="footer126.xml"/><Relationship Id="rId329" Type="http://schemas.openxmlformats.org/officeDocument/2006/relationships/header" Target="header155.xml"/><Relationship Id="rId480" Type="http://schemas.openxmlformats.org/officeDocument/2006/relationships/diagramData" Target="diagrams/data1.xml"/><Relationship Id="rId536" Type="http://schemas.openxmlformats.org/officeDocument/2006/relationships/header" Target="header251.xml"/><Relationship Id="rId68" Type="http://schemas.openxmlformats.org/officeDocument/2006/relationships/header" Target="header24.xml"/><Relationship Id="rId133" Type="http://schemas.openxmlformats.org/officeDocument/2006/relationships/footer" Target="footer56.xml"/><Relationship Id="rId175" Type="http://schemas.openxmlformats.org/officeDocument/2006/relationships/footer" Target="footer77.xml"/><Relationship Id="rId340" Type="http://schemas.openxmlformats.org/officeDocument/2006/relationships/header" Target="header160.xml"/><Relationship Id="rId578" Type="http://schemas.openxmlformats.org/officeDocument/2006/relationships/header" Target="header272.xml"/><Relationship Id="rId200" Type="http://schemas.openxmlformats.org/officeDocument/2006/relationships/header" Target="header90.xml"/><Relationship Id="rId382" Type="http://schemas.openxmlformats.org/officeDocument/2006/relationships/header" Target="header181.xml"/><Relationship Id="rId438" Type="http://schemas.openxmlformats.org/officeDocument/2006/relationships/header" Target="header209.xml"/><Relationship Id="rId603" Type="http://schemas.openxmlformats.org/officeDocument/2006/relationships/footer" Target="footer283.xml"/><Relationship Id="rId242" Type="http://schemas.openxmlformats.org/officeDocument/2006/relationships/header" Target="header111.xml"/><Relationship Id="rId284" Type="http://schemas.openxmlformats.org/officeDocument/2006/relationships/header" Target="header132.xml"/><Relationship Id="rId491" Type="http://schemas.openxmlformats.org/officeDocument/2006/relationships/header" Target="header228.xml"/><Relationship Id="rId505" Type="http://schemas.openxmlformats.org/officeDocument/2006/relationships/header" Target="header235.xml"/><Relationship Id="rId37" Type="http://schemas.openxmlformats.org/officeDocument/2006/relationships/image" Target="media/image4.png"/><Relationship Id="rId79" Type="http://schemas.openxmlformats.org/officeDocument/2006/relationships/footer" Target="footer29.xml"/><Relationship Id="rId102" Type="http://schemas.openxmlformats.org/officeDocument/2006/relationships/footer" Target="footer40.xml"/><Relationship Id="rId144" Type="http://schemas.openxmlformats.org/officeDocument/2006/relationships/footer" Target="footer61.xml"/><Relationship Id="rId547" Type="http://schemas.openxmlformats.org/officeDocument/2006/relationships/header" Target="header256.xml"/><Relationship Id="rId589" Type="http://schemas.openxmlformats.org/officeDocument/2006/relationships/header" Target="header277.xml"/><Relationship Id="rId90" Type="http://schemas.openxmlformats.org/officeDocument/2006/relationships/footer" Target="footer34.xml"/><Relationship Id="rId186" Type="http://schemas.openxmlformats.org/officeDocument/2006/relationships/footer" Target="footer82.xml"/><Relationship Id="rId351" Type="http://schemas.openxmlformats.org/officeDocument/2006/relationships/footer" Target="footer165.xml"/><Relationship Id="rId393" Type="http://schemas.openxmlformats.org/officeDocument/2006/relationships/footer" Target="footer186.xml"/><Relationship Id="rId407" Type="http://schemas.openxmlformats.org/officeDocument/2006/relationships/header" Target="header193.xml"/><Relationship Id="rId449" Type="http://schemas.openxmlformats.org/officeDocument/2006/relationships/header" Target="header214.xml"/><Relationship Id="rId614" Type="http://schemas.openxmlformats.org/officeDocument/2006/relationships/header" Target="header290.xml"/><Relationship Id="rId211" Type="http://schemas.openxmlformats.org/officeDocument/2006/relationships/footer" Target="footer95.xml"/><Relationship Id="rId253" Type="http://schemas.openxmlformats.org/officeDocument/2006/relationships/footer" Target="footer116.xml"/><Relationship Id="rId295" Type="http://schemas.openxmlformats.org/officeDocument/2006/relationships/footer" Target="footer137.xml"/><Relationship Id="rId309" Type="http://schemas.openxmlformats.org/officeDocument/2006/relationships/footer" Target="footer144.xml"/><Relationship Id="rId460" Type="http://schemas.openxmlformats.org/officeDocument/2006/relationships/footer" Target="footer219.xml"/><Relationship Id="rId516" Type="http://schemas.openxmlformats.org/officeDocument/2006/relationships/footer" Target="footer240.xml"/><Relationship Id="rId48" Type="http://schemas.openxmlformats.org/officeDocument/2006/relationships/footer" Target="footer13.xml"/><Relationship Id="rId113" Type="http://schemas.openxmlformats.org/officeDocument/2006/relationships/header" Target="header47.xml"/><Relationship Id="rId320" Type="http://schemas.openxmlformats.org/officeDocument/2006/relationships/header" Target="header150.xml"/><Relationship Id="rId558" Type="http://schemas.openxmlformats.org/officeDocument/2006/relationships/footer" Target="footer26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fr-FR"/>
            <a:t>Audits et contrôles a posteriori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fr-FR"/>
            <a:t>En cours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fr-FR"/>
            <a:t>Confirmés</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fr-FR" b="0" i="0"/>
            <a:t>Mis en œuvre</a:t>
          </a:r>
          <a:r>
            <a:rPr lang="fr-FR"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4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Audits et contrôles a posteriori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En cours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Confirmés</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b="0" i="0" kern="1200"/>
            <a:t>Mis en œuvre</a:t>
          </a:r>
          <a:r>
            <a:rPr lang="fr-FR" sz="11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D6FA-5CFA-4A12-927C-9E5CEA03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4</Pages>
  <Words>62897</Words>
  <Characters>324423</Characters>
  <Application>Microsoft Office Word</Application>
  <DocSecurity>0</DocSecurity>
  <Lines>15287</Lines>
  <Paragraphs>9403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381433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138</cp:revision>
  <dcterms:created xsi:type="dcterms:W3CDTF">2017-06-20T12:55:00Z</dcterms:created>
  <dcterms:modified xsi:type="dcterms:W3CDTF">2017-09-05T14:03:00Z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qgUAAB+LCAAAAAAABAA9lImRBDEIA1My+I+H/HM4tTx7VfvM2AaEkBy918nau6Ltyl3jVqy6veL0yhaVcbQStbJCm5nfyqjos7SReero7ZzKkTWPU43tpHx1hKxtVM8XmHodSyF6DpXSkTVrUHA6/SVJKJyl40qClFO7s+m8SkVWV4oZ/hujVEngorfSMS3z1mvfOkHq6KDWgastQpQAcGp2FiwotyACQifHLDoTzpsPuvCN4oXFEIihL22t2oc</vt:lpwstr>
  </property>
  <property fmtid="{D5CDD505-2E9C-101B-9397-08002B2CF9AE}" pid="9" name="frecMETA01">
    <vt:lpwstr>PndGcEoEqU/uixhSorlCESFGfu9XyadFhZtZxREwtKyp7N5uu1DUVrejp8R/nmvFY5jiU7y4dUB3Y6DVH6ZecTO8qnBX3ACeDWXX12aqHG9EJRvRmZgoHVGQJ/9Fi7fBDiqrUNhy261fYi9WpEvea++gu6EcUJORMLbbBpR791YmpPNB21iN9+XAmqgmDEycoBGESQJN3PAxRkNW2aZmgaeiY/eGopblaN/qYPvDFpMcc52GTlFIyBC7DtJYfzm</vt:lpwstr>
  </property>
  <property fmtid="{D5CDD505-2E9C-101B-9397-08002B2CF9AE}" pid="10" name="frecMETA02">
    <vt:lpwstr>byIr44SVA8Q2sQ0tHBfmhQAlOXiFSrGfQyQM1jhNsz6+k/uFBJJJB4SeSFTMNUQ8TEbbYUIldXy2EbE8LQMOHzKUMNSpA8ACkeGSCZphVCIqmP55qzzOdqRX6Wza+yix00pIwmLJH/iGf39kbqMeEXpo1BEToMsPzPgnbdOA5SKrlhf45XY2YMew0GnHymaRZLGATVU5XORFPiij0t+J1k3fddDEExxZw3MozBFpfJaN9kr8vNbbli+19KgR6+u</vt:lpwstr>
  </property>
  <property fmtid="{D5CDD505-2E9C-101B-9397-08002B2CF9AE}" pid="11" name="frecMETA03">
    <vt:lpwstr>mgbIz2JuctjrtfjmNQLs47n5W7acbgJSdvEt93xFcO1edN1YMUSFwxYObZEYrEnNV9i2uzfdQLtzexjs9fhulZ7Kk//A89Q1uiqBQAA</vt:lpwstr>
  </property>
  <property fmtid="{D5CDD505-2E9C-101B-9397-08002B2CF9AE}" pid="12" name="PeriodId">
    <vt:i4>6</vt:i4>
  </property>
  <property fmtid="{D5CDD505-2E9C-101B-9397-08002B2CF9AE}" pid="13" name="PeriodName">
    <vt:lpwstr>2016 Annual Accounts</vt:lpwstr>
  </property>
  <property fmtid="{D5CDD505-2E9C-101B-9397-08002B2CF9AE}" pid="14" name="ReportId">
    <vt:i4>83</vt:i4>
  </property>
  <property fmtid="{D5CDD505-2E9C-101B-9397-08002B2CF9AE}" pid="15" name="ReportName">
    <vt:lpwstr>EU Annual Accounts</vt:lpwstr>
  </property>
  <property fmtid="{D5CDD505-2E9C-101B-9397-08002B2CF9AE}" pid="16" name="UseLegacyExcelTemplate">
    <vt:bool>true</vt:bool>
  </property>
  <property fmtid="{D5CDD505-2E9C-101B-9397-08002B2CF9AE}" pid="17" name="Part">
    <vt:lpwstr>1</vt:lpwstr>
  </property>
  <property fmtid="{D5CDD505-2E9C-101B-9397-08002B2CF9AE}" pid="18" name="Total parts">
    <vt:lpwstr>1</vt:lpwstr>
  </property>
  <property fmtid="{D5CDD505-2E9C-101B-9397-08002B2CF9AE}" pid="19" name="DocStatus">
    <vt:lpwstr>Green</vt:lpwstr>
  </property>
  <property fmtid="{D5CDD505-2E9C-101B-9397-08002B2CF9AE}" pid="20" name="Classification">
    <vt:lpwstr> </vt:lpwstr>
  </property>
</Properties>
</file>