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D84196F482A4867BFD13BF325D4FC14" style="width:450.45pt;height:379.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 xml:space="preserve">ОБЯСНИТЕЛЕН МЕМОРАНДУМ </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С решение на Съвета от 21 април 2015 г.</w:t>
      </w:r>
      <w:r>
        <w:rPr>
          <w:rStyle w:val="FootnoteReference"/>
          <w:noProof/>
        </w:rPr>
        <w:footnoteReference w:id="2"/>
      </w:r>
      <w:r>
        <w:rPr>
          <w:noProof/>
        </w:rPr>
        <w:t xml:space="preserve"> на Комисията бе разрешено да започне преговори със Съединените американски щати (САЩ) за сключване на споразумение в областта на застраховането и презастраховането. По силата на посоченото решение и въз основа на насоките за водене на преговори, през 2016 г. Европейската комисия договори двустранно споразумение със САЩ относно пруденциалните мерки в областта на застраховането и презастраховането.</w:t>
      </w:r>
    </w:p>
    <w:p>
      <w:pPr>
        <w:pBdr>
          <w:top w:val="nil"/>
          <w:left w:val="nil"/>
          <w:bottom w:val="nil"/>
          <w:right w:val="nil"/>
          <w:between w:val="nil"/>
          <w:bar w:val="nil"/>
        </w:pBdr>
        <w:spacing w:before="0" w:after="240"/>
        <w:rPr>
          <w:noProof/>
        </w:rPr>
      </w:pPr>
      <w:r>
        <w:rPr>
          <w:noProof/>
        </w:rPr>
        <w:t xml:space="preserve">Двустранното споразумение обхваща три области — групов надзор, презастраховане и обмен на информация между надзорните органи: </w:t>
      </w:r>
    </w:p>
    <w:p>
      <w:pPr>
        <w:pBdr>
          <w:top w:val="nil"/>
          <w:left w:val="nil"/>
          <w:bottom w:val="nil"/>
          <w:right w:val="nil"/>
          <w:between w:val="nil"/>
          <w:bar w:val="nil"/>
        </w:pBdr>
        <w:spacing w:before="0" w:after="240"/>
        <w:rPr>
          <w:rFonts w:eastAsia="Arial Unicode MS"/>
          <w:noProof/>
        </w:rPr>
      </w:pPr>
      <w:r>
        <w:rPr>
          <w:noProof/>
        </w:rPr>
        <w:t xml:space="preserve">— в него се определят условията за групов надзор на съответните застрахователни и презастрахователни групи от двете страни по споразумението. Застрахователните и презастрахователните групи от ЕС и САЩ, които извършват дейност в двете юрисдикции, няма да бъдат задължени да изпълняват някои изисквания на груповия надзор по отношение на глобалната им дейност, но надзорните органи запазват правото да изискват и да получават информация за глобалната им дейност, която би могла да бъде във вреда на титулярите на полици или в ущърб на финансовата стабилност; </w:t>
      </w:r>
    </w:p>
    <w:p>
      <w:pPr>
        <w:pBdr>
          <w:top w:val="nil"/>
          <w:left w:val="nil"/>
          <w:bottom w:val="nil"/>
          <w:right w:val="nil"/>
          <w:between w:val="nil"/>
          <w:bar w:val="nil"/>
        </w:pBdr>
        <w:spacing w:before="0" w:after="240"/>
        <w:rPr>
          <w:noProof/>
        </w:rPr>
      </w:pPr>
      <w:r>
        <w:rPr>
          <w:noProof/>
        </w:rPr>
        <w:t xml:space="preserve">— в него се определят пруденциалните условия, които да се прилагат при премахването на местно присъствие и по отношение на изискванията за обезпечение за презастрахователи, които са регулирани и чийто надзор се осъществява на територията на другата страна по споразумението; </w:t>
      </w:r>
    </w:p>
    <w:p>
      <w:pPr>
        <w:pBdr>
          <w:top w:val="nil"/>
          <w:left w:val="nil"/>
          <w:bottom w:val="nil"/>
          <w:right w:val="nil"/>
          <w:between w:val="nil"/>
          <w:bar w:val="nil"/>
        </w:pBdr>
        <w:spacing w:before="0" w:after="240"/>
        <w:rPr>
          <w:noProof/>
        </w:rPr>
      </w:pPr>
      <w:r>
        <w:rPr>
          <w:noProof/>
        </w:rPr>
        <w:t>— в него се съдържат разпоредби, а в приложението е включен образец на меморандум за разбирателство, във връзка с обмена на информация между надзорните органи в ЕС и САЩ. Надзорните органи ще бъдат насърчавани да използват тези разпоредби, за да гарантират висока степен на опазване на професионалната тайна при всякакъв вид обмен на поверителна информация, който е необходим за извършването на тяхната основна надзорна дейност.</w:t>
      </w:r>
    </w:p>
    <w:p>
      <w:pPr>
        <w:pBdr>
          <w:top w:val="nil"/>
          <w:left w:val="nil"/>
          <w:bottom w:val="nil"/>
          <w:right w:val="nil"/>
          <w:between w:val="nil"/>
          <w:bar w:val="nil"/>
        </w:pBdr>
        <w:spacing w:before="0" w:after="240"/>
        <w:rPr>
          <w:noProof/>
        </w:rPr>
      </w:pPr>
      <w:r>
        <w:rPr>
          <w:noProof/>
        </w:rPr>
        <w:t>По този начин споразумението установява подходяща пруденциална рамка, която да бъде прилагана по отношение на застрахователните и презастрахователните предприятия от двете страни по споразумението.</w:t>
      </w:r>
    </w:p>
    <w:p>
      <w:pPr>
        <w:pBdr>
          <w:top w:val="nil"/>
          <w:left w:val="nil"/>
          <w:bottom w:val="nil"/>
          <w:right w:val="nil"/>
          <w:between w:val="nil"/>
          <w:bar w:val="nil"/>
        </w:pBdr>
        <w:spacing w:before="0" w:after="240"/>
        <w:rPr>
          <w:noProof/>
        </w:rPr>
      </w:pPr>
      <w:r>
        <w:rPr>
          <w:noProof/>
        </w:rPr>
        <w:t>С настоящото предложение за изменение на решението на Съвета от 27 май 2017 г., което представлява правният инструмент за подписването и временното прилагане на това Двустранно споразумение, се пояснява, че споразумението може да бъде подписано на английски език и то се изготвя на 23-те официални езика на ЕС от страна на ЕС и следва да бъде заверено чрез размяна на дипломатически ноти между страните.</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Законодателството на ЕС в областта на застраховането определя пруденциална рамка за защита на титулярите на застрахователни полици и на финансовата стабилност. Споразумението допълва усилията за осигуряване на висока степен на защита на титулярите на застрахователни полици в ЕС, по-специално чрез засилено сътрудничество и обмен на информация между надзорните органи, като същевременно се гарантира, че надлежно регулираните и наблюдавани  застрахователи и презастрахователи от двете страни по споразумението не са неоправдано обременени.</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В съответствие с целите на Плана за инвестиции за Европа и съюза на капиталовите пазари настоящото споразумение ще улесни инвестиционната дейност на презастрахователите</w:t>
      </w:r>
      <w:r>
        <w:rPr>
          <w:rStyle w:val="FootnoteReference"/>
          <w:noProof/>
        </w:rPr>
        <w:footnoteReference w:id="3"/>
      </w:r>
      <w:r>
        <w:rPr>
          <w:noProof/>
        </w:rPr>
        <w:t xml:space="preserve">. </w:t>
      </w:r>
    </w:p>
    <w:p>
      <w:pPr>
        <w:pBdr>
          <w:top w:val="nil"/>
          <w:left w:val="nil"/>
          <w:bottom w:val="nil"/>
          <w:right w:val="nil"/>
          <w:between w:val="nil"/>
          <w:bar w:val="nil"/>
        </w:pBdr>
        <w:spacing w:before="0" w:after="240"/>
        <w:rPr>
          <w:rFonts w:eastAsia="Arial Unicode MS"/>
          <w:noProof/>
        </w:rPr>
      </w:pPr>
      <w:r>
        <w:rPr>
          <w:noProof/>
        </w:rPr>
        <w:t>Настоящото споразумение не засяга преговорите по Трансатлантическото партньорство за търговия и инвестиции със САЩ.</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 xml:space="preserve">Правното основание за действието на Съюза е член 207 от ДФЕС във връзка с член 218, параграф 5 от ДФЕС.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Предложението е от изключителната компетентност на Съюза. Следователно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Настоящото действие на ЕС, с което се определят пруденциални правила за застрахователите и презастрахователите, е в съответствие с принципите на Директива 2009/138/ЕО на Европейския парламент и на Съвета</w:t>
      </w:r>
      <w:r>
        <w:rPr>
          <w:rStyle w:val="FootnoteReference"/>
          <w:noProof/>
        </w:rPr>
        <w:footnoteReference w:id="4"/>
      </w:r>
      <w:r>
        <w:rPr>
          <w:noProof/>
        </w:rPr>
        <w:t xml:space="preserve"> („Платежоспособност II“), и не надхвърля необходимото за постигането на неговите цели.</w:t>
      </w:r>
    </w:p>
    <w:p>
      <w:pPr>
        <w:pStyle w:val="ManualHeading1"/>
        <w:rPr>
          <w:noProof/>
        </w:rPr>
      </w:pPr>
      <w:r>
        <w:rPr>
          <w:noProof/>
        </w:rPr>
        <w:t>3.</w:t>
      </w:r>
      <w:r>
        <w:rPr>
          <w:noProof/>
        </w:rPr>
        <w:tab/>
        <w:t xml:space="preserve">КОНСУЛТАЦИИ СЪС ЗАИНТЕРЕСОВАНИТЕ СТРАНИ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При преговорите бяха проведени консултации с държавите членки посредством специалния комитет на Съвета (работна група „Финансови услуги“)</w:t>
      </w:r>
      <w:r>
        <w:rPr>
          <w:rStyle w:val="FootnoteReference"/>
          <w:noProof/>
        </w:rPr>
        <w:footnoteReference w:id="5"/>
      </w:r>
      <w:r>
        <w:rPr>
          <w:noProof/>
        </w:rPr>
        <w:t>, а държавите членки бяха информирани редовно за постигнатия напредък. Европейският парламент също беше информиран за напредъка на преговорите</w:t>
      </w:r>
      <w:r>
        <w:rPr>
          <w:rStyle w:val="FootnoteReference"/>
          <w:noProof/>
        </w:rPr>
        <w:footnoteReference w:id="6"/>
      </w:r>
      <w:r>
        <w:rPr>
          <w:noProof/>
        </w:rPr>
        <w:t>.</w:t>
      </w:r>
    </w:p>
    <w:p>
      <w:pPr>
        <w:pBdr>
          <w:top w:val="nil"/>
          <w:left w:val="nil"/>
          <w:bottom w:val="nil"/>
          <w:right w:val="nil"/>
          <w:between w:val="nil"/>
          <w:bar w:val="nil"/>
        </w:pBdr>
        <w:spacing w:before="0" w:after="240"/>
        <w:rPr>
          <w:noProof/>
        </w:rPr>
      </w:pPr>
      <w:r>
        <w:rPr>
          <w:noProof/>
        </w:rPr>
        <w:t>Заинтересованите страни от сектора и от двете страни по споразумението изразиха своята подкрепа за настоящото споразумение, и по-специално по отношение на надзора върху трансграничните застрахователни и презастрахователни групи, както и за премахването на изискванията за обезпечение при презастраховане.</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 xml:space="preserve">Преди да започнат преговорите ЕС и САЩ следяха отблизо тенденциите в двете юрисдикции, като обменяха информация относно нормативните промени и откроиха конкретни аспекти на своите регулаторни системи като потенциално проблематични за застрахователите и презастрахователите, извършващи дейност в другата юрисдикция. </w:t>
      </w:r>
    </w:p>
    <w:p>
      <w:pPr>
        <w:pBdr>
          <w:top w:val="nil"/>
          <w:left w:val="nil"/>
          <w:bottom w:val="nil"/>
          <w:right w:val="nil"/>
          <w:between w:val="nil"/>
          <w:bar w:val="nil"/>
        </w:pBdr>
        <w:spacing w:before="0" w:after="240"/>
        <w:rPr>
          <w:noProof/>
        </w:rPr>
      </w:pPr>
      <w:r>
        <w:rPr>
          <w:noProof/>
        </w:rPr>
        <w:t>Това бе постигнато по-специално с помощта на проекта за диалог между ЕС и САЩ, по който съвместно работят служители от ЕС и САЩ, както и надзорните органи в двете страни по споразумението.</w:t>
      </w:r>
    </w:p>
    <w:p>
      <w:pPr>
        <w:pBdr>
          <w:top w:val="nil"/>
          <w:left w:val="nil"/>
          <w:bottom w:val="nil"/>
          <w:right w:val="nil"/>
          <w:between w:val="nil"/>
          <w:bar w:val="nil"/>
        </w:pBdr>
        <w:spacing w:before="0" w:after="240"/>
        <w:rPr>
          <w:rFonts w:eastAsia="Arial Unicode MS"/>
          <w:noProof/>
        </w:rPr>
      </w:pPr>
      <w:r>
        <w:rPr>
          <w:noProof/>
        </w:rPr>
        <w:t>Европейският орган за застраховане и професионално пенсионно осигуряване взе участие като наблюдател на преговорите.</w:t>
      </w:r>
    </w:p>
    <w:p>
      <w:pPr>
        <w:pStyle w:val="ManualHeading2"/>
        <w:ind w:left="0" w:firstLine="0"/>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Няма въздействие върху бюджета на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noProof/>
        </w:rPr>
      </w:pPr>
      <w:r>
        <w:rPr>
          <w:noProof/>
        </w:rPr>
        <w:t>Споразумението предвижда създаването на Съвместен комитет, който ще осигури форум за консултации между ЕС и САЩ и за обмен на информация относно администрирането на споразумението и правилното му прилагане.</w:t>
      </w:r>
    </w:p>
    <w:p>
      <w:pPr>
        <w:pBdr>
          <w:top w:val="nil"/>
          <w:left w:val="nil"/>
          <w:bottom w:val="nil"/>
          <w:right w:val="nil"/>
          <w:between w:val="nil"/>
          <w:bar w:val="nil"/>
        </w:pBdr>
        <w:spacing w:before="0" w:after="240"/>
        <w:rPr>
          <w:noProof/>
        </w:rPr>
      </w:pPr>
      <w:r>
        <w:rPr>
          <w:noProof/>
        </w:rPr>
        <w:t>Държавите членки също следва да предприемат необходимите действия, за да осигурят прилагането на настоящото споразумение.</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С член 1 от настоящото предложение се изменя решението на Съвета от 27 май 2017 г., с което се разрешава подписването на настоящото споразумение, чрез въвеждане на член 3а, в който се посочва, че споразумението се подписва на английски език и че споразумението също така се изготвя от ЕС на останалите 22 официални езика на ЕС. Тези допълнителни езикови версии следва да бъдат заверени чрез размяна на дипломатически ноти между Съединените щати и Европейския съюз. Предвижда се също така, че всички заверени версии имат еднаква стойност.</w:t>
      </w:r>
    </w:p>
    <w:p>
      <w:pPr>
        <w:pBdr>
          <w:top w:val="nil"/>
          <w:left w:val="nil"/>
          <w:bottom w:val="nil"/>
          <w:right w:val="nil"/>
          <w:between w:val="nil"/>
          <w:bar w:val="nil"/>
        </w:pBdr>
        <w:spacing w:before="0" w:after="240"/>
        <w:rPr>
          <w:rFonts w:eastAsia="Arial Unicode MS"/>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2017/0229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изменение на Решение 2017/... на Съвета от 27 май 2017 г. относно подписването от името на Европейския съюз и временното прилагане на двустранно споразумение между Европейския съюз и Съединените американски щати относно пруденциалните мерки в областта на застраховането и презастраховането</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На 21 април 2015 г. Съветът упълномощи Комисията да започне преговори със Съединените американски щати по споразумение в областта на презастраховането</w:t>
      </w:r>
      <w:r>
        <w:rPr>
          <w:rStyle w:val="FootnoteReference"/>
          <w:noProof/>
        </w:rPr>
        <w:footnoteReference w:id="7"/>
      </w:r>
      <w:r>
        <w:rPr>
          <w:noProof/>
        </w:rPr>
        <w:t>. Преговорите приключиха успешно с размяна на писма между водещите преговарящи на 12 януари 2017 г.</w:t>
      </w:r>
    </w:p>
    <w:p>
      <w:pPr>
        <w:pStyle w:val="ManualConsidrant"/>
        <w:rPr>
          <w:noProof/>
        </w:rPr>
      </w:pPr>
      <w:r>
        <w:rPr>
          <w:noProof/>
        </w:rPr>
        <w:t>(2)</w:t>
      </w:r>
      <w:r>
        <w:rPr>
          <w:noProof/>
        </w:rPr>
        <w:tab/>
        <w:t>Споразумението следва да бъде подписано от името на Европейския съюз на английски език, при условие че бъде сключено на по-късна дата. За тази цел Решение (ЕС) 2017/... на Съвета от 27 май 2017 г. следва да бъде съответно изменено,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Добавя се следният член 3а в Решение (ЕС) 2017/... на Съвета от 27 май 2017 г. относно подписването от името на Европейския съюз и временното прилагане на двустранно споразумение между Европейския съюз и Съединените американски щати относно пруденциалните мерки в областта на застраховането и презастраховането:</w:t>
      </w:r>
    </w:p>
    <w:p>
      <w:pPr>
        <w:pStyle w:val="Text1"/>
        <w:rPr>
          <w:noProof/>
        </w:rPr>
      </w:pPr>
      <w:r>
        <w:rPr>
          <w:noProof/>
        </w:rPr>
        <w:t>„Настоящото споразумение се подписва на английски език. Съгласно правото на ЕС настоящото споразумение се изготвя от ЕС също на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Тези допълнителни езикови версии се заверяват чрез размяна на дипломатически ноти между Съединените щати и Европейския съюз. Всички заверени версии имат еднаква стойност.“</w:t>
      </w:r>
    </w:p>
    <w:p>
      <w:pPr>
        <w:pStyle w:val="Titrearticle"/>
        <w:rPr>
          <w:noProof/>
        </w:rPr>
      </w:pPr>
      <w:r>
        <w:rPr>
          <w:noProof/>
        </w:rPr>
        <w:t>Член 2</w:t>
      </w:r>
    </w:p>
    <w:p>
      <w:pPr>
        <w:keepLines/>
        <w:rPr>
          <w:noProof/>
          <w:highlight w:val="yellow"/>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Решение на Съвета за разрешаване на започването на преговори от името на Европейския съюз със Съединените американски щати за сключване на споразумение в областта на презастраховането, 31 март 2015 г., ST 7320 2015 INIT.</w:t>
      </w:r>
    </w:p>
  </w:footnote>
  <w:footnote w:id="3">
    <w:p>
      <w:pPr>
        <w:pStyle w:val="FootnoteText"/>
      </w:pPr>
      <w:r>
        <w:rPr>
          <w:rStyle w:val="FootnoteReference"/>
        </w:rPr>
        <w:footnoteRef/>
      </w:r>
      <w:r>
        <w:tab/>
        <w:t>Според оценките на презастрахователите от ЕС предоставените от тях обезпечения в САЩ са на стойност около 40 милиарда щатски долара, които биха могли да се използват по-ефективно за други инвестиции. Алтернативните разходи се оценяват на около 400 милиона щатски долара годишно.</w:t>
      </w:r>
    </w:p>
  </w:footnote>
  <w:footnote w:id="4">
    <w:p>
      <w:pPr>
        <w:pStyle w:val="FootnoteText"/>
      </w:pPr>
      <w:r>
        <w:rPr>
          <w:rStyle w:val="FootnoteReference"/>
        </w:rPr>
        <w:footnoteRef/>
      </w:r>
      <w:r>
        <w:tab/>
        <w:t>OВ L 335, 17.12.2009 г., стр. 1.</w:t>
      </w:r>
    </w:p>
  </w:footnote>
  <w:footnote w:id="5">
    <w:p>
      <w:pPr>
        <w:pStyle w:val="FootnoteText"/>
      </w:pPr>
      <w:r>
        <w:rPr>
          <w:rStyle w:val="FootnoteReference"/>
        </w:rPr>
        <w:footnoteRef/>
      </w:r>
      <w:r>
        <w:tab/>
        <w:t>Консултациите със специалния комитет на Съвета бяха проведени на 14 март, 13 юни, 29 юни, 7 септември, 30 септември, 18 октомври, 9 ноември, 29 ноември, 9 декември, 16 декември и 19 декември 2016 г., както и на 10 януари 2017 г.</w:t>
      </w:r>
    </w:p>
  </w:footnote>
  <w:footnote w:id="6">
    <w:p>
      <w:pPr>
        <w:pStyle w:val="FootnoteText"/>
      </w:pPr>
      <w:r>
        <w:rPr>
          <w:rStyle w:val="FootnoteReference"/>
        </w:rPr>
        <w:footnoteRef/>
      </w:r>
      <w:r>
        <w:tab/>
        <w:t>Председателят и членовете на Комисията по икономически и парични въпроси на ЕП получиха информация при закрити врати на 29 юни, 11 октомври, 16 ноември и 30 ноември 2016 г.</w:t>
      </w:r>
    </w:p>
  </w:footnote>
  <w:footnote w:id="7">
    <w:p>
      <w:pPr>
        <w:pStyle w:val="FootnoteText"/>
      </w:pPr>
      <w:r>
        <w:rPr>
          <w:rStyle w:val="FootnoteReference"/>
        </w:rPr>
        <w:footnoteRef/>
      </w:r>
      <w:r>
        <w:tab/>
        <w:t>Решение на Съвета за разрешаване на започването на преговори от името на Европейския съюз със Съединените американски щати за сключване на споразумение в областта на презастраховането, 31 март 2015 г., ST 7320 2015 INIT.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B3C4A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30A83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0804F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CC32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5BAB3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C5EEB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DC6B48"/>
    <w:lvl w:ilvl="0">
      <w:start w:val="1"/>
      <w:numFmt w:val="decimal"/>
      <w:pStyle w:val="ListNumber"/>
      <w:lvlText w:val="%1."/>
      <w:lvlJc w:val="left"/>
      <w:pPr>
        <w:tabs>
          <w:tab w:val="num" w:pos="360"/>
        </w:tabs>
        <w:ind w:left="360" w:hanging="360"/>
      </w:pPr>
    </w:lvl>
  </w:abstractNum>
  <w:abstractNum w:abstractNumId="7">
    <w:nsid w:val="FFFFFF89"/>
    <w:multiLevelType w:val="singleLevel"/>
    <w:tmpl w:val="796CAC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09 17:28: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D84196F482A4867BFD13BF325D4FC14"/>
    <w:docVar w:name="LW_CROSSREFERENCE" w:val="&lt;UNUSED&gt;"/>
    <w:docVar w:name="LW_DocType" w:val="COM"/>
    <w:docVar w:name="LW_EMISSION" w:val="10.9.2017"/>
    <w:docVar w:name="LW_EMISSION_ISODATE" w:val="2017-09-10"/>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9"/>
    <w:docVar w:name="LW_REF.II.NEW.CP_YEAR" w:val="2017"/>
    <w:docVar w:name="LW_REF.INST.NEW" w:val="COM"/>
    <w:docVar w:name="LW_REF.INST.NEW_ADOPTED" w:val="final"/>
    <w:docVar w:name="LW_REF.INST.NEW_TEXT" w:val="(2017) 499"/>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96?\u1077?\u1085?\u1080?\u1077? 2017/... \u1085?\u1072? \u1057?\u1098?\u1074?\u1077?\u1090?\u1072? \u1086?\u1090? 27 \u1084?\u1072?\u1081? 2017 \u1075?. \u1086?\u1090?\u1085?\u1086?\u1089?\u1085?\u1086? \u1087?\u1086?\u1076?\u1087?\u1080?\u1089?\u1074?\u1072?\u1085?\u1077?\u1090?\u1086? \u1086?\u1090? \u1080?\u1084?\u1077?\u1090?\u1086? \u1085?\u1072? \u1045?\u1074?\u1088?\u1086?\u1087?\u1077?\u1081?\u1089?\u1082?\u1080?\u1103? \u1089?\u1098?\u1102?\u1079? \u1080? \u1074?\u1088?\u1077?\u1084?\u1077?\u1085?\u1085?\u1086?\u1090?\u1086? \u1087?\u1088?\u1080?\u1083?\u1072?\u1075?\u1072?\u1085?\u1077? \u1085?\u1072? \u1076?\u1074?\u1091?\u1089?\u1090?\u1088?\u1072?\u1085?\u1085?\u1086? \u1089?\u1087?\u1086?\u1088?\u1072?\u1079?\u1091?\u1084?\u1077?\u1085?\u1080?\u1077? \u1084?\u1077?\u1078?\u1076?\u1091? \u1045?\u1074?\u1088?\u1086?\u1087?\u1077?\u1081?\u1089?\u1082?\u1080?\u1103? \u1089?\u1098?\u1102?\u1079? \u1080? \u1057?\u1098?\u1077?\u1076?\u1080?\u1085?\u1077?\u1085?\u1080?\u1090?\u1077? \u1072?\u1084?\u1077?\u1088?\u1080?\u1082?\u1072?\u1085?\u1089?\u1082?\u1080? \u1097?\u1072?\u1090?\u1080? \u1086?\u1090?\u1085?\u1086?\u1089?\u1085?\u1086? \u1087?\u1088?\u1091?\u1076?\u1077?\u1085?\u1094?\u1080?\u1072?\u1083?\u1085?\u1080?\u1090?\u1077? \u1084?\u1077?\u1088?\u1082?\u1080? \u1074? \u1086?\u1073?\u1083?\u1072?\u1089?\u1090?\u1090?\u1072? \u1085?\u1072? \u1079?\u1072?\u1089?\u1090?\u1088?\u1072?\u1093?\u1086?\u1074?\u1072?\u1085?\u1077?\u1090?\u1086? \u1080? \u1087?\u1088?\u1077?\u1079?\u1072?\u1089?\u1090?\u1088?\u1072?\u1093?\u1086?\u1074?\u1072?\u1085?\u1077?\u1090?\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spacing w:before="0" w:after="0"/>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spacing w:before="0" w:after="0"/>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1890">
      <w:bodyDiv w:val="1"/>
      <w:marLeft w:val="0"/>
      <w:marRight w:val="0"/>
      <w:marTop w:val="0"/>
      <w:marBottom w:val="0"/>
      <w:divBdr>
        <w:top w:val="none" w:sz="0" w:space="0" w:color="auto"/>
        <w:left w:val="none" w:sz="0" w:space="0" w:color="auto"/>
        <w:bottom w:val="none" w:sz="0" w:space="0" w:color="auto"/>
        <w:right w:val="none" w:sz="0" w:space="0" w:color="auto"/>
      </w:divBdr>
    </w:div>
    <w:div w:id="12745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96DD7-13E8-40FE-8D29-3E8B78222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1211</Words>
  <Characters>7403</Characters>
  <Application>Microsoft Office Word</Application>
  <DocSecurity>0</DocSecurity>
  <Lines>145</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2017-09-08T14:51:00Z</cp:lastPrinted>
  <dcterms:created xsi:type="dcterms:W3CDTF">2017-09-09T08:02:00Z</dcterms:created>
  <dcterms:modified xsi:type="dcterms:W3CDTF">2017-09-09T15:28:00Z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